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7" w:rightFromText="187" w:bottomFromText="720" w:horzAnchor="margin" w:tblpYSpec="center"/>
        <w:tblW w:w="5000" w:type="pct"/>
        <w:tblLook w:val="04A0" w:firstRow="1" w:lastRow="0" w:firstColumn="1" w:lastColumn="0" w:noHBand="0" w:noVBand="1"/>
      </w:tblPr>
      <w:tblGrid>
        <w:gridCol w:w="9288"/>
      </w:tblGrid>
      <w:tr w:rsidR="00263227" w:rsidRPr="0091280D" w14:paraId="219E4AAE" w14:textId="77777777" w:rsidTr="00263227">
        <w:tc>
          <w:tcPr>
            <w:tcW w:w="9288" w:type="dxa"/>
          </w:tcPr>
          <w:bookmarkStart w:id="0" w:name="_GoBack"/>
          <w:bookmarkEnd w:id="0"/>
          <w:p w14:paraId="7A622124" w14:textId="60C88485" w:rsidR="00263227" w:rsidRPr="0091280D" w:rsidRDefault="000F4A05" w:rsidP="000472C1">
            <w:pPr>
              <w:pStyle w:val="Tytu"/>
              <w:spacing w:line="240" w:lineRule="auto"/>
              <w:rPr>
                <w:sz w:val="144"/>
                <w:szCs w:val="144"/>
              </w:rPr>
            </w:pPr>
            <w:sdt>
              <w:sdtPr>
                <w:rPr>
                  <w:sz w:val="72"/>
                  <w:szCs w:val="144"/>
                </w:rPr>
                <w:alias w:val="Tytuł"/>
                <w:id w:val="1934172987"/>
                <w:dataBinding w:prefixMappings="xmlns:ns0='http://schemas.openxmlformats.org/package/2006/metadata/core-properties' xmlns:ns1='http://purl.org/dc/elements/1.1/'" w:xpath="/ns0:coreProperties[1]/ns1:title[1]" w:storeItemID="{6C3C8BC8-F283-45AE-878A-BAB7291924A1}"/>
                <w:text/>
              </w:sdtPr>
              <w:sdtEndPr/>
              <w:sdtContent>
                <w:r w:rsidR="00263227" w:rsidRPr="0091280D">
                  <w:rPr>
                    <w:sz w:val="72"/>
                    <w:szCs w:val="144"/>
                  </w:rPr>
                  <w:t xml:space="preserve">PROGNOZA ODDZIAŁYWANIA NA ŚRODOWISKO PROJEKTU PROGRAMU FUNDUSZE EUROPEJSKIE </w:t>
                </w:r>
                <w:r w:rsidR="00604B14">
                  <w:rPr>
                    <w:sz w:val="72"/>
                    <w:szCs w:val="144"/>
                  </w:rPr>
                  <w:t>dla Pomorza Zachodniego</w:t>
                </w:r>
                <w:r w:rsidR="00263227" w:rsidRPr="0091280D">
                  <w:rPr>
                    <w:sz w:val="72"/>
                    <w:szCs w:val="144"/>
                  </w:rPr>
                  <w:t xml:space="preserve"> 2021-2027</w:t>
                </w:r>
              </w:sdtContent>
            </w:sdt>
          </w:p>
        </w:tc>
      </w:tr>
    </w:tbl>
    <w:p w14:paraId="4C457E22" w14:textId="2A11841C" w:rsidR="009D668D" w:rsidRPr="0091280D" w:rsidRDefault="009D668D" w:rsidP="000472C1">
      <w:pPr>
        <w:spacing w:line="240" w:lineRule="auto"/>
        <w:rPr>
          <w:noProof/>
          <w:szCs w:val="22"/>
          <w:lang w:eastAsia="pl-PL"/>
        </w:rPr>
      </w:pPr>
      <w:r w:rsidRPr="0091280D">
        <w:rPr>
          <w:noProof/>
          <w:szCs w:val="22"/>
          <w:lang w:eastAsia="pl-PL"/>
        </w:rPr>
        <w:drawing>
          <wp:anchor distT="0" distB="0" distL="114300" distR="114300" simplePos="0" relativeHeight="251661824" behindDoc="1" locked="0" layoutInCell="1" allowOverlap="1" wp14:anchorId="701CFF1A" wp14:editId="23736AAE">
            <wp:simplePos x="0" y="0"/>
            <wp:positionH relativeFrom="column">
              <wp:posOffset>3480435</wp:posOffset>
            </wp:positionH>
            <wp:positionV relativeFrom="paragraph">
              <wp:posOffset>-370840</wp:posOffset>
            </wp:positionV>
            <wp:extent cx="2897505" cy="1021715"/>
            <wp:effectExtent l="0" t="0" r="0" b="0"/>
            <wp:wrapThrough wrapText="bothSides">
              <wp:wrapPolygon edited="0">
                <wp:start x="2698" y="3222"/>
                <wp:lineTo x="1988" y="4833"/>
                <wp:lineTo x="994" y="8860"/>
                <wp:lineTo x="994" y="16109"/>
                <wp:lineTo x="3550" y="16915"/>
                <wp:lineTo x="19030" y="18123"/>
                <wp:lineTo x="19740" y="18123"/>
                <wp:lineTo x="20024" y="16915"/>
                <wp:lineTo x="20592" y="15304"/>
                <wp:lineTo x="20166" y="13693"/>
                <wp:lineTo x="18604" y="9263"/>
                <wp:lineTo x="17467" y="8055"/>
                <wp:lineTo x="11077" y="3222"/>
                <wp:lineTo x="2698" y="3222"/>
              </wp:wrapPolygon>
            </wp:wrapThrough>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G-logo-wer-PL-achromatyczna-pozioma.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97505" cy="1021715"/>
                    </a:xfrm>
                    <a:prstGeom prst="rect">
                      <a:avLst/>
                    </a:prstGeom>
                  </pic:spPr>
                </pic:pic>
              </a:graphicData>
            </a:graphic>
          </wp:anchor>
        </w:drawing>
      </w:r>
    </w:p>
    <w:p w14:paraId="2104B0A0" w14:textId="77777777" w:rsidR="009D668D" w:rsidRPr="0091280D" w:rsidRDefault="009D668D" w:rsidP="000472C1">
      <w:pPr>
        <w:spacing w:line="240" w:lineRule="auto"/>
        <w:rPr>
          <w:noProof/>
          <w:szCs w:val="22"/>
          <w:lang w:eastAsia="pl-PL"/>
        </w:rPr>
      </w:pPr>
    </w:p>
    <w:p w14:paraId="4BF8AE89" w14:textId="77777777" w:rsidR="009D668D" w:rsidRPr="0091280D" w:rsidRDefault="009D668D" w:rsidP="000472C1">
      <w:pPr>
        <w:spacing w:line="240" w:lineRule="auto"/>
        <w:rPr>
          <w:noProof/>
          <w:szCs w:val="22"/>
          <w:lang w:eastAsia="pl-PL"/>
        </w:rPr>
      </w:pPr>
    </w:p>
    <w:p w14:paraId="14756D70" w14:textId="77777777" w:rsidR="009D668D" w:rsidRPr="0091280D" w:rsidRDefault="009D668D">
      <w:pPr>
        <w:rPr>
          <w:noProof/>
          <w:szCs w:val="22"/>
          <w:lang w:eastAsia="pl-PL"/>
        </w:rPr>
      </w:pPr>
    </w:p>
    <w:p w14:paraId="77F410F7" w14:textId="77777777" w:rsidR="009D668D" w:rsidRPr="0091280D" w:rsidRDefault="009D668D">
      <w:pPr>
        <w:rPr>
          <w:noProof/>
          <w:szCs w:val="22"/>
          <w:lang w:eastAsia="pl-PL"/>
        </w:rPr>
      </w:pPr>
    </w:p>
    <w:p w14:paraId="693BC52B" w14:textId="77777777" w:rsidR="009D668D" w:rsidRPr="0091280D" w:rsidRDefault="009D668D">
      <w:pPr>
        <w:rPr>
          <w:noProof/>
          <w:szCs w:val="22"/>
          <w:lang w:eastAsia="pl-PL"/>
        </w:rPr>
      </w:pPr>
    </w:p>
    <w:p w14:paraId="35080320" w14:textId="77777777" w:rsidR="009D668D" w:rsidRPr="0091280D" w:rsidRDefault="009D668D">
      <w:pPr>
        <w:rPr>
          <w:noProof/>
          <w:szCs w:val="22"/>
          <w:lang w:eastAsia="pl-PL"/>
        </w:rPr>
      </w:pPr>
    </w:p>
    <w:p w14:paraId="0F6CA9CF" w14:textId="77777777" w:rsidR="009D668D" w:rsidRPr="0091280D" w:rsidRDefault="009D668D">
      <w:pPr>
        <w:rPr>
          <w:noProof/>
          <w:szCs w:val="22"/>
          <w:lang w:eastAsia="pl-PL"/>
        </w:rPr>
      </w:pPr>
    </w:p>
    <w:p w14:paraId="6CEA496E" w14:textId="59E68309" w:rsidR="00AC5BEE" w:rsidRDefault="00AC5BEE" w:rsidP="001023C8">
      <w:pPr>
        <w:pStyle w:val="Stopka"/>
        <w:jc w:val="center"/>
      </w:pPr>
    </w:p>
    <w:p w14:paraId="4B64DF6F" w14:textId="7C38FC01" w:rsidR="009D668D" w:rsidRDefault="009D668D">
      <w:pPr>
        <w:rPr>
          <w:noProof/>
          <w:szCs w:val="22"/>
          <w:lang w:eastAsia="pl-PL"/>
        </w:rPr>
      </w:pPr>
    </w:p>
    <w:p w14:paraId="35B91BA9" w14:textId="77777777" w:rsidR="00DD416E" w:rsidRDefault="00DD416E">
      <w:pPr>
        <w:rPr>
          <w:noProof/>
          <w:szCs w:val="22"/>
          <w:lang w:eastAsia="pl-PL"/>
        </w:rPr>
      </w:pPr>
    </w:p>
    <w:p w14:paraId="79E89CE9" w14:textId="77777777" w:rsidR="00552B4C" w:rsidRPr="0091280D" w:rsidRDefault="00552B4C">
      <w:pPr>
        <w:rPr>
          <w:noProof/>
          <w:szCs w:val="22"/>
          <w:lang w:eastAsia="pl-PL"/>
        </w:rPr>
      </w:pPr>
    </w:p>
    <w:p w14:paraId="07DA5F1C" w14:textId="77777777" w:rsidR="00DD416E" w:rsidRDefault="001023C8" w:rsidP="009D668D">
      <w:pPr>
        <w:jc w:val="center"/>
        <w:rPr>
          <w:noProof/>
          <w:szCs w:val="22"/>
          <w:lang w:eastAsia="pl-PL"/>
        </w:rPr>
      </w:pPr>
      <w:r w:rsidRPr="00952B18">
        <w:rPr>
          <w:rFonts w:ascii="Arial" w:eastAsia="Calibri" w:hAnsi="Arial" w:cs="Arial"/>
          <w:noProof/>
          <w:lang w:eastAsia="pl-PL"/>
        </w:rPr>
        <w:drawing>
          <wp:inline distT="0" distB="0" distL="0" distR="0" wp14:anchorId="67F70721" wp14:editId="0AD96178">
            <wp:extent cx="5669915" cy="422427"/>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69915" cy="422427"/>
                    </a:xfrm>
                    <a:prstGeom prst="rect">
                      <a:avLst/>
                    </a:prstGeom>
                    <a:noFill/>
                    <a:ln>
                      <a:noFill/>
                    </a:ln>
                  </pic:spPr>
                </pic:pic>
              </a:graphicData>
            </a:graphic>
          </wp:inline>
        </w:drawing>
      </w:r>
    </w:p>
    <w:p w14:paraId="76CAFF10" w14:textId="693A97B1" w:rsidR="00C14F89" w:rsidRDefault="00D66733" w:rsidP="009D668D">
      <w:pPr>
        <w:jc w:val="center"/>
        <w:rPr>
          <w:noProof/>
          <w:szCs w:val="22"/>
          <w:lang w:eastAsia="pl-PL"/>
        </w:rPr>
        <w:sectPr w:rsidR="00C14F89">
          <w:footerReference w:type="default" r:id="rId10"/>
          <w:pgSz w:w="11906" w:h="16838"/>
          <w:pgMar w:top="1417" w:right="1417" w:bottom="1417" w:left="1417" w:header="708" w:footer="708" w:gutter="0"/>
          <w:cols w:space="708"/>
        </w:sectPr>
      </w:pPr>
      <w:r w:rsidRPr="0091280D">
        <w:rPr>
          <w:noProof/>
          <w:szCs w:val="22"/>
          <w:lang w:eastAsia="pl-PL"/>
        </w:rPr>
        <mc:AlternateContent>
          <mc:Choice Requires="wps">
            <w:drawing>
              <wp:anchor distT="0" distB="0" distL="114300" distR="114300" simplePos="0" relativeHeight="251656704" behindDoc="1" locked="0" layoutInCell="1" allowOverlap="1" wp14:anchorId="7A0BAFA0" wp14:editId="793E6173">
                <wp:simplePos x="0" y="0"/>
                <wp:positionH relativeFrom="page">
                  <wp:align>center</wp:align>
                </wp:positionH>
                <wp:positionV relativeFrom="page">
                  <wp:align>top</wp:align>
                </wp:positionV>
                <wp:extent cx="7665085" cy="2223135"/>
                <wp:effectExtent l="0" t="0" r="0" b="5715"/>
                <wp:wrapNone/>
                <wp:docPr id="54" name="Prostokąt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65085" cy="222313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25000</wp14:pctHeight>
                </wp14:sizeRelV>
              </wp:anchor>
            </w:drawing>
          </mc:Choice>
          <mc:Fallback>
            <w:pict>
              <v:rect w14:anchorId="522A8D07" id="Prostokąt 54" o:spid="_x0000_s1026" style="position:absolute;margin-left:0;margin-top:0;width:603.55pt;height:175.05pt;z-index:-251659776;visibility:visible;mso-wrap-style:square;mso-width-percent:0;mso-height-percent:250;mso-wrap-distance-left:9pt;mso-wrap-distance-top:0;mso-wrap-distance-right:9pt;mso-wrap-distance-bottom:0;mso-position-horizontal:center;mso-position-horizontal-relative:page;mso-position-vertical:top;mso-position-vertical-relative:page;mso-width-percent:0;mso-height-percent:25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" fillcolor="#549e39 [3204]" stroked="f" strokeweight="1pt">
                <w10:wrap anchorx="page" anchory="page"/>
              </v:rect>
            </w:pict>
          </mc:Fallback>
        </mc:AlternateContent>
      </w:r>
      <w:r w:rsidRPr="0091280D">
        <w:rPr>
          <w:noProof/>
          <w:szCs w:val="22"/>
          <w:lang w:eastAsia="pl-PL"/>
        </w:rPr>
        <mc:AlternateContent>
          <mc:Choice Requires="wps">
            <w:drawing>
              <wp:anchor distT="0" distB="0" distL="114300" distR="114300" simplePos="0" relativeHeight="251660800" behindDoc="1" locked="0" layoutInCell="1" allowOverlap="1" wp14:anchorId="2D5D74D4" wp14:editId="05889236">
                <wp:simplePos x="0" y="0"/>
                <wp:positionH relativeFrom="page">
                  <wp:align>center</wp:align>
                </wp:positionH>
                <wp:positionV relativeFrom="page">
                  <wp:align>center</wp:align>
                </wp:positionV>
                <wp:extent cx="7560310" cy="10692130"/>
                <wp:effectExtent l="0" t="0" r="0" b="0"/>
                <wp:wrapNone/>
                <wp:docPr id="52" name="Prostokąt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10" cy="10692130"/>
                        </a:xfrm>
                        <a:prstGeom prst="rect">
                          <a:avLst/>
                        </a:prstGeom>
                        <a:noFill/>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3ABD63AD" id="Prostokąt 52" o:spid="_x0000_s1026" style="position:absolute;margin-left:0;margin-top:0;width:595.3pt;height:841.9pt;z-index:-251655680;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" filled="f" stroked="f" strokeweight="1pt">
                <w10:wrap anchorx="page" anchory="page"/>
              </v:rect>
            </w:pict>
          </mc:Fallback>
        </mc:AlternateContent>
      </w:r>
      <w:r w:rsidR="009D668D" w:rsidRPr="0091280D">
        <w:rPr>
          <w:noProof/>
          <w:szCs w:val="22"/>
          <w:lang w:eastAsia="pl-PL"/>
        </w:rPr>
        <w:t>Katowice, 202</w:t>
      </w:r>
      <w:r w:rsidR="00AC5BEE">
        <w:rPr>
          <w:noProof/>
          <w:szCs w:val="22"/>
          <w:lang w:eastAsia="pl-PL"/>
        </w:rPr>
        <w:t>2</w:t>
      </w:r>
    </w:p>
    <w:p w14:paraId="77DC91F8" w14:textId="64A803EB" w:rsidR="00263227" w:rsidRPr="0091280D" w:rsidRDefault="00263227" w:rsidP="009D668D">
      <w:pPr>
        <w:jc w:val="center"/>
        <w:rPr>
          <w:noProof/>
          <w:szCs w:val="22"/>
          <w:lang w:eastAsia="pl-PL"/>
        </w:rPr>
      </w:pPr>
    </w:p>
    <w:p w14:paraId="63D8BF78" w14:textId="77777777" w:rsidR="00DF1A94" w:rsidRPr="0091280D" w:rsidRDefault="00DF1A94" w:rsidP="00DF1A94">
      <w:pPr>
        <w:rPr>
          <w:b/>
          <w:bCs/>
          <w:sz w:val="32"/>
          <w:szCs w:val="32"/>
        </w:rPr>
      </w:pPr>
      <w:r w:rsidRPr="0091280D">
        <w:rPr>
          <w:b/>
          <w:bCs/>
          <w:sz w:val="32"/>
          <w:szCs w:val="32"/>
        </w:rPr>
        <w:t>Skład zespołu autorskiego</w:t>
      </w:r>
    </w:p>
    <w:p w14:paraId="0D36397C" w14:textId="77777777" w:rsidR="005374B6" w:rsidRPr="0091280D" w:rsidRDefault="005374B6" w:rsidP="005374B6">
      <w:pPr>
        <w:spacing w:before="0" w:after="0"/>
        <w:rPr>
          <w:sz w:val="28"/>
          <w:szCs w:val="28"/>
        </w:rPr>
      </w:pPr>
      <w:r w:rsidRPr="0091280D">
        <w:rPr>
          <w:sz w:val="28"/>
          <w:szCs w:val="28"/>
        </w:rPr>
        <w:t xml:space="preserve">dr inż. </w:t>
      </w:r>
      <w:r w:rsidRPr="0091280D">
        <w:rPr>
          <w:b/>
          <w:bCs/>
          <w:sz w:val="28"/>
          <w:szCs w:val="28"/>
        </w:rPr>
        <w:t>Paweł Zawartka</w:t>
      </w:r>
      <w:r w:rsidRPr="0091280D">
        <w:rPr>
          <w:sz w:val="28"/>
          <w:szCs w:val="28"/>
        </w:rPr>
        <w:t xml:space="preserve"> – kierownik zespołu</w:t>
      </w:r>
    </w:p>
    <w:p w14:paraId="74480A2F" w14:textId="77777777" w:rsidR="005374B6" w:rsidRPr="0091280D" w:rsidRDefault="005374B6" w:rsidP="005374B6">
      <w:pPr>
        <w:spacing w:before="0" w:after="0"/>
        <w:rPr>
          <w:sz w:val="28"/>
          <w:szCs w:val="28"/>
        </w:rPr>
      </w:pPr>
    </w:p>
    <w:p w14:paraId="0ABB9980" w14:textId="77777777" w:rsidR="005374B6" w:rsidRPr="0091280D" w:rsidRDefault="005374B6" w:rsidP="005374B6">
      <w:pPr>
        <w:spacing w:before="0" w:after="0"/>
        <w:rPr>
          <w:sz w:val="28"/>
          <w:szCs w:val="28"/>
        </w:rPr>
      </w:pPr>
      <w:r w:rsidRPr="0091280D">
        <w:rPr>
          <w:sz w:val="28"/>
          <w:szCs w:val="28"/>
        </w:rPr>
        <w:t>mgr Małgorzata Deska</w:t>
      </w:r>
    </w:p>
    <w:p w14:paraId="59FC70AE" w14:textId="730B92A3" w:rsidR="005374B6" w:rsidRPr="00D41923" w:rsidRDefault="005374B6" w:rsidP="005374B6">
      <w:pPr>
        <w:spacing w:before="0" w:after="0"/>
        <w:rPr>
          <w:sz w:val="28"/>
          <w:szCs w:val="28"/>
        </w:rPr>
      </w:pPr>
      <w:r w:rsidRPr="00D41923">
        <w:rPr>
          <w:sz w:val="28"/>
          <w:szCs w:val="28"/>
        </w:rPr>
        <w:t>dr Adam Hamerla</w:t>
      </w:r>
    </w:p>
    <w:p w14:paraId="447BB15B" w14:textId="77777777" w:rsidR="005374B6" w:rsidRPr="0091280D" w:rsidRDefault="005374B6" w:rsidP="005374B6">
      <w:pPr>
        <w:spacing w:before="0" w:after="0"/>
        <w:rPr>
          <w:sz w:val="28"/>
          <w:szCs w:val="28"/>
        </w:rPr>
      </w:pPr>
      <w:r w:rsidRPr="00D41923">
        <w:rPr>
          <w:sz w:val="28"/>
          <w:szCs w:val="28"/>
        </w:rPr>
        <w:t xml:space="preserve">dr inż. </w:t>
      </w:r>
      <w:r w:rsidRPr="0091280D">
        <w:rPr>
          <w:sz w:val="28"/>
          <w:szCs w:val="28"/>
        </w:rPr>
        <w:t>Beata Kończak</w:t>
      </w:r>
    </w:p>
    <w:p w14:paraId="584FCA59" w14:textId="17D5BBD0" w:rsidR="005374B6" w:rsidRPr="0091280D" w:rsidRDefault="005374B6" w:rsidP="005374B6">
      <w:pPr>
        <w:spacing w:before="0" w:after="0"/>
        <w:rPr>
          <w:sz w:val="28"/>
          <w:szCs w:val="28"/>
        </w:rPr>
      </w:pPr>
      <w:r w:rsidRPr="0091280D">
        <w:rPr>
          <w:sz w:val="28"/>
          <w:szCs w:val="28"/>
        </w:rPr>
        <w:t>dr inż. Mariusz Kruczek</w:t>
      </w:r>
    </w:p>
    <w:p w14:paraId="55C53ABC" w14:textId="55A90FF1" w:rsidR="00C47FB6" w:rsidRDefault="00C47FB6" w:rsidP="005374B6">
      <w:pPr>
        <w:spacing w:before="0" w:after="0"/>
        <w:rPr>
          <w:sz w:val="28"/>
          <w:szCs w:val="28"/>
        </w:rPr>
      </w:pPr>
      <w:r>
        <w:rPr>
          <w:sz w:val="28"/>
          <w:szCs w:val="28"/>
        </w:rPr>
        <w:t>dr Anna Skalny</w:t>
      </w:r>
    </w:p>
    <w:p w14:paraId="08128D74" w14:textId="6C63888B" w:rsidR="005374B6" w:rsidRPr="0091280D" w:rsidRDefault="005374B6" w:rsidP="005374B6">
      <w:pPr>
        <w:spacing w:before="0" w:after="0"/>
        <w:rPr>
          <w:sz w:val="28"/>
          <w:szCs w:val="28"/>
        </w:rPr>
      </w:pPr>
      <w:r w:rsidRPr="0091280D">
        <w:rPr>
          <w:sz w:val="28"/>
          <w:szCs w:val="28"/>
        </w:rPr>
        <w:t>mgr Anna Tetłak</w:t>
      </w:r>
    </w:p>
    <w:p w14:paraId="4AC95BCE" w14:textId="77777777" w:rsidR="005374B6" w:rsidRDefault="005374B6" w:rsidP="005374B6">
      <w:pPr>
        <w:spacing w:before="0" w:after="0"/>
        <w:rPr>
          <w:sz w:val="28"/>
          <w:szCs w:val="28"/>
        </w:rPr>
      </w:pPr>
      <w:r w:rsidRPr="0091280D">
        <w:rPr>
          <w:sz w:val="28"/>
          <w:szCs w:val="28"/>
        </w:rPr>
        <w:t>mgr inż. Elżbieta Uszok</w:t>
      </w:r>
    </w:p>
    <w:p w14:paraId="65C99C8C" w14:textId="170863B0" w:rsidR="00A9739D" w:rsidRPr="0091280D" w:rsidRDefault="00A9739D" w:rsidP="005374B6">
      <w:pPr>
        <w:spacing w:before="0" w:after="0"/>
        <w:rPr>
          <w:sz w:val="28"/>
          <w:szCs w:val="28"/>
        </w:rPr>
      </w:pPr>
      <w:r>
        <w:rPr>
          <w:sz w:val="28"/>
          <w:szCs w:val="28"/>
        </w:rPr>
        <w:t>mgr Marta Wiesner - Sękala</w:t>
      </w:r>
    </w:p>
    <w:p w14:paraId="29D3BE50" w14:textId="77777777" w:rsidR="005374B6" w:rsidRPr="0091280D" w:rsidRDefault="005374B6" w:rsidP="005374B6">
      <w:pPr>
        <w:spacing w:before="0" w:after="0"/>
        <w:rPr>
          <w:sz w:val="28"/>
          <w:szCs w:val="28"/>
        </w:rPr>
      </w:pPr>
      <w:r w:rsidRPr="0091280D">
        <w:rPr>
          <w:sz w:val="28"/>
          <w:szCs w:val="28"/>
        </w:rPr>
        <w:t>dr inż. Aleksandra Zgórska</w:t>
      </w:r>
    </w:p>
    <w:p w14:paraId="3B38B9B0" w14:textId="0EE221A4" w:rsidR="00A65366" w:rsidRDefault="005374B6" w:rsidP="005374B6">
      <w:pPr>
        <w:spacing w:before="0" w:after="0"/>
        <w:rPr>
          <w:sz w:val="28"/>
          <w:szCs w:val="28"/>
        </w:rPr>
      </w:pPr>
      <w:r w:rsidRPr="0091280D">
        <w:rPr>
          <w:sz w:val="28"/>
          <w:szCs w:val="28"/>
        </w:rPr>
        <w:t>mgr inż. Piotr Zawadzki</w:t>
      </w:r>
    </w:p>
    <w:p w14:paraId="14315C69" w14:textId="77777777" w:rsidR="00A65366" w:rsidRDefault="00A65366">
      <w:pPr>
        <w:rPr>
          <w:sz w:val="28"/>
          <w:szCs w:val="28"/>
        </w:rPr>
      </w:pPr>
      <w:r>
        <w:rPr>
          <w:sz w:val="28"/>
          <w:szCs w:val="28"/>
        </w:rPr>
        <w:br w:type="page"/>
      </w:r>
    </w:p>
    <w:p w14:paraId="44B2D4BA" w14:textId="77777777" w:rsidR="00A65366" w:rsidRPr="0091280D" w:rsidRDefault="00A65366" w:rsidP="00A65366">
      <w:pPr>
        <w:spacing w:after="0"/>
        <w:jc w:val="center"/>
        <w:rPr>
          <w:b/>
          <w:smallCaps/>
          <w:sz w:val="36"/>
          <w:szCs w:val="32"/>
        </w:rPr>
      </w:pPr>
      <w:r w:rsidRPr="0091280D">
        <w:rPr>
          <w:b/>
          <w:smallCaps/>
          <w:sz w:val="36"/>
          <w:szCs w:val="32"/>
        </w:rPr>
        <w:lastRenderedPageBreak/>
        <w:t>Oświadczenie</w:t>
      </w:r>
    </w:p>
    <w:p w14:paraId="1B97C056" w14:textId="77777777" w:rsidR="00A65366" w:rsidRPr="0091280D" w:rsidRDefault="00A65366" w:rsidP="00A65366">
      <w:pPr>
        <w:spacing w:after="0"/>
        <w:rPr>
          <w:sz w:val="28"/>
          <w:szCs w:val="24"/>
        </w:rPr>
      </w:pPr>
    </w:p>
    <w:p w14:paraId="27BA51C6" w14:textId="680672D3" w:rsidR="00A65366" w:rsidRPr="0091280D" w:rsidRDefault="00A65366" w:rsidP="00A65366">
      <w:pPr>
        <w:spacing w:after="0"/>
        <w:jc w:val="both"/>
        <w:rPr>
          <w:sz w:val="28"/>
          <w:szCs w:val="24"/>
        </w:rPr>
      </w:pPr>
      <w:r w:rsidRPr="0091280D">
        <w:rPr>
          <w:sz w:val="28"/>
          <w:szCs w:val="24"/>
        </w:rPr>
        <w:t xml:space="preserve">Ja, niżej podpisany </w:t>
      </w:r>
      <w:r w:rsidRPr="0091280D">
        <w:rPr>
          <w:b/>
          <w:smallCaps/>
          <w:sz w:val="28"/>
          <w:szCs w:val="24"/>
        </w:rPr>
        <w:t>Paweł Zawartka</w:t>
      </w:r>
      <w:r w:rsidRPr="0091280D">
        <w:rPr>
          <w:sz w:val="28"/>
          <w:szCs w:val="24"/>
        </w:rPr>
        <w:t xml:space="preserve"> – kierujący zespołem autorów Prognozy Oddziaływania na Środowisko projektu Fundusze Europejskie dla </w:t>
      </w:r>
      <w:r w:rsidR="001023C8">
        <w:rPr>
          <w:sz w:val="28"/>
          <w:szCs w:val="24"/>
        </w:rPr>
        <w:t>Pomorza Zachodniego</w:t>
      </w:r>
      <w:r w:rsidR="00D4052B">
        <w:rPr>
          <w:sz w:val="28"/>
          <w:szCs w:val="24"/>
        </w:rPr>
        <w:t xml:space="preserve"> </w:t>
      </w:r>
      <w:r w:rsidRPr="0091280D">
        <w:rPr>
          <w:sz w:val="28"/>
          <w:szCs w:val="24"/>
        </w:rPr>
        <w:t>2021-2027 oświadczam, że spełniam wymagania, o</w:t>
      </w:r>
      <w:r>
        <w:rPr>
          <w:sz w:val="28"/>
          <w:szCs w:val="24"/>
        </w:rPr>
        <w:t xml:space="preserve"> </w:t>
      </w:r>
      <w:r w:rsidRPr="0091280D">
        <w:rPr>
          <w:sz w:val="28"/>
          <w:szCs w:val="24"/>
        </w:rPr>
        <w:t>których mowa w</w:t>
      </w:r>
      <w:r>
        <w:rPr>
          <w:sz w:val="28"/>
          <w:szCs w:val="24"/>
        </w:rPr>
        <w:t xml:space="preserve"> </w:t>
      </w:r>
      <w:r w:rsidRPr="0091280D">
        <w:rPr>
          <w:sz w:val="28"/>
          <w:szCs w:val="24"/>
        </w:rPr>
        <w:t>art. 74a ust. 2 Ustawy z</w:t>
      </w:r>
      <w:r>
        <w:rPr>
          <w:sz w:val="28"/>
          <w:szCs w:val="24"/>
        </w:rPr>
        <w:t xml:space="preserve"> </w:t>
      </w:r>
      <w:r w:rsidRPr="0091280D">
        <w:rPr>
          <w:sz w:val="28"/>
          <w:szCs w:val="24"/>
        </w:rPr>
        <w:t>dnia 3 października</w:t>
      </w:r>
      <w:r>
        <w:rPr>
          <w:sz w:val="28"/>
          <w:szCs w:val="24"/>
        </w:rPr>
        <w:t xml:space="preserve"> </w:t>
      </w:r>
      <w:r w:rsidRPr="0091280D">
        <w:rPr>
          <w:sz w:val="28"/>
          <w:szCs w:val="24"/>
        </w:rPr>
        <w:t>o udostępnianiu informacji o</w:t>
      </w:r>
      <w:r>
        <w:rPr>
          <w:sz w:val="28"/>
          <w:szCs w:val="24"/>
        </w:rPr>
        <w:t xml:space="preserve"> </w:t>
      </w:r>
      <w:r w:rsidRPr="0091280D">
        <w:rPr>
          <w:sz w:val="28"/>
          <w:szCs w:val="24"/>
        </w:rPr>
        <w:t>środowisku i</w:t>
      </w:r>
      <w:r>
        <w:rPr>
          <w:sz w:val="28"/>
          <w:szCs w:val="24"/>
        </w:rPr>
        <w:t xml:space="preserve"> </w:t>
      </w:r>
      <w:r w:rsidRPr="0091280D">
        <w:rPr>
          <w:sz w:val="28"/>
          <w:szCs w:val="24"/>
        </w:rPr>
        <w:t>jego ochronie, udziale społeczeństwa w</w:t>
      </w:r>
      <w:r>
        <w:rPr>
          <w:sz w:val="28"/>
          <w:szCs w:val="24"/>
        </w:rPr>
        <w:t xml:space="preserve"> </w:t>
      </w:r>
      <w:r w:rsidRPr="0091280D">
        <w:rPr>
          <w:sz w:val="28"/>
          <w:szCs w:val="24"/>
        </w:rPr>
        <w:t>ochronie środowiska oraz o</w:t>
      </w:r>
      <w:r>
        <w:rPr>
          <w:sz w:val="28"/>
          <w:szCs w:val="24"/>
        </w:rPr>
        <w:t xml:space="preserve"> </w:t>
      </w:r>
      <w:r w:rsidRPr="0091280D">
        <w:rPr>
          <w:sz w:val="28"/>
          <w:szCs w:val="24"/>
        </w:rPr>
        <w:t>ocenach oddziaływania na środowisko.</w:t>
      </w:r>
    </w:p>
    <w:p w14:paraId="31DFEB0D" w14:textId="77777777" w:rsidR="00A65366" w:rsidRPr="0091280D" w:rsidRDefault="00A65366" w:rsidP="00A65366">
      <w:pPr>
        <w:spacing w:after="0"/>
        <w:rPr>
          <w:sz w:val="28"/>
          <w:szCs w:val="24"/>
        </w:rPr>
      </w:pPr>
      <w:r w:rsidRPr="0091280D">
        <w:rPr>
          <w:sz w:val="28"/>
          <w:szCs w:val="24"/>
        </w:rPr>
        <w:t>Zgodnie z</w:t>
      </w:r>
      <w:r>
        <w:rPr>
          <w:sz w:val="28"/>
          <w:szCs w:val="24"/>
        </w:rPr>
        <w:t xml:space="preserve"> </w:t>
      </w:r>
      <w:r w:rsidRPr="0091280D">
        <w:rPr>
          <w:sz w:val="28"/>
          <w:szCs w:val="24"/>
        </w:rPr>
        <w:t>art. 74a ust 2 oświadczam, iż:</w:t>
      </w:r>
    </w:p>
    <w:p w14:paraId="76492E8E" w14:textId="77777777" w:rsidR="00A65366" w:rsidRPr="0091280D" w:rsidRDefault="00A65366" w:rsidP="00F2794A">
      <w:pPr>
        <w:pStyle w:val="Akapitzlist"/>
        <w:numPr>
          <w:ilvl w:val="0"/>
          <w:numId w:val="2"/>
        </w:numPr>
        <w:spacing w:after="0"/>
        <w:jc w:val="both"/>
        <w:rPr>
          <w:sz w:val="28"/>
          <w:szCs w:val="24"/>
        </w:rPr>
      </w:pPr>
      <w:r w:rsidRPr="0091280D">
        <w:rPr>
          <w:sz w:val="28"/>
          <w:szCs w:val="24"/>
        </w:rPr>
        <w:t>ukończyłem studia wyższe, w</w:t>
      </w:r>
      <w:r>
        <w:rPr>
          <w:sz w:val="28"/>
          <w:szCs w:val="24"/>
        </w:rPr>
        <w:t xml:space="preserve"> </w:t>
      </w:r>
      <w:r w:rsidRPr="0091280D">
        <w:rPr>
          <w:sz w:val="28"/>
          <w:szCs w:val="24"/>
        </w:rPr>
        <w:t>rozumieniu przepisów o</w:t>
      </w:r>
      <w:r>
        <w:rPr>
          <w:sz w:val="28"/>
          <w:szCs w:val="24"/>
        </w:rPr>
        <w:t xml:space="preserve"> </w:t>
      </w:r>
      <w:r w:rsidRPr="0091280D">
        <w:rPr>
          <w:sz w:val="28"/>
          <w:szCs w:val="24"/>
        </w:rPr>
        <w:t>szkolnictwie wyższym, z</w:t>
      </w:r>
      <w:r>
        <w:rPr>
          <w:sz w:val="28"/>
          <w:szCs w:val="24"/>
        </w:rPr>
        <w:t xml:space="preserve"> </w:t>
      </w:r>
      <w:r w:rsidRPr="0091280D">
        <w:rPr>
          <w:sz w:val="28"/>
          <w:szCs w:val="24"/>
        </w:rPr>
        <w:t>zakresu nauk technicznych, dziedziny inżynieria środowiska,</w:t>
      </w:r>
    </w:p>
    <w:p w14:paraId="708BFFCF" w14:textId="77777777" w:rsidR="00A65366" w:rsidRPr="0091280D" w:rsidRDefault="00A65366" w:rsidP="00F2794A">
      <w:pPr>
        <w:pStyle w:val="Akapitzlist"/>
        <w:numPr>
          <w:ilvl w:val="0"/>
          <w:numId w:val="2"/>
        </w:numPr>
        <w:spacing w:after="0"/>
        <w:jc w:val="both"/>
        <w:rPr>
          <w:sz w:val="28"/>
          <w:szCs w:val="24"/>
        </w:rPr>
      </w:pPr>
      <w:r w:rsidRPr="0091280D">
        <w:rPr>
          <w:sz w:val="28"/>
          <w:szCs w:val="24"/>
        </w:rPr>
        <w:t>posiadam ponad 5-letnie doświadczenie w</w:t>
      </w:r>
      <w:r>
        <w:rPr>
          <w:sz w:val="28"/>
          <w:szCs w:val="24"/>
        </w:rPr>
        <w:t xml:space="preserve"> </w:t>
      </w:r>
      <w:r w:rsidRPr="0091280D">
        <w:rPr>
          <w:sz w:val="28"/>
          <w:szCs w:val="24"/>
        </w:rPr>
        <w:t>pracach w</w:t>
      </w:r>
      <w:r>
        <w:rPr>
          <w:sz w:val="28"/>
          <w:szCs w:val="24"/>
        </w:rPr>
        <w:t xml:space="preserve"> </w:t>
      </w:r>
      <w:r w:rsidRPr="0091280D">
        <w:rPr>
          <w:sz w:val="28"/>
          <w:szCs w:val="24"/>
        </w:rPr>
        <w:t>zespołach przygotowujących raporty o</w:t>
      </w:r>
      <w:r>
        <w:rPr>
          <w:sz w:val="28"/>
          <w:szCs w:val="24"/>
        </w:rPr>
        <w:t xml:space="preserve"> </w:t>
      </w:r>
      <w:r w:rsidRPr="0091280D">
        <w:rPr>
          <w:sz w:val="28"/>
          <w:szCs w:val="24"/>
        </w:rPr>
        <w:t>oddziaływaniu przedsięwzięcia na środowisko i</w:t>
      </w:r>
      <w:r>
        <w:rPr>
          <w:sz w:val="28"/>
          <w:szCs w:val="24"/>
        </w:rPr>
        <w:t xml:space="preserve"> </w:t>
      </w:r>
      <w:r w:rsidRPr="0091280D">
        <w:rPr>
          <w:sz w:val="28"/>
          <w:szCs w:val="24"/>
        </w:rPr>
        <w:t>prognozy oddziaływania na środowisko przy czym uczestniczyłem w</w:t>
      </w:r>
      <w:r>
        <w:rPr>
          <w:sz w:val="28"/>
          <w:szCs w:val="24"/>
        </w:rPr>
        <w:t xml:space="preserve"> </w:t>
      </w:r>
      <w:r w:rsidRPr="0091280D">
        <w:rPr>
          <w:sz w:val="28"/>
          <w:szCs w:val="24"/>
        </w:rPr>
        <w:t>więcej niż 5 opracowaniach tego typu.</w:t>
      </w:r>
    </w:p>
    <w:p w14:paraId="45E19C90" w14:textId="77777777" w:rsidR="00A65366" w:rsidRPr="0091280D" w:rsidRDefault="00A65366" w:rsidP="00A65366">
      <w:pPr>
        <w:spacing w:after="0"/>
        <w:rPr>
          <w:sz w:val="28"/>
          <w:szCs w:val="24"/>
        </w:rPr>
      </w:pPr>
    </w:p>
    <w:p w14:paraId="7B401D98" w14:textId="77777777" w:rsidR="00A65366" w:rsidRPr="0091280D" w:rsidRDefault="00A65366" w:rsidP="00A65366">
      <w:pPr>
        <w:spacing w:after="0"/>
        <w:jc w:val="both"/>
        <w:rPr>
          <w:sz w:val="28"/>
          <w:szCs w:val="24"/>
        </w:rPr>
      </w:pPr>
      <w:r w:rsidRPr="0091280D">
        <w:rPr>
          <w:sz w:val="28"/>
          <w:szCs w:val="24"/>
        </w:rPr>
        <w:t>Jestem świadomy odpowiedzialności karnej za złożenie fałszywego oświadczenia.</w:t>
      </w:r>
    </w:p>
    <w:p w14:paraId="65BC55E4" w14:textId="77777777" w:rsidR="00A65366" w:rsidRPr="0091280D" w:rsidRDefault="00A65366" w:rsidP="00A65366">
      <w:pPr>
        <w:spacing w:after="0"/>
        <w:rPr>
          <w:sz w:val="28"/>
          <w:szCs w:val="24"/>
        </w:rPr>
      </w:pPr>
    </w:p>
    <w:p w14:paraId="0537E778" w14:textId="77777777" w:rsidR="00A65366" w:rsidRPr="0091280D" w:rsidRDefault="00A65366" w:rsidP="00A65366">
      <w:pPr>
        <w:spacing w:after="0"/>
        <w:rPr>
          <w:sz w:val="28"/>
          <w:szCs w:val="24"/>
        </w:rPr>
      </w:pPr>
    </w:p>
    <w:p w14:paraId="4CB79FB0" w14:textId="77777777" w:rsidR="00A65366" w:rsidRPr="0091280D" w:rsidRDefault="00A65366" w:rsidP="00A65366">
      <w:pPr>
        <w:spacing w:after="0"/>
        <w:rPr>
          <w:sz w:val="28"/>
          <w:szCs w:val="24"/>
        </w:rPr>
      </w:pPr>
    </w:p>
    <w:p w14:paraId="3B760C83" w14:textId="68AE63AC" w:rsidR="00A65366" w:rsidRDefault="00A65366" w:rsidP="00A65366">
      <w:pPr>
        <w:spacing w:after="0"/>
        <w:rPr>
          <w:sz w:val="28"/>
          <w:szCs w:val="24"/>
        </w:rPr>
        <w:sectPr w:rsidR="00A65366" w:rsidSect="00FF6C27">
          <w:footerReference w:type="default" r:id="rId11"/>
          <w:pgSz w:w="11906" w:h="16838"/>
          <w:pgMar w:top="1417" w:right="1417" w:bottom="1417" w:left="1417" w:header="708" w:footer="708" w:gutter="0"/>
          <w:cols w:space="708"/>
          <w:titlePg/>
          <w:docGrid w:linePitch="360"/>
        </w:sectPr>
      </w:pPr>
      <w:r w:rsidRPr="0091280D">
        <w:rPr>
          <w:sz w:val="28"/>
          <w:szCs w:val="24"/>
        </w:rPr>
        <w:t xml:space="preserve">Katowice, </w:t>
      </w:r>
      <w:r w:rsidR="00D41923">
        <w:rPr>
          <w:sz w:val="28"/>
          <w:szCs w:val="24"/>
        </w:rPr>
        <w:t>06.06</w:t>
      </w:r>
      <w:r>
        <w:rPr>
          <w:sz w:val="28"/>
          <w:szCs w:val="24"/>
        </w:rPr>
        <w:t>.2022</w:t>
      </w:r>
      <w:r>
        <w:rPr>
          <w:sz w:val="28"/>
          <w:szCs w:val="24"/>
        </w:rPr>
        <w:tab/>
      </w:r>
      <w:r>
        <w:rPr>
          <w:sz w:val="28"/>
          <w:szCs w:val="24"/>
        </w:rPr>
        <w:tab/>
      </w:r>
      <w:r>
        <w:rPr>
          <w:sz w:val="28"/>
          <w:szCs w:val="24"/>
        </w:rPr>
        <w:tab/>
      </w:r>
      <w:r>
        <w:rPr>
          <w:sz w:val="28"/>
          <w:szCs w:val="24"/>
        </w:rPr>
        <w:tab/>
      </w:r>
      <w:r>
        <w:rPr>
          <w:sz w:val="28"/>
          <w:szCs w:val="24"/>
        </w:rPr>
        <w:tab/>
      </w:r>
      <w:r>
        <w:rPr>
          <w:sz w:val="28"/>
          <w:szCs w:val="24"/>
        </w:rPr>
        <w:tab/>
        <w:t>/-/ Paweł Zawartk</w:t>
      </w:r>
      <w:r w:rsidR="001023C8">
        <w:rPr>
          <w:sz w:val="28"/>
          <w:szCs w:val="24"/>
        </w:rPr>
        <w:t>a</w:t>
      </w:r>
    </w:p>
    <w:sdt>
      <w:sdtPr>
        <w:rPr>
          <w:caps w:val="0"/>
          <w:spacing w:val="0"/>
          <w:sz w:val="24"/>
          <w:szCs w:val="20"/>
        </w:rPr>
        <w:id w:val="-406926823"/>
        <w:docPartObj>
          <w:docPartGallery w:val="Table of Contents"/>
          <w:docPartUnique/>
        </w:docPartObj>
      </w:sdtPr>
      <w:sdtEndPr>
        <w:rPr>
          <w:b/>
          <w:bCs/>
        </w:rPr>
      </w:sdtEndPr>
      <w:sdtContent>
        <w:p w14:paraId="67B630DC" w14:textId="77777777" w:rsidR="00CC2F5F" w:rsidRPr="0091280D" w:rsidRDefault="00CC2F5F">
          <w:pPr>
            <w:pStyle w:val="Nagwekspisutreci"/>
            <w:rPr>
              <w:sz w:val="32"/>
              <w:szCs w:val="24"/>
            </w:rPr>
          </w:pPr>
          <w:r w:rsidRPr="0091280D">
            <w:rPr>
              <w:sz w:val="32"/>
              <w:szCs w:val="24"/>
            </w:rPr>
            <w:t>Spis treści</w:t>
          </w:r>
        </w:p>
        <w:p w14:paraId="57169524" w14:textId="77777777" w:rsidR="000B5638" w:rsidRDefault="00F83B96">
          <w:pPr>
            <w:pStyle w:val="Spistreci1"/>
            <w:tabs>
              <w:tab w:val="right" w:leader="dot" w:pos="9062"/>
            </w:tabs>
            <w:rPr>
              <w:noProof/>
              <w:sz w:val="22"/>
              <w:szCs w:val="22"/>
              <w:lang w:eastAsia="pl-PL"/>
            </w:rPr>
          </w:pPr>
          <w:r w:rsidRPr="00655B1E">
            <w:rPr>
              <w:sz w:val="28"/>
              <w:szCs w:val="24"/>
            </w:rPr>
            <w:fldChar w:fldCharType="begin"/>
          </w:r>
          <w:r w:rsidR="00CC2F5F" w:rsidRPr="00655B1E">
            <w:rPr>
              <w:sz w:val="28"/>
              <w:szCs w:val="24"/>
            </w:rPr>
            <w:instrText xml:space="preserve"> TOC \o "1-3" \h \z \u </w:instrText>
          </w:r>
          <w:r w:rsidRPr="00655B1E">
            <w:rPr>
              <w:sz w:val="28"/>
              <w:szCs w:val="24"/>
            </w:rPr>
            <w:fldChar w:fldCharType="separate"/>
          </w:r>
          <w:hyperlink w:anchor="_Toc104790619" w:history="1">
            <w:r w:rsidR="000B5638" w:rsidRPr="00202C70">
              <w:rPr>
                <w:rStyle w:val="Hipercze"/>
                <w:noProof/>
              </w:rPr>
              <w:t>SŁOWNICZEK I UŻYTE SKRÓTY</w:t>
            </w:r>
            <w:r w:rsidR="000B5638">
              <w:rPr>
                <w:noProof/>
                <w:webHidden/>
              </w:rPr>
              <w:tab/>
            </w:r>
            <w:r w:rsidR="000B5638">
              <w:rPr>
                <w:noProof/>
                <w:webHidden/>
              </w:rPr>
              <w:fldChar w:fldCharType="begin"/>
            </w:r>
            <w:r w:rsidR="000B5638">
              <w:rPr>
                <w:noProof/>
                <w:webHidden/>
              </w:rPr>
              <w:instrText xml:space="preserve"> PAGEREF _Toc104790619 \h </w:instrText>
            </w:r>
            <w:r w:rsidR="000B5638">
              <w:rPr>
                <w:noProof/>
                <w:webHidden/>
              </w:rPr>
            </w:r>
            <w:r w:rsidR="000B5638">
              <w:rPr>
                <w:noProof/>
                <w:webHidden/>
              </w:rPr>
              <w:fldChar w:fldCharType="separate"/>
            </w:r>
            <w:r w:rsidR="002B5007">
              <w:rPr>
                <w:noProof/>
                <w:webHidden/>
              </w:rPr>
              <w:t>7</w:t>
            </w:r>
            <w:r w:rsidR="000B5638">
              <w:rPr>
                <w:noProof/>
                <w:webHidden/>
              </w:rPr>
              <w:fldChar w:fldCharType="end"/>
            </w:r>
          </w:hyperlink>
        </w:p>
        <w:p w14:paraId="18645A00" w14:textId="77777777" w:rsidR="000B5638" w:rsidRDefault="000F4A05">
          <w:pPr>
            <w:pStyle w:val="Spistreci1"/>
            <w:tabs>
              <w:tab w:val="right" w:leader="dot" w:pos="9062"/>
            </w:tabs>
            <w:rPr>
              <w:noProof/>
              <w:sz w:val="22"/>
              <w:szCs w:val="22"/>
              <w:lang w:eastAsia="pl-PL"/>
            </w:rPr>
          </w:pPr>
          <w:hyperlink w:anchor="_Toc104790620" w:history="1">
            <w:r w:rsidR="000B5638" w:rsidRPr="00202C70">
              <w:rPr>
                <w:rStyle w:val="Hipercze"/>
                <w:noProof/>
              </w:rPr>
              <w:t>STRESZCZENIE</w:t>
            </w:r>
            <w:r w:rsidR="000B5638">
              <w:rPr>
                <w:noProof/>
                <w:webHidden/>
              </w:rPr>
              <w:tab/>
            </w:r>
            <w:r w:rsidR="000B5638">
              <w:rPr>
                <w:noProof/>
                <w:webHidden/>
              </w:rPr>
              <w:fldChar w:fldCharType="begin"/>
            </w:r>
            <w:r w:rsidR="000B5638">
              <w:rPr>
                <w:noProof/>
                <w:webHidden/>
              </w:rPr>
              <w:instrText xml:space="preserve"> PAGEREF _Toc104790620 \h </w:instrText>
            </w:r>
            <w:r w:rsidR="000B5638">
              <w:rPr>
                <w:noProof/>
                <w:webHidden/>
              </w:rPr>
            </w:r>
            <w:r w:rsidR="000B5638">
              <w:rPr>
                <w:noProof/>
                <w:webHidden/>
              </w:rPr>
              <w:fldChar w:fldCharType="separate"/>
            </w:r>
            <w:r w:rsidR="002B5007">
              <w:rPr>
                <w:noProof/>
                <w:webHidden/>
              </w:rPr>
              <w:t>9</w:t>
            </w:r>
            <w:r w:rsidR="000B5638">
              <w:rPr>
                <w:noProof/>
                <w:webHidden/>
              </w:rPr>
              <w:fldChar w:fldCharType="end"/>
            </w:r>
          </w:hyperlink>
        </w:p>
        <w:p w14:paraId="5CDD7642" w14:textId="77777777" w:rsidR="000B5638" w:rsidRDefault="000F4A05">
          <w:pPr>
            <w:pStyle w:val="Spistreci1"/>
            <w:tabs>
              <w:tab w:val="right" w:leader="dot" w:pos="9062"/>
            </w:tabs>
            <w:rPr>
              <w:noProof/>
              <w:sz w:val="22"/>
              <w:szCs w:val="22"/>
              <w:lang w:eastAsia="pl-PL"/>
            </w:rPr>
          </w:pPr>
          <w:hyperlink w:anchor="_Toc104790621" w:history="1">
            <w:r w:rsidR="000B5638" w:rsidRPr="00202C70">
              <w:rPr>
                <w:rStyle w:val="Hipercze"/>
                <w:noProof/>
                <w:lang w:val="en-US"/>
              </w:rPr>
              <w:t>SUMMARY</w:t>
            </w:r>
            <w:r w:rsidR="000B5638">
              <w:rPr>
                <w:noProof/>
                <w:webHidden/>
              </w:rPr>
              <w:tab/>
            </w:r>
            <w:r w:rsidR="000B5638">
              <w:rPr>
                <w:noProof/>
                <w:webHidden/>
              </w:rPr>
              <w:fldChar w:fldCharType="begin"/>
            </w:r>
            <w:r w:rsidR="000B5638">
              <w:rPr>
                <w:noProof/>
                <w:webHidden/>
              </w:rPr>
              <w:instrText xml:space="preserve"> PAGEREF _Toc104790621 \h </w:instrText>
            </w:r>
            <w:r w:rsidR="000B5638">
              <w:rPr>
                <w:noProof/>
                <w:webHidden/>
              </w:rPr>
            </w:r>
            <w:r w:rsidR="000B5638">
              <w:rPr>
                <w:noProof/>
                <w:webHidden/>
              </w:rPr>
              <w:fldChar w:fldCharType="separate"/>
            </w:r>
            <w:r w:rsidR="002B5007">
              <w:rPr>
                <w:noProof/>
                <w:webHidden/>
              </w:rPr>
              <w:t>27</w:t>
            </w:r>
            <w:r w:rsidR="000B5638">
              <w:rPr>
                <w:noProof/>
                <w:webHidden/>
              </w:rPr>
              <w:fldChar w:fldCharType="end"/>
            </w:r>
          </w:hyperlink>
        </w:p>
        <w:p w14:paraId="370EAE06" w14:textId="4A8A63E3" w:rsidR="000B5638" w:rsidRDefault="000F4A05">
          <w:pPr>
            <w:pStyle w:val="Spistreci1"/>
            <w:tabs>
              <w:tab w:val="left" w:pos="440"/>
              <w:tab w:val="right" w:leader="dot" w:pos="9062"/>
            </w:tabs>
            <w:rPr>
              <w:noProof/>
              <w:sz w:val="22"/>
              <w:szCs w:val="22"/>
              <w:lang w:eastAsia="pl-PL"/>
            </w:rPr>
          </w:pPr>
          <w:hyperlink w:anchor="_Toc104790622" w:history="1">
            <w:r w:rsidR="000B5638" w:rsidRPr="00202C70">
              <w:rPr>
                <w:rStyle w:val="Hipercze"/>
                <w:noProof/>
              </w:rPr>
              <w:t>1.</w:t>
            </w:r>
            <w:r w:rsidR="000B5638">
              <w:rPr>
                <w:noProof/>
                <w:sz w:val="22"/>
                <w:szCs w:val="22"/>
                <w:lang w:eastAsia="pl-PL"/>
              </w:rPr>
              <w:tab/>
            </w:r>
            <w:r w:rsidR="000B5638" w:rsidRPr="00202C70">
              <w:rPr>
                <w:rStyle w:val="Hipercze"/>
                <w:noProof/>
              </w:rPr>
              <w:t>WPROWADZENIE</w:t>
            </w:r>
            <w:r w:rsidR="000B5638">
              <w:rPr>
                <w:noProof/>
                <w:webHidden/>
              </w:rPr>
              <w:tab/>
            </w:r>
            <w:r w:rsidR="000B5638">
              <w:rPr>
                <w:noProof/>
                <w:webHidden/>
              </w:rPr>
              <w:fldChar w:fldCharType="begin"/>
            </w:r>
            <w:r w:rsidR="000B5638">
              <w:rPr>
                <w:noProof/>
                <w:webHidden/>
              </w:rPr>
              <w:instrText xml:space="preserve"> PAGEREF _Toc104790622 \h </w:instrText>
            </w:r>
            <w:r w:rsidR="000B5638">
              <w:rPr>
                <w:noProof/>
                <w:webHidden/>
              </w:rPr>
            </w:r>
            <w:r w:rsidR="000B5638">
              <w:rPr>
                <w:noProof/>
                <w:webHidden/>
              </w:rPr>
              <w:fldChar w:fldCharType="separate"/>
            </w:r>
            <w:r w:rsidR="002B5007">
              <w:rPr>
                <w:noProof/>
                <w:webHidden/>
              </w:rPr>
              <w:t>44</w:t>
            </w:r>
            <w:r w:rsidR="000B5638">
              <w:rPr>
                <w:noProof/>
                <w:webHidden/>
              </w:rPr>
              <w:fldChar w:fldCharType="end"/>
            </w:r>
          </w:hyperlink>
        </w:p>
        <w:p w14:paraId="4936F32C" w14:textId="3A26DF92" w:rsidR="000B5638" w:rsidRDefault="000F4A05">
          <w:pPr>
            <w:pStyle w:val="Spistreci1"/>
            <w:tabs>
              <w:tab w:val="left" w:pos="440"/>
              <w:tab w:val="right" w:leader="dot" w:pos="9062"/>
            </w:tabs>
            <w:rPr>
              <w:noProof/>
              <w:sz w:val="22"/>
              <w:szCs w:val="22"/>
              <w:lang w:eastAsia="pl-PL"/>
            </w:rPr>
          </w:pPr>
          <w:hyperlink w:anchor="_Toc104790623" w:history="1">
            <w:r w:rsidR="000B5638" w:rsidRPr="00202C70">
              <w:rPr>
                <w:rStyle w:val="Hipercze"/>
                <w:noProof/>
              </w:rPr>
              <w:t>2.</w:t>
            </w:r>
            <w:r w:rsidR="000B5638">
              <w:rPr>
                <w:noProof/>
                <w:sz w:val="22"/>
                <w:szCs w:val="22"/>
                <w:lang w:eastAsia="pl-PL"/>
              </w:rPr>
              <w:tab/>
            </w:r>
            <w:r w:rsidR="000B5638" w:rsidRPr="00202C70">
              <w:rPr>
                <w:rStyle w:val="Hipercze"/>
                <w:noProof/>
              </w:rPr>
              <w:t>CEL I ZAKRES PROGNOZY I METODY ZASTOSOWANE PRZY SPORZĄDZANIU PROGNOZY</w:t>
            </w:r>
            <w:r w:rsidR="000B5638">
              <w:rPr>
                <w:noProof/>
                <w:webHidden/>
              </w:rPr>
              <w:tab/>
            </w:r>
            <w:r w:rsidR="000B5638">
              <w:rPr>
                <w:noProof/>
                <w:webHidden/>
              </w:rPr>
              <w:fldChar w:fldCharType="begin"/>
            </w:r>
            <w:r w:rsidR="000B5638">
              <w:rPr>
                <w:noProof/>
                <w:webHidden/>
              </w:rPr>
              <w:instrText xml:space="preserve"> PAGEREF _Toc104790623 \h </w:instrText>
            </w:r>
            <w:r w:rsidR="000B5638">
              <w:rPr>
                <w:noProof/>
                <w:webHidden/>
              </w:rPr>
            </w:r>
            <w:r w:rsidR="000B5638">
              <w:rPr>
                <w:noProof/>
                <w:webHidden/>
              </w:rPr>
              <w:fldChar w:fldCharType="separate"/>
            </w:r>
            <w:r w:rsidR="002B5007">
              <w:rPr>
                <w:noProof/>
                <w:webHidden/>
              </w:rPr>
              <w:t>45</w:t>
            </w:r>
            <w:r w:rsidR="000B5638">
              <w:rPr>
                <w:noProof/>
                <w:webHidden/>
              </w:rPr>
              <w:fldChar w:fldCharType="end"/>
            </w:r>
          </w:hyperlink>
        </w:p>
        <w:p w14:paraId="5C1BB467" w14:textId="005BB14B" w:rsidR="000B5638" w:rsidRDefault="000F4A05">
          <w:pPr>
            <w:pStyle w:val="Spistreci1"/>
            <w:tabs>
              <w:tab w:val="left" w:pos="660"/>
              <w:tab w:val="right" w:leader="dot" w:pos="9062"/>
            </w:tabs>
            <w:rPr>
              <w:noProof/>
              <w:sz w:val="22"/>
              <w:szCs w:val="22"/>
              <w:lang w:eastAsia="pl-PL"/>
            </w:rPr>
          </w:pPr>
          <w:hyperlink w:anchor="_Toc104790624" w:history="1">
            <w:r w:rsidR="000B5638" w:rsidRPr="00202C70">
              <w:rPr>
                <w:rStyle w:val="Hipercze"/>
                <w:noProof/>
              </w:rPr>
              <w:t>2.1.</w:t>
            </w:r>
            <w:r w:rsidR="000B5638">
              <w:rPr>
                <w:noProof/>
                <w:sz w:val="22"/>
                <w:szCs w:val="22"/>
                <w:lang w:eastAsia="pl-PL"/>
              </w:rPr>
              <w:tab/>
            </w:r>
            <w:r w:rsidR="000B5638" w:rsidRPr="00202C70">
              <w:rPr>
                <w:rStyle w:val="Hipercze"/>
                <w:noProof/>
              </w:rPr>
              <w:t>CEL I ZAKRES PROGNOZY</w:t>
            </w:r>
            <w:r w:rsidR="000B5638">
              <w:rPr>
                <w:noProof/>
                <w:webHidden/>
              </w:rPr>
              <w:tab/>
            </w:r>
            <w:r w:rsidR="000B5638">
              <w:rPr>
                <w:noProof/>
                <w:webHidden/>
              </w:rPr>
              <w:fldChar w:fldCharType="begin"/>
            </w:r>
            <w:r w:rsidR="000B5638">
              <w:rPr>
                <w:noProof/>
                <w:webHidden/>
              </w:rPr>
              <w:instrText xml:space="preserve"> PAGEREF _Toc104790624 \h </w:instrText>
            </w:r>
            <w:r w:rsidR="000B5638">
              <w:rPr>
                <w:noProof/>
                <w:webHidden/>
              </w:rPr>
            </w:r>
            <w:r w:rsidR="000B5638">
              <w:rPr>
                <w:noProof/>
                <w:webHidden/>
              </w:rPr>
              <w:fldChar w:fldCharType="separate"/>
            </w:r>
            <w:r w:rsidR="002B5007">
              <w:rPr>
                <w:noProof/>
                <w:webHidden/>
              </w:rPr>
              <w:t>45</w:t>
            </w:r>
            <w:r w:rsidR="000B5638">
              <w:rPr>
                <w:noProof/>
                <w:webHidden/>
              </w:rPr>
              <w:fldChar w:fldCharType="end"/>
            </w:r>
          </w:hyperlink>
        </w:p>
        <w:p w14:paraId="2DE4AFF5" w14:textId="58AD4823" w:rsidR="000B5638" w:rsidRDefault="000F4A05">
          <w:pPr>
            <w:pStyle w:val="Spistreci1"/>
            <w:tabs>
              <w:tab w:val="left" w:pos="660"/>
              <w:tab w:val="right" w:leader="dot" w:pos="9062"/>
            </w:tabs>
            <w:rPr>
              <w:noProof/>
              <w:sz w:val="22"/>
              <w:szCs w:val="22"/>
              <w:lang w:eastAsia="pl-PL"/>
            </w:rPr>
          </w:pPr>
          <w:hyperlink w:anchor="_Toc104790625" w:history="1">
            <w:r w:rsidR="000B5638" w:rsidRPr="00202C70">
              <w:rPr>
                <w:rStyle w:val="Hipercze"/>
                <w:noProof/>
              </w:rPr>
              <w:t>2.2.</w:t>
            </w:r>
            <w:r w:rsidR="000B5638">
              <w:rPr>
                <w:noProof/>
                <w:sz w:val="22"/>
                <w:szCs w:val="22"/>
                <w:lang w:eastAsia="pl-PL"/>
              </w:rPr>
              <w:tab/>
            </w:r>
            <w:r w:rsidR="000B5638" w:rsidRPr="00202C70">
              <w:rPr>
                <w:rStyle w:val="Hipercze"/>
                <w:noProof/>
              </w:rPr>
              <w:t>METODY ZASTOSOWANE PRZY OPRACOWYWANIU PROGNOZY</w:t>
            </w:r>
            <w:r w:rsidR="000B5638">
              <w:rPr>
                <w:noProof/>
                <w:webHidden/>
              </w:rPr>
              <w:tab/>
            </w:r>
            <w:r w:rsidR="000B5638">
              <w:rPr>
                <w:noProof/>
                <w:webHidden/>
              </w:rPr>
              <w:fldChar w:fldCharType="begin"/>
            </w:r>
            <w:r w:rsidR="000B5638">
              <w:rPr>
                <w:noProof/>
                <w:webHidden/>
              </w:rPr>
              <w:instrText xml:space="preserve"> PAGEREF _Toc104790625 \h </w:instrText>
            </w:r>
            <w:r w:rsidR="000B5638">
              <w:rPr>
                <w:noProof/>
                <w:webHidden/>
              </w:rPr>
            </w:r>
            <w:r w:rsidR="000B5638">
              <w:rPr>
                <w:noProof/>
                <w:webHidden/>
              </w:rPr>
              <w:fldChar w:fldCharType="separate"/>
            </w:r>
            <w:r w:rsidR="002B5007">
              <w:rPr>
                <w:noProof/>
                <w:webHidden/>
              </w:rPr>
              <w:t>46</w:t>
            </w:r>
            <w:r w:rsidR="000B5638">
              <w:rPr>
                <w:noProof/>
                <w:webHidden/>
              </w:rPr>
              <w:fldChar w:fldCharType="end"/>
            </w:r>
          </w:hyperlink>
        </w:p>
        <w:p w14:paraId="393F09FE" w14:textId="0AB541E8" w:rsidR="000B5638" w:rsidRDefault="000F4A05">
          <w:pPr>
            <w:pStyle w:val="Spistreci1"/>
            <w:tabs>
              <w:tab w:val="left" w:pos="660"/>
              <w:tab w:val="right" w:leader="dot" w:pos="9062"/>
            </w:tabs>
            <w:rPr>
              <w:noProof/>
              <w:sz w:val="22"/>
              <w:szCs w:val="22"/>
              <w:lang w:eastAsia="pl-PL"/>
            </w:rPr>
          </w:pPr>
          <w:hyperlink w:anchor="_Toc104790626" w:history="1">
            <w:r w:rsidR="000B5638" w:rsidRPr="00202C70">
              <w:rPr>
                <w:rStyle w:val="Hipercze"/>
                <w:noProof/>
              </w:rPr>
              <w:t>2.3.</w:t>
            </w:r>
            <w:r w:rsidR="000B5638">
              <w:rPr>
                <w:noProof/>
                <w:sz w:val="22"/>
                <w:szCs w:val="22"/>
                <w:lang w:eastAsia="pl-PL"/>
              </w:rPr>
              <w:tab/>
            </w:r>
            <w:r w:rsidR="000B5638" w:rsidRPr="00202C70">
              <w:rPr>
                <w:rStyle w:val="Hipercze"/>
                <w:noProof/>
              </w:rPr>
              <w:t>STOPIEŃ SZCZEGÓŁOWOŚCI PROWADZONYCH OCEN</w:t>
            </w:r>
            <w:r w:rsidR="000B5638">
              <w:rPr>
                <w:noProof/>
                <w:webHidden/>
              </w:rPr>
              <w:tab/>
            </w:r>
            <w:r w:rsidR="000B5638">
              <w:rPr>
                <w:noProof/>
                <w:webHidden/>
              </w:rPr>
              <w:fldChar w:fldCharType="begin"/>
            </w:r>
            <w:r w:rsidR="000B5638">
              <w:rPr>
                <w:noProof/>
                <w:webHidden/>
              </w:rPr>
              <w:instrText xml:space="preserve"> PAGEREF _Toc104790626 \h </w:instrText>
            </w:r>
            <w:r w:rsidR="000B5638">
              <w:rPr>
                <w:noProof/>
                <w:webHidden/>
              </w:rPr>
            </w:r>
            <w:r w:rsidR="000B5638">
              <w:rPr>
                <w:noProof/>
                <w:webHidden/>
              </w:rPr>
              <w:fldChar w:fldCharType="separate"/>
            </w:r>
            <w:r w:rsidR="002B5007">
              <w:rPr>
                <w:noProof/>
                <w:webHidden/>
              </w:rPr>
              <w:t>47</w:t>
            </w:r>
            <w:r w:rsidR="000B5638">
              <w:rPr>
                <w:noProof/>
                <w:webHidden/>
              </w:rPr>
              <w:fldChar w:fldCharType="end"/>
            </w:r>
          </w:hyperlink>
        </w:p>
        <w:p w14:paraId="426F33C2" w14:textId="66AE2550" w:rsidR="000B5638" w:rsidRDefault="000F4A05">
          <w:pPr>
            <w:pStyle w:val="Spistreci1"/>
            <w:tabs>
              <w:tab w:val="left" w:pos="440"/>
              <w:tab w:val="right" w:leader="dot" w:pos="9062"/>
            </w:tabs>
            <w:rPr>
              <w:noProof/>
              <w:sz w:val="22"/>
              <w:szCs w:val="22"/>
              <w:lang w:eastAsia="pl-PL"/>
            </w:rPr>
          </w:pPr>
          <w:hyperlink w:anchor="_Toc104790627" w:history="1">
            <w:r w:rsidR="000B5638" w:rsidRPr="00202C70">
              <w:rPr>
                <w:rStyle w:val="Hipercze"/>
                <w:noProof/>
              </w:rPr>
              <w:t>3.</w:t>
            </w:r>
            <w:r w:rsidR="000B5638">
              <w:rPr>
                <w:noProof/>
                <w:sz w:val="22"/>
                <w:szCs w:val="22"/>
                <w:lang w:eastAsia="pl-PL"/>
              </w:rPr>
              <w:tab/>
            </w:r>
            <w:r w:rsidR="000B5638" w:rsidRPr="00202C70">
              <w:rPr>
                <w:rStyle w:val="Hipercze"/>
                <w:noProof/>
              </w:rPr>
              <w:t>ANALIZA ZAWARTOŚCI PROJEKTU FEPZ 2021-2027 I JEGO ZGODNOŚCI Z INNYMI DOKUMENTAMI</w:t>
            </w:r>
            <w:r w:rsidR="000B5638">
              <w:rPr>
                <w:noProof/>
                <w:webHidden/>
              </w:rPr>
              <w:tab/>
            </w:r>
            <w:r w:rsidR="000B5638">
              <w:rPr>
                <w:noProof/>
                <w:webHidden/>
              </w:rPr>
              <w:fldChar w:fldCharType="begin"/>
            </w:r>
            <w:r w:rsidR="000B5638">
              <w:rPr>
                <w:noProof/>
                <w:webHidden/>
              </w:rPr>
              <w:instrText xml:space="preserve"> PAGEREF _Toc104790627 \h </w:instrText>
            </w:r>
            <w:r w:rsidR="000B5638">
              <w:rPr>
                <w:noProof/>
                <w:webHidden/>
              </w:rPr>
            </w:r>
            <w:r w:rsidR="000B5638">
              <w:rPr>
                <w:noProof/>
                <w:webHidden/>
              </w:rPr>
              <w:fldChar w:fldCharType="separate"/>
            </w:r>
            <w:r w:rsidR="002B5007">
              <w:rPr>
                <w:noProof/>
                <w:webHidden/>
              </w:rPr>
              <w:t>50</w:t>
            </w:r>
            <w:r w:rsidR="000B5638">
              <w:rPr>
                <w:noProof/>
                <w:webHidden/>
              </w:rPr>
              <w:fldChar w:fldCharType="end"/>
            </w:r>
          </w:hyperlink>
        </w:p>
        <w:p w14:paraId="3F217530" w14:textId="41DA6B91" w:rsidR="000B5638" w:rsidRDefault="000F4A05">
          <w:pPr>
            <w:pStyle w:val="Spistreci1"/>
            <w:tabs>
              <w:tab w:val="left" w:pos="660"/>
              <w:tab w:val="right" w:leader="dot" w:pos="9062"/>
            </w:tabs>
            <w:rPr>
              <w:noProof/>
              <w:sz w:val="22"/>
              <w:szCs w:val="22"/>
              <w:lang w:eastAsia="pl-PL"/>
            </w:rPr>
          </w:pPr>
          <w:hyperlink w:anchor="_Toc104790628" w:history="1">
            <w:r w:rsidR="000B5638" w:rsidRPr="00202C70">
              <w:rPr>
                <w:rStyle w:val="Hipercze"/>
                <w:noProof/>
              </w:rPr>
              <w:t>3.1.</w:t>
            </w:r>
            <w:r w:rsidR="000B5638">
              <w:rPr>
                <w:noProof/>
                <w:sz w:val="22"/>
                <w:szCs w:val="22"/>
                <w:lang w:eastAsia="pl-PL"/>
              </w:rPr>
              <w:tab/>
            </w:r>
            <w:r w:rsidR="000B5638" w:rsidRPr="00202C70">
              <w:rPr>
                <w:rStyle w:val="Hipercze"/>
                <w:noProof/>
              </w:rPr>
              <w:t>ZAWARTOŚĆ PROJEKTU FEPZ 2021-2027</w:t>
            </w:r>
            <w:r w:rsidR="000B5638">
              <w:rPr>
                <w:noProof/>
                <w:webHidden/>
              </w:rPr>
              <w:tab/>
            </w:r>
            <w:r w:rsidR="000B5638">
              <w:rPr>
                <w:noProof/>
                <w:webHidden/>
              </w:rPr>
              <w:fldChar w:fldCharType="begin"/>
            </w:r>
            <w:r w:rsidR="000B5638">
              <w:rPr>
                <w:noProof/>
                <w:webHidden/>
              </w:rPr>
              <w:instrText xml:space="preserve"> PAGEREF _Toc104790628 \h </w:instrText>
            </w:r>
            <w:r w:rsidR="000B5638">
              <w:rPr>
                <w:noProof/>
                <w:webHidden/>
              </w:rPr>
            </w:r>
            <w:r w:rsidR="000B5638">
              <w:rPr>
                <w:noProof/>
                <w:webHidden/>
              </w:rPr>
              <w:fldChar w:fldCharType="separate"/>
            </w:r>
            <w:r w:rsidR="002B5007">
              <w:rPr>
                <w:noProof/>
                <w:webHidden/>
              </w:rPr>
              <w:t>50</w:t>
            </w:r>
            <w:r w:rsidR="000B5638">
              <w:rPr>
                <w:noProof/>
                <w:webHidden/>
              </w:rPr>
              <w:fldChar w:fldCharType="end"/>
            </w:r>
          </w:hyperlink>
        </w:p>
        <w:p w14:paraId="019998DE" w14:textId="735D7D07" w:rsidR="000B5638" w:rsidRDefault="000F4A05">
          <w:pPr>
            <w:pStyle w:val="Spistreci1"/>
            <w:tabs>
              <w:tab w:val="left" w:pos="660"/>
              <w:tab w:val="right" w:leader="dot" w:pos="9062"/>
            </w:tabs>
            <w:rPr>
              <w:noProof/>
              <w:sz w:val="22"/>
              <w:szCs w:val="22"/>
              <w:lang w:eastAsia="pl-PL"/>
            </w:rPr>
          </w:pPr>
          <w:hyperlink w:anchor="_Toc104790629" w:history="1">
            <w:r w:rsidR="000B5638" w:rsidRPr="00202C70">
              <w:rPr>
                <w:rStyle w:val="Hipercze"/>
                <w:noProof/>
              </w:rPr>
              <w:t>3.2.</w:t>
            </w:r>
            <w:r w:rsidR="000B5638">
              <w:rPr>
                <w:noProof/>
                <w:sz w:val="22"/>
                <w:szCs w:val="22"/>
                <w:lang w:eastAsia="pl-PL"/>
              </w:rPr>
              <w:tab/>
            </w:r>
            <w:r w:rsidR="000B5638" w:rsidRPr="00202C70">
              <w:rPr>
                <w:rStyle w:val="Hipercze"/>
                <w:noProof/>
              </w:rPr>
              <w:t>CELE OCHRONY ŚRODOWISKA USTANOWIONE NA SZCZEBLU MIĘDZYNARODOWYM, KRAJOWYM I REGIONALNYM, ISTOTNE DLA PROJEKTU PROGRAMU</w:t>
            </w:r>
            <w:r w:rsidR="000B5638">
              <w:rPr>
                <w:noProof/>
                <w:webHidden/>
              </w:rPr>
              <w:tab/>
            </w:r>
            <w:r w:rsidR="000B5638">
              <w:rPr>
                <w:noProof/>
                <w:webHidden/>
              </w:rPr>
              <w:fldChar w:fldCharType="begin"/>
            </w:r>
            <w:r w:rsidR="000B5638">
              <w:rPr>
                <w:noProof/>
                <w:webHidden/>
              </w:rPr>
              <w:instrText xml:space="preserve"> PAGEREF _Toc104790629 \h </w:instrText>
            </w:r>
            <w:r w:rsidR="000B5638">
              <w:rPr>
                <w:noProof/>
                <w:webHidden/>
              </w:rPr>
            </w:r>
            <w:r w:rsidR="000B5638">
              <w:rPr>
                <w:noProof/>
                <w:webHidden/>
              </w:rPr>
              <w:fldChar w:fldCharType="separate"/>
            </w:r>
            <w:r w:rsidR="002B5007">
              <w:rPr>
                <w:noProof/>
                <w:webHidden/>
              </w:rPr>
              <w:t>51</w:t>
            </w:r>
            <w:r w:rsidR="000B5638">
              <w:rPr>
                <w:noProof/>
                <w:webHidden/>
              </w:rPr>
              <w:fldChar w:fldCharType="end"/>
            </w:r>
          </w:hyperlink>
        </w:p>
        <w:p w14:paraId="7C8A3BBC" w14:textId="64927033" w:rsidR="000B5638" w:rsidRDefault="000F4A05">
          <w:pPr>
            <w:pStyle w:val="Spistreci1"/>
            <w:tabs>
              <w:tab w:val="left" w:pos="440"/>
              <w:tab w:val="right" w:leader="dot" w:pos="9062"/>
            </w:tabs>
            <w:rPr>
              <w:noProof/>
              <w:sz w:val="22"/>
              <w:szCs w:val="22"/>
              <w:lang w:eastAsia="pl-PL"/>
            </w:rPr>
          </w:pPr>
          <w:hyperlink w:anchor="_Toc104790630" w:history="1">
            <w:r w:rsidR="000B5638" w:rsidRPr="00202C70">
              <w:rPr>
                <w:rStyle w:val="Hipercze"/>
                <w:noProof/>
              </w:rPr>
              <w:t>4.</w:t>
            </w:r>
            <w:r w:rsidR="000B5638">
              <w:rPr>
                <w:noProof/>
                <w:sz w:val="22"/>
                <w:szCs w:val="22"/>
                <w:lang w:eastAsia="pl-PL"/>
              </w:rPr>
              <w:tab/>
            </w:r>
            <w:r w:rsidR="000B5638" w:rsidRPr="00202C70">
              <w:rPr>
                <w:rStyle w:val="Hipercze"/>
                <w:noProof/>
              </w:rPr>
              <w:t>OCENA SKUTKÓW REALIZACJI PROJEKTU FEPZ 2021-2027 Z UWZGLĘDNIENIEM ODDZIAŁYWANIA NA POSZCZEGÓLNE ELEMENTY ŚRODOWISKA</w:t>
            </w:r>
            <w:r w:rsidR="000B5638">
              <w:rPr>
                <w:noProof/>
                <w:webHidden/>
              </w:rPr>
              <w:tab/>
            </w:r>
            <w:r w:rsidR="000B5638">
              <w:rPr>
                <w:noProof/>
                <w:webHidden/>
              </w:rPr>
              <w:fldChar w:fldCharType="begin"/>
            </w:r>
            <w:r w:rsidR="000B5638">
              <w:rPr>
                <w:noProof/>
                <w:webHidden/>
              </w:rPr>
              <w:instrText xml:space="preserve"> PAGEREF _Toc104790630 \h </w:instrText>
            </w:r>
            <w:r w:rsidR="000B5638">
              <w:rPr>
                <w:noProof/>
                <w:webHidden/>
              </w:rPr>
            </w:r>
            <w:r w:rsidR="000B5638">
              <w:rPr>
                <w:noProof/>
                <w:webHidden/>
              </w:rPr>
              <w:fldChar w:fldCharType="separate"/>
            </w:r>
            <w:r w:rsidR="002B5007">
              <w:rPr>
                <w:noProof/>
                <w:webHidden/>
              </w:rPr>
              <w:t>58</w:t>
            </w:r>
            <w:r w:rsidR="000B5638">
              <w:rPr>
                <w:noProof/>
                <w:webHidden/>
              </w:rPr>
              <w:fldChar w:fldCharType="end"/>
            </w:r>
          </w:hyperlink>
        </w:p>
        <w:p w14:paraId="5E229940" w14:textId="60E73BB4" w:rsidR="000B5638" w:rsidRDefault="000F4A05">
          <w:pPr>
            <w:pStyle w:val="Spistreci1"/>
            <w:tabs>
              <w:tab w:val="left" w:pos="660"/>
              <w:tab w:val="right" w:leader="dot" w:pos="9062"/>
            </w:tabs>
            <w:rPr>
              <w:noProof/>
              <w:sz w:val="22"/>
              <w:szCs w:val="22"/>
              <w:lang w:eastAsia="pl-PL"/>
            </w:rPr>
          </w:pPr>
          <w:hyperlink w:anchor="_Toc104790631" w:history="1">
            <w:r w:rsidR="000B5638" w:rsidRPr="00202C70">
              <w:rPr>
                <w:rStyle w:val="Hipercze"/>
                <w:noProof/>
              </w:rPr>
              <w:t>4.1.</w:t>
            </w:r>
            <w:r w:rsidR="000B5638">
              <w:rPr>
                <w:noProof/>
                <w:sz w:val="22"/>
                <w:szCs w:val="22"/>
                <w:lang w:eastAsia="pl-PL"/>
              </w:rPr>
              <w:tab/>
            </w:r>
            <w:r w:rsidR="000B5638" w:rsidRPr="00202C70">
              <w:rPr>
                <w:rStyle w:val="Hipercze"/>
                <w:noProof/>
              </w:rPr>
              <w:t>PRZEWIDYWANE ZNACZĄCE ODDZIAŁYWANIA NA RÓŻNORODNOŚĆ BIOLOGICZNĄ, W TYM ROŚLINY, ZWIERZĘTA I OBSZARY NATURA 2000</w:t>
            </w:r>
            <w:r w:rsidR="000B5638">
              <w:rPr>
                <w:noProof/>
                <w:webHidden/>
              </w:rPr>
              <w:tab/>
            </w:r>
            <w:r w:rsidR="000B5638">
              <w:rPr>
                <w:noProof/>
                <w:webHidden/>
              </w:rPr>
              <w:fldChar w:fldCharType="begin"/>
            </w:r>
            <w:r w:rsidR="000B5638">
              <w:rPr>
                <w:noProof/>
                <w:webHidden/>
              </w:rPr>
              <w:instrText xml:space="preserve"> PAGEREF _Toc104790631 \h </w:instrText>
            </w:r>
            <w:r w:rsidR="000B5638">
              <w:rPr>
                <w:noProof/>
                <w:webHidden/>
              </w:rPr>
            </w:r>
            <w:r w:rsidR="000B5638">
              <w:rPr>
                <w:noProof/>
                <w:webHidden/>
              </w:rPr>
              <w:fldChar w:fldCharType="separate"/>
            </w:r>
            <w:r w:rsidR="002B5007">
              <w:rPr>
                <w:noProof/>
                <w:webHidden/>
              </w:rPr>
              <w:t>58</w:t>
            </w:r>
            <w:r w:rsidR="000B5638">
              <w:rPr>
                <w:noProof/>
                <w:webHidden/>
              </w:rPr>
              <w:fldChar w:fldCharType="end"/>
            </w:r>
          </w:hyperlink>
        </w:p>
        <w:p w14:paraId="705E1E83" w14:textId="21EA46CD" w:rsidR="000B5638" w:rsidRDefault="000F4A05">
          <w:pPr>
            <w:pStyle w:val="Spistreci1"/>
            <w:tabs>
              <w:tab w:val="left" w:pos="660"/>
              <w:tab w:val="right" w:leader="dot" w:pos="9062"/>
            </w:tabs>
            <w:rPr>
              <w:noProof/>
              <w:sz w:val="22"/>
              <w:szCs w:val="22"/>
              <w:lang w:eastAsia="pl-PL"/>
            </w:rPr>
          </w:pPr>
          <w:hyperlink w:anchor="_Toc104790632" w:history="1">
            <w:r w:rsidR="000B5638" w:rsidRPr="00202C70">
              <w:rPr>
                <w:rStyle w:val="Hipercze"/>
                <w:noProof/>
              </w:rPr>
              <w:t>4.2.</w:t>
            </w:r>
            <w:r w:rsidR="000B5638">
              <w:rPr>
                <w:noProof/>
                <w:sz w:val="22"/>
                <w:szCs w:val="22"/>
                <w:lang w:eastAsia="pl-PL"/>
              </w:rPr>
              <w:tab/>
            </w:r>
            <w:r w:rsidR="000B5638" w:rsidRPr="00202C70">
              <w:rPr>
                <w:rStyle w:val="Hipercze"/>
                <w:noProof/>
              </w:rPr>
              <w:t>PRZEWIDYWANE ZNACZĄCE ODDZIAŁYWANIA NA ZDROWIE I JAKOŚĆ ŻYCIA LUDZI</w:t>
            </w:r>
            <w:r w:rsidR="000B5638">
              <w:rPr>
                <w:noProof/>
                <w:webHidden/>
              </w:rPr>
              <w:tab/>
            </w:r>
            <w:r w:rsidR="000B5638">
              <w:rPr>
                <w:noProof/>
                <w:webHidden/>
              </w:rPr>
              <w:fldChar w:fldCharType="begin"/>
            </w:r>
            <w:r w:rsidR="000B5638">
              <w:rPr>
                <w:noProof/>
                <w:webHidden/>
              </w:rPr>
              <w:instrText xml:space="preserve"> PAGEREF _Toc104790632 \h </w:instrText>
            </w:r>
            <w:r w:rsidR="000B5638">
              <w:rPr>
                <w:noProof/>
                <w:webHidden/>
              </w:rPr>
            </w:r>
            <w:r w:rsidR="000B5638">
              <w:rPr>
                <w:noProof/>
                <w:webHidden/>
              </w:rPr>
              <w:fldChar w:fldCharType="separate"/>
            </w:r>
            <w:r w:rsidR="002B5007">
              <w:rPr>
                <w:noProof/>
                <w:webHidden/>
              </w:rPr>
              <w:t>74</w:t>
            </w:r>
            <w:r w:rsidR="000B5638">
              <w:rPr>
                <w:noProof/>
                <w:webHidden/>
              </w:rPr>
              <w:fldChar w:fldCharType="end"/>
            </w:r>
          </w:hyperlink>
        </w:p>
        <w:p w14:paraId="65C587DD" w14:textId="33AAFB38" w:rsidR="000B5638" w:rsidRDefault="000F4A05">
          <w:pPr>
            <w:pStyle w:val="Spistreci1"/>
            <w:tabs>
              <w:tab w:val="left" w:pos="660"/>
              <w:tab w:val="right" w:leader="dot" w:pos="9062"/>
            </w:tabs>
            <w:rPr>
              <w:noProof/>
              <w:sz w:val="22"/>
              <w:szCs w:val="22"/>
              <w:lang w:eastAsia="pl-PL"/>
            </w:rPr>
          </w:pPr>
          <w:hyperlink w:anchor="_Toc104790633" w:history="1">
            <w:r w:rsidR="000B5638" w:rsidRPr="00202C70">
              <w:rPr>
                <w:rStyle w:val="Hipercze"/>
                <w:noProof/>
              </w:rPr>
              <w:t>4.3.</w:t>
            </w:r>
            <w:r w:rsidR="000B5638">
              <w:rPr>
                <w:noProof/>
                <w:sz w:val="22"/>
                <w:szCs w:val="22"/>
                <w:lang w:eastAsia="pl-PL"/>
              </w:rPr>
              <w:tab/>
            </w:r>
            <w:r w:rsidR="000B5638" w:rsidRPr="00202C70">
              <w:rPr>
                <w:rStyle w:val="Hipercze"/>
                <w:noProof/>
              </w:rPr>
              <w:t>PRZEWIDYWANE ZNACZĄCE ODDZIAŁYWANIA NA WODY</w:t>
            </w:r>
            <w:r w:rsidR="000B5638">
              <w:rPr>
                <w:noProof/>
                <w:webHidden/>
              </w:rPr>
              <w:tab/>
            </w:r>
            <w:r w:rsidR="000B5638">
              <w:rPr>
                <w:noProof/>
                <w:webHidden/>
              </w:rPr>
              <w:fldChar w:fldCharType="begin"/>
            </w:r>
            <w:r w:rsidR="000B5638">
              <w:rPr>
                <w:noProof/>
                <w:webHidden/>
              </w:rPr>
              <w:instrText xml:space="preserve"> PAGEREF _Toc104790633 \h </w:instrText>
            </w:r>
            <w:r w:rsidR="000B5638">
              <w:rPr>
                <w:noProof/>
                <w:webHidden/>
              </w:rPr>
            </w:r>
            <w:r w:rsidR="000B5638">
              <w:rPr>
                <w:noProof/>
                <w:webHidden/>
              </w:rPr>
              <w:fldChar w:fldCharType="separate"/>
            </w:r>
            <w:r w:rsidR="002B5007">
              <w:rPr>
                <w:noProof/>
                <w:webHidden/>
              </w:rPr>
              <w:t>83</w:t>
            </w:r>
            <w:r w:rsidR="000B5638">
              <w:rPr>
                <w:noProof/>
                <w:webHidden/>
              </w:rPr>
              <w:fldChar w:fldCharType="end"/>
            </w:r>
          </w:hyperlink>
        </w:p>
        <w:p w14:paraId="65FA2849" w14:textId="41745787" w:rsidR="000B5638" w:rsidRDefault="000F4A05">
          <w:pPr>
            <w:pStyle w:val="Spistreci1"/>
            <w:tabs>
              <w:tab w:val="left" w:pos="660"/>
              <w:tab w:val="right" w:leader="dot" w:pos="9062"/>
            </w:tabs>
            <w:rPr>
              <w:noProof/>
              <w:sz w:val="22"/>
              <w:szCs w:val="22"/>
              <w:lang w:eastAsia="pl-PL"/>
            </w:rPr>
          </w:pPr>
          <w:hyperlink w:anchor="_Toc104790634" w:history="1">
            <w:r w:rsidR="000B5638" w:rsidRPr="00202C70">
              <w:rPr>
                <w:rStyle w:val="Hipercze"/>
                <w:noProof/>
              </w:rPr>
              <w:t>4.4.</w:t>
            </w:r>
            <w:r w:rsidR="000B5638">
              <w:rPr>
                <w:noProof/>
                <w:sz w:val="22"/>
                <w:szCs w:val="22"/>
                <w:lang w:eastAsia="pl-PL"/>
              </w:rPr>
              <w:tab/>
            </w:r>
            <w:r w:rsidR="000B5638" w:rsidRPr="00202C70">
              <w:rPr>
                <w:rStyle w:val="Hipercze"/>
                <w:noProof/>
              </w:rPr>
              <w:t>PRZEWIDYWANE ZNACZĄCE ODDZIAŁYWANIA NA POWIETRZE</w:t>
            </w:r>
            <w:r w:rsidR="000B5638">
              <w:rPr>
                <w:noProof/>
                <w:webHidden/>
              </w:rPr>
              <w:tab/>
            </w:r>
            <w:r w:rsidR="000B5638">
              <w:rPr>
                <w:noProof/>
                <w:webHidden/>
              </w:rPr>
              <w:fldChar w:fldCharType="begin"/>
            </w:r>
            <w:r w:rsidR="000B5638">
              <w:rPr>
                <w:noProof/>
                <w:webHidden/>
              </w:rPr>
              <w:instrText xml:space="preserve"> PAGEREF _Toc104790634 \h </w:instrText>
            </w:r>
            <w:r w:rsidR="000B5638">
              <w:rPr>
                <w:noProof/>
                <w:webHidden/>
              </w:rPr>
            </w:r>
            <w:r w:rsidR="000B5638">
              <w:rPr>
                <w:noProof/>
                <w:webHidden/>
              </w:rPr>
              <w:fldChar w:fldCharType="separate"/>
            </w:r>
            <w:r w:rsidR="002B5007">
              <w:rPr>
                <w:noProof/>
                <w:webHidden/>
              </w:rPr>
              <w:t>102</w:t>
            </w:r>
            <w:r w:rsidR="000B5638">
              <w:rPr>
                <w:noProof/>
                <w:webHidden/>
              </w:rPr>
              <w:fldChar w:fldCharType="end"/>
            </w:r>
          </w:hyperlink>
        </w:p>
        <w:p w14:paraId="48E87427" w14:textId="274EBB20" w:rsidR="000B5638" w:rsidRDefault="000F4A05">
          <w:pPr>
            <w:pStyle w:val="Spistreci1"/>
            <w:tabs>
              <w:tab w:val="left" w:pos="660"/>
              <w:tab w:val="right" w:leader="dot" w:pos="9062"/>
            </w:tabs>
            <w:rPr>
              <w:noProof/>
              <w:sz w:val="22"/>
              <w:szCs w:val="22"/>
              <w:lang w:eastAsia="pl-PL"/>
            </w:rPr>
          </w:pPr>
          <w:hyperlink w:anchor="_Toc104790635" w:history="1">
            <w:r w:rsidR="000B5638" w:rsidRPr="00202C70">
              <w:rPr>
                <w:rStyle w:val="Hipercze"/>
                <w:noProof/>
              </w:rPr>
              <w:t>4.5.</w:t>
            </w:r>
            <w:r w:rsidR="000B5638">
              <w:rPr>
                <w:noProof/>
                <w:sz w:val="22"/>
                <w:szCs w:val="22"/>
                <w:lang w:eastAsia="pl-PL"/>
              </w:rPr>
              <w:tab/>
            </w:r>
            <w:r w:rsidR="000B5638" w:rsidRPr="00202C70">
              <w:rPr>
                <w:rStyle w:val="Hipercze"/>
                <w:noProof/>
              </w:rPr>
              <w:t>PRZEWIDYWANE ZNACZĄCE ODDZIAŁYWANIA NA POWIERZCHNIĘ ZIEMI</w:t>
            </w:r>
            <w:r w:rsidR="000B5638">
              <w:rPr>
                <w:noProof/>
                <w:webHidden/>
              </w:rPr>
              <w:tab/>
            </w:r>
            <w:r w:rsidR="000B5638">
              <w:rPr>
                <w:noProof/>
                <w:webHidden/>
              </w:rPr>
              <w:fldChar w:fldCharType="begin"/>
            </w:r>
            <w:r w:rsidR="000B5638">
              <w:rPr>
                <w:noProof/>
                <w:webHidden/>
              </w:rPr>
              <w:instrText xml:space="preserve"> PAGEREF _Toc104790635 \h </w:instrText>
            </w:r>
            <w:r w:rsidR="000B5638">
              <w:rPr>
                <w:noProof/>
                <w:webHidden/>
              </w:rPr>
            </w:r>
            <w:r w:rsidR="000B5638">
              <w:rPr>
                <w:noProof/>
                <w:webHidden/>
              </w:rPr>
              <w:fldChar w:fldCharType="separate"/>
            </w:r>
            <w:r w:rsidR="002B5007">
              <w:rPr>
                <w:noProof/>
                <w:webHidden/>
              </w:rPr>
              <w:t>112</w:t>
            </w:r>
            <w:r w:rsidR="000B5638">
              <w:rPr>
                <w:noProof/>
                <w:webHidden/>
              </w:rPr>
              <w:fldChar w:fldCharType="end"/>
            </w:r>
          </w:hyperlink>
        </w:p>
        <w:p w14:paraId="18BCCAC5" w14:textId="126D6F61" w:rsidR="000B5638" w:rsidRDefault="000F4A05">
          <w:pPr>
            <w:pStyle w:val="Spistreci1"/>
            <w:tabs>
              <w:tab w:val="left" w:pos="660"/>
              <w:tab w:val="right" w:leader="dot" w:pos="9062"/>
            </w:tabs>
            <w:rPr>
              <w:noProof/>
              <w:sz w:val="22"/>
              <w:szCs w:val="22"/>
              <w:lang w:eastAsia="pl-PL"/>
            </w:rPr>
          </w:pPr>
          <w:hyperlink w:anchor="_Toc104790636" w:history="1">
            <w:r w:rsidR="000B5638" w:rsidRPr="00202C70">
              <w:rPr>
                <w:rStyle w:val="Hipercze"/>
                <w:noProof/>
              </w:rPr>
              <w:t>4.6.</w:t>
            </w:r>
            <w:r w:rsidR="000B5638">
              <w:rPr>
                <w:noProof/>
                <w:sz w:val="22"/>
                <w:szCs w:val="22"/>
                <w:lang w:eastAsia="pl-PL"/>
              </w:rPr>
              <w:tab/>
            </w:r>
            <w:r w:rsidR="000B5638" w:rsidRPr="00202C70">
              <w:rPr>
                <w:rStyle w:val="Hipercze"/>
                <w:noProof/>
              </w:rPr>
              <w:t>PRZEWIDYWANE ZNACZĄCE ODDZIAŁYWANIA NA KRAJOBRAZ</w:t>
            </w:r>
            <w:r w:rsidR="000B5638">
              <w:rPr>
                <w:noProof/>
                <w:webHidden/>
              </w:rPr>
              <w:tab/>
            </w:r>
            <w:r w:rsidR="000B5638">
              <w:rPr>
                <w:noProof/>
                <w:webHidden/>
              </w:rPr>
              <w:fldChar w:fldCharType="begin"/>
            </w:r>
            <w:r w:rsidR="000B5638">
              <w:rPr>
                <w:noProof/>
                <w:webHidden/>
              </w:rPr>
              <w:instrText xml:space="preserve"> PAGEREF _Toc104790636 \h </w:instrText>
            </w:r>
            <w:r w:rsidR="000B5638">
              <w:rPr>
                <w:noProof/>
                <w:webHidden/>
              </w:rPr>
            </w:r>
            <w:r w:rsidR="000B5638">
              <w:rPr>
                <w:noProof/>
                <w:webHidden/>
              </w:rPr>
              <w:fldChar w:fldCharType="separate"/>
            </w:r>
            <w:r w:rsidR="002B5007">
              <w:rPr>
                <w:noProof/>
                <w:webHidden/>
              </w:rPr>
              <w:t>121</w:t>
            </w:r>
            <w:r w:rsidR="000B5638">
              <w:rPr>
                <w:noProof/>
                <w:webHidden/>
              </w:rPr>
              <w:fldChar w:fldCharType="end"/>
            </w:r>
          </w:hyperlink>
        </w:p>
        <w:p w14:paraId="1DBBAFCD" w14:textId="0B568AEC" w:rsidR="000B5638" w:rsidRDefault="000F4A05">
          <w:pPr>
            <w:pStyle w:val="Spistreci1"/>
            <w:tabs>
              <w:tab w:val="left" w:pos="660"/>
              <w:tab w:val="right" w:leader="dot" w:pos="9062"/>
            </w:tabs>
            <w:rPr>
              <w:noProof/>
              <w:sz w:val="22"/>
              <w:szCs w:val="22"/>
              <w:lang w:eastAsia="pl-PL"/>
            </w:rPr>
          </w:pPr>
          <w:hyperlink w:anchor="_Toc104790637" w:history="1">
            <w:r w:rsidR="000B5638" w:rsidRPr="00202C70">
              <w:rPr>
                <w:rStyle w:val="Hipercze"/>
                <w:noProof/>
              </w:rPr>
              <w:t>4.7.</w:t>
            </w:r>
            <w:r w:rsidR="000B5638">
              <w:rPr>
                <w:noProof/>
                <w:sz w:val="22"/>
                <w:szCs w:val="22"/>
                <w:lang w:eastAsia="pl-PL"/>
              </w:rPr>
              <w:tab/>
            </w:r>
            <w:r w:rsidR="000B5638" w:rsidRPr="00202C70">
              <w:rPr>
                <w:rStyle w:val="Hipercze"/>
                <w:noProof/>
              </w:rPr>
              <w:t>WPŁYW NA KLIMAT I ADAPTACJA DO ZMIAN KLIMATU</w:t>
            </w:r>
            <w:r w:rsidR="000B5638">
              <w:rPr>
                <w:noProof/>
                <w:webHidden/>
              </w:rPr>
              <w:tab/>
            </w:r>
            <w:r w:rsidR="000B5638">
              <w:rPr>
                <w:noProof/>
                <w:webHidden/>
              </w:rPr>
              <w:fldChar w:fldCharType="begin"/>
            </w:r>
            <w:r w:rsidR="000B5638">
              <w:rPr>
                <w:noProof/>
                <w:webHidden/>
              </w:rPr>
              <w:instrText xml:space="preserve"> PAGEREF _Toc104790637 \h </w:instrText>
            </w:r>
            <w:r w:rsidR="000B5638">
              <w:rPr>
                <w:noProof/>
                <w:webHidden/>
              </w:rPr>
            </w:r>
            <w:r w:rsidR="000B5638">
              <w:rPr>
                <w:noProof/>
                <w:webHidden/>
              </w:rPr>
              <w:fldChar w:fldCharType="separate"/>
            </w:r>
            <w:r w:rsidR="002B5007">
              <w:rPr>
                <w:noProof/>
                <w:webHidden/>
              </w:rPr>
              <w:t>125</w:t>
            </w:r>
            <w:r w:rsidR="000B5638">
              <w:rPr>
                <w:noProof/>
                <w:webHidden/>
              </w:rPr>
              <w:fldChar w:fldCharType="end"/>
            </w:r>
          </w:hyperlink>
        </w:p>
        <w:p w14:paraId="445402D8" w14:textId="121C396F" w:rsidR="000B5638" w:rsidRDefault="000F4A05">
          <w:pPr>
            <w:pStyle w:val="Spistreci1"/>
            <w:tabs>
              <w:tab w:val="left" w:pos="660"/>
              <w:tab w:val="right" w:leader="dot" w:pos="9062"/>
            </w:tabs>
            <w:rPr>
              <w:noProof/>
              <w:sz w:val="22"/>
              <w:szCs w:val="22"/>
              <w:lang w:eastAsia="pl-PL"/>
            </w:rPr>
          </w:pPr>
          <w:hyperlink w:anchor="_Toc104790638" w:history="1">
            <w:r w:rsidR="000B5638" w:rsidRPr="00202C70">
              <w:rPr>
                <w:rStyle w:val="Hipercze"/>
                <w:noProof/>
              </w:rPr>
              <w:t>4.8.</w:t>
            </w:r>
            <w:r w:rsidR="000B5638">
              <w:rPr>
                <w:noProof/>
                <w:sz w:val="22"/>
                <w:szCs w:val="22"/>
                <w:lang w:eastAsia="pl-PL"/>
              </w:rPr>
              <w:tab/>
            </w:r>
            <w:r w:rsidR="000B5638" w:rsidRPr="00202C70">
              <w:rPr>
                <w:rStyle w:val="Hipercze"/>
                <w:noProof/>
              </w:rPr>
              <w:t>PRZEWIDYWANE ZNACZĄCE ODDZIAŁYWANIA NA ZASOBY NATURALNE</w:t>
            </w:r>
            <w:r w:rsidR="000B5638">
              <w:rPr>
                <w:noProof/>
                <w:webHidden/>
              </w:rPr>
              <w:tab/>
            </w:r>
            <w:r w:rsidR="000B5638">
              <w:rPr>
                <w:noProof/>
                <w:webHidden/>
              </w:rPr>
              <w:fldChar w:fldCharType="begin"/>
            </w:r>
            <w:r w:rsidR="000B5638">
              <w:rPr>
                <w:noProof/>
                <w:webHidden/>
              </w:rPr>
              <w:instrText xml:space="preserve"> PAGEREF _Toc104790638 \h </w:instrText>
            </w:r>
            <w:r w:rsidR="000B5638">
              <w:rPr>
                <w:noProof/>
                <w:webHidden/>
              </w:rPr>
            </w:r>
            <w:r w:rsidR="000B5638">
              <w:rPr>
                <w:noProof/>
                <w:webHidden/>
              </w:rPr>
              <w:fldChar w:fldCharType="separate"/>
            </w:r>
            <w:r w:rsidR="002B5007">
              <w:rPr>
                <w:noProof/>
                <w:webHidden/>
              </w:rPr>
              <w:t>130</w:t>
            </w:r>
            <w:r w:rsidR="000B5638">
              <w:rPr>
                <w:noProof/>
                <w:webHidden/>
              </w:rPr>
              <w:fldChar w:fldCharType="end"/>
            </w:r>
          </w:hyperlink>
        </w:p>
        <w:p w14:paraId="65FDFB39" w14:textId="5FD4058E" w:rsidR="000B5638" w:rsidRDefault="000F4A05">
          <w:pPr>
            <w:pStyle w:val="Spistreci1"/>
            <w:tabs>
              <w:tab w:val="left" w:pos="660"/>
              <w:tab w:val="right" w:leader="dot" w:pos="9062"/>
            </w:tabs>
            <w:rPr>
              <w:noProof/>
              <w:sz w:val="22"/>
              <w:szCs w:val="22"/>
              <w:lang w:eastAsia="pl-PL"/>
            </w:rPr>
          </w:pPr>
          <w:hyperlink w:anchor="_Toc104790639" w:history="1">
            <w:r w:rsidR="000B5638" w:rsidRPr="00202C70">
              <w:rPr>
                <w:rStyle w:val="Hipercze"/>
                <w:noProof/>
              </w:rPr>
              <w:t>4.9.</w:t>
            </w:r>
            <w:r w:rsidR="000B5638">
              <w:rPr>
                <w:noProof/>
                <w:sz w:val="22"/>
                <w:szCs w:val="22"/>
                <w:lang w:eastAsia="pl-PL"/>
              </w:rPr>
              <w:tab/>
            </w:r>
            <w:r w:rsidR="000B5638" w:rsidRPr="00202C70">
              <w:rPr>
                <w:rStyle w:val="Hipercze"/>
                <w:noProof/>
              </w:rPr>
              <w:t>PRZEWIDYWANE ZNACZĄCE ODDZIAŁYWANIA NA ZABYTKI I DOBRA MATERIALNE</w:t>
            </w:r>
            <w:r w:rsidR="000B5638">
              <w:rPr>
                <w:noProof/>
                <w:webHidden/>
              </w:rPr>
              <w:tab/>
            </w:r>
            <w:r w:rsidR="000B5638">
              <w:rPr>
                <w:noProof/>
                <w:webHidden/>
              </w:rPr>
              <w:fldChar w:fldCharType="begin"/>
            </w:r>
            <w:r w:rsidR="000B5638">
              <w:rPr>
                <w:noProof/>
                <w:webHidden/>
              </w:rPr>
              <w:instrText xml:space="preserve"> PAGEREF _Toc104790639 \h </w:instrText>
            </w:r>
            <w:r w:rsidR="000B5638">
              <w:rPr>
                <w:noProof/>
                <w:webHidden/>
              </w:rPr>
            </w:r>
            <w:r w:rsidR="000B5638">
              <w:rPr>
                <w:noProof/>
                <w:webHidden/>
              </w:rPr>
              <w:fldChar w:fldCharType="separate"/>
            </w:r>
            <w:r w:rsidR="002B5007">
              <w:rPr>
                <w:noProof/>
                <w:webHidden/>
              </w:rPr>
              <w:t>134</w:t>
            </w:r>
            <w:r w:rsidR="000B5638">
              <w:rPr>
                <w:noProof/>
                <w:webHidden/>
              </w:rPr>
              <w:fldChar w:fldCharType="end"/>
            </w:r>
          </w:hyperlink>
        </w:p>
        <w:p w14:paraId="5B9BA2FB" w14:textId="63E5F532" w:rsidR="000B5638" w:rsidRDefault="000F4A05">
          <w:pPr>
            <w:pStyle w:val="Spistreci1"/>
            <w:tabs>
              <w:tab w:val="left" w:pos="880"/>
              <w:tab w:val="right" w:leader="dot" w:pos="9062"/>
            </w:tabs>
            <w:rPr>
              <w:noProof/>
              <w:sz w:val="22"/>
              <w:szCs w:val="22"/>
              <w:lang w:eastAsia="pl-PL"/>
            </w:rPr>
          </w:pPr>
          <w:hyperlink w:anchor="_Toc104790640" w:history="1">
            <w:r w:rsidR="000B5638" w:rsidRPr="00202C70">
              <w:rPr>
                <w:rStyle w:val="Hipercze"/>
                <w:noProof/>
              </w:rPr>
              <w:t>4.10.</w:t>
            </w:r>
            <w:r w:rsidR="000B5638">
              <w:rPr>
                <w:noProof/>
                <w:sz w:val="22"/>
                <w:szCs w:val="22"/>
                <w:lang w:eastAsia="pl-PL"/>
              </w:rPr>
              <w:tab/>
            </w:r>
            <w:r w:rsidR="000B5638" w:rsidRPr="00202C70">
              <w:rPr>
                <w:rStyle w:val="Hipercze"/>
                <w:noProof/>
              </w:rPr>
              <w:t>POTENCJALNE ODDZIAŁYWANIA NA ŚRODOWISKO ZE SZCZEGÓLNYM UWZGLĘDNIENIEM ODDZIAŁYWAŃ SKUMULOWANYCH</w:t>
            </w:r>
            <w:r w:rsidR="000B5638">
              <w:rPr>
                <w:noProof/>
                <w:webHidden/>
              </w:rPr>
              <w:tab/>
            </w:r>
            <w:r w:rsidR="000B5638">
              <w:rPr>
                <w:noProof/>
                <w:webHidden/>
              </w:rPr>
              <w:fldChar w:fldCharType="begin"/>
            </w:r>
            <w:r w:rsidR="000B5638">
              <w:rPr>
                <w:noProof/>
                <w:webHidden/>
              </w:rPr>
              <w:instrText xml:space="preserve"> PAGEREF _Toc104790640 \h </w:instrText>
            </w:r>
            <w:r w:rsidR="000B5638">
              <w:rPr>
                <w:noProof/>
                <w:webHidden/>
              </w:rPr>
            </w:r>
            <w:r w:rsidR="000B5638">
              <w:rPr>
                <w:noProof/>
                <w:webHidden/>
              </w:rPr>
              <w:fldChar w:fldCharType="separate"/>
            </w:r>
            <w:r w:rsidR="002B5007">
              <w:rPr>
                <w:noProof/>
                <w:webHidden/>
              </w:rPr>
              <w:t>140</w:t>
            </w:r>
            <w:r w:rsidR="000B5638">
              <w:rPr>
                <w:noProof/>
                <w:webHidden/>
              </w:rPr>
              <w:fldChar w:fldCharType="end"/>
            </w:r>
          </w:hyperlink>
        </w:p>
        <w:p w14:paraId="7CC858E3" w14:textId="07FC6C7D" w:rsidR="000B5638" w:rsidRDefault="000F4A05">
          <w:pPr>
            <w:pStyle w:val="Spistreci1"/>
            <w:tabs>
              <w:tab w:val="left" w:pos="440"/>
              <w:tab w:val="right" w:leader="dot" w:pos="9062"/>
            </w:tabs>
            <w:rPr>
              <w:noProof/>
              <w:sz w:val="22"/>
              <w:szCs w:val="22"/>
              <w:lang w:eastAsia="pl-PL"/>
            </w:rPr>
          </w:pPr>
          <w:hyperlink w:anchor="_Toc104790641" w:history="1">
            <w:r w:rsidR="000B5638" w:rsidRPr="00202C70">
              <w:rPr>
                <w:rStyle w:val="Hipercze"/>
                <w:noProof/>
              </w:rPr>
              <w:t>5.</w:t>
            </w:r>
            <w:r w:rsidR="000B5638">
              <w:rPr>
                <w:noProof/>
                <w:sz w:val="22"/>
                <w:szCs w:val="22"/>
                <w:lang w:eastAsia="pl-PL"/>
              </w:rPr>
              <w:tab/>
            </w:r>
            <w:r w:rsidR="000B5638" w:rsidRPr="00202C70">
              <w:rPr>
                <w:rStyle w:val="Hipercze"/>
                <w:noProof/>
              </w:rPr>
              <w:t>INFORAMACJA O MOŻLIWYM TRANSGRANICZNY ODDZIAŁYWANU NA ŚRODOWISKO</w:t>
            </w:r>
            <w:r w:rsidR="000B5638">
              <w:rPr>
                <w:noProof/>
                <w:webHidden/>
              </w:rPr>
              <w:tab/>
            </w:r>
            <w:r w:rsidR="000B5638">
              <w:rPr>
                <w:noProof/>
                <w:webHidden/>
              </w:rPr>
              <w:fldChar w:fldCharType="begin"/>
            </w:r>
            <w:r w:rsidR="000B5638">
              <w:rPr>
                <w:noProof/>
                <w:webHidden/>
              </w:rPr>
              <w:instrText xml:space="preserve"> PAGEREF _Toc104790641 \h </w:instrText>
            </w:r>
            <w:r w:rsidR="000B5638">
              <w:rPr>
                <w:noProof/>
                <w:webHidden/>
              </w:rPr>
            </w:r>
            <w:r w:rsidR="000B5638">
              <w:rPr>
                <w:noProof/>
                <w:webHidden/>
              </w:rPr>
              <w:fldChar w:fldCharType="separate"/>
            </w:r>
            <w:r w:rsidR="002B5007">
              <w:rPr>
                <w:noProof/>
                <w:webHidden/>
              </w:rPr>
              <w:t>148</w:t>
            </w:r>
            <w:r w:rsidR="000B5638">
              <w:rPr>
                <w:noProof/>
                <w:webHidden/>
              </w:rPr>
              <w:fldChar w:fldCharType="end"/>
            </w:r>
          </w:hyperlink>
        </w:p>
        <w:p w14:paraId="2D06F746" w14:textId="79DAAB68" w:rsidR="000B5638" w:rsidRDefault="000F4A05">
          <w:pPr>
            <w:pStyle w:val="Spistreci1"/>
            <w:tabs>
              <w:tab w:val="left" w:pos="440"/>
              <w:tab w:val="right" w:leader="dot" w:pos="9062"/>
            </w:tabs>
            <w:rPr>
              <w:noProof/>
              <w:sz w:val="22"/>
              <w:szCs w:val="22"/>
              <w:lang w:eastAsia="pl-PL"/>
            </w:rPr>
          </w:pPr>
          <w:hyperlink w:anchor="_Toc104790642" w:history="1">
            <w:r w:rsidR="000B5638" w:rsidRPr="00202C70">
              <w:rPr>
                <w:rStyle w:val="Hipercze"/>
                <w:noProof/>
              </w:rPr>
              <w:t>6.</w:t>
            </w:r>
            <w:r w:rsidR="000B5638">
              <w:rPr>
                <w:noProof/>
                <w:sz w:val="22"/>
                <w:szCs w:val="22"/>
                <w:lang w:eastAsia="pl-PL"/>
              </w:rPr>
              <w:tab/>
            </w:r>
            <w:r w:rsidR="000B5638" w:rsidRPr="00202C70">
              <w:rPr>
                <w:rStyle w:val="Hipercze"/>
                <w:noProof/>
              </w:rPr>
              <w:t>ROZWIĄZANIA MAJĄCE NA CELU ZAPOBIEGANIE, OGRANICZANIE LUB KOMPENSACJĘ PRZYRODNICZĄ NEGATYWNYCH ODDZIAŁYWAŃ NA ŚRODOWISKO</w:t>
            </w:r>
            <w:r w:rsidR="000B5638">
              <w:rPr>
                <w:noProof/>
                <w:webHidden/>
              </w:rPr>
              <w:tab/>
            </w:r>
            <w:r w:rsidR="000B5638">
              <w:rPr>
                <w:noProof/>
                <w:webHidden/>
              </w:rPr>
              <w:fldChar w:fldCharType="begin"/>
            </w:r>
            <w:r w:rsidR="000B5638">
              <w:rPr>
                <w:noProof/>
                <w:webHidden/>
              </w:rPr>
              <w:instrText xml:space="preserve"> PAGEREF _Toc104790642 \h </w:instrText>
            </w:r>
            <w:r w:rsidR="000B5638">
              <w:rPr>
                <w:noProof/>
                <w:webHidden/>
              </w:rPr>
            </w:r>
            <w:r w:rsidR="000B5638">
              <w:rPr>
                <w:noProof/>
                <w:webHidden/>
              </w:rPr>
              <w:fldChar w:fldCharType="separate"/>
            </w:r>
            <w:r w:rsidR="002B5007">
              <w:rPr>
                <w:noProof/>
                <w:webHidden/>
              </w:rPr>
              <w:t>159</w:t>
            </w:r>
            <w:r w:rsidR="000B5638">
              <w:rPr>
                <w:noProof/>
                <w:webHidden/>
              </w:rPr>
              <w:fldChar w:fldCharType="end"/>
            </w:r>
          </w:hyperlink>
        </w:p>
        <w:p w14:paraId="7F49072D" w14:textId="54EEB73B" w:rsidR="000B5638" w:rsidRDefault="000F4A05">
          <w:pPr>
            <w:pStyle w:val="Spistreci1"/>
            <w:tabs>
              <w:tab w:val="left" w:pos="440"/>
              <w:tab w:val="right" w:leader="dot" w:pos="9062"/>
            </w:tabs>
            <w:rPr>
              <w:noProof/>
              <w:sz w:val="22"/>
              <w:szCs w:val="22"/>
              <w:lang w:eastAsia="pl-PL"/>
            </w:rPr>
          </w:pPr>
          <w:hyperlink w:anchor="_Toc104790643" w:history="1">
            <w:r w:rsidR="000B5638" w:rsidRPr="00202C70">
              <w:rPr>
                <w:rStyle w:val="Hipercze"/>
                <w:noProof/>
              </w:rPr>
              <w:t>7.</w:t>
            </w:r>
            <w:r w:rsidR="000B5638">
              <w:rPr>
                <w:noProof/>
                <w:sz w:val="22"/>
                <w:szCs w:val="22"/>
                <w:lang w:eastAsia="pl-PL"/>
              </w:rPr>
              <w:tab/>
            </w:r>
            <w:r w:rsidR="000B5638" w:rsidRPr="00202C70">
              <w:rPr>
                <w:rStyle w:val="Hipercze"/>
                <w:noProof/>
              </w:rPr>
              <w:t>ANALIA WARIANTOWA PRZEWIDYWANYCH SKUTKÓW REALIZACJI FEPZ 2021-2027</w:t>
            </w:r>
            <w:r w:rsidR="000B5638">
              <w:rPr>
                <w:noProof/>
                <w:webHidden/>
              </w:rPr>
              <w:tab/>
            </w:r>
            <w:r w:rsidR="000B5638">
              <w:rPr>
                <w:noProof/>
                <w:webHidden/>
              </w:rPr>
              <w:fldChar w:fldCharType="begin"/>
            </w:r>
            <w:r w:rsidR="000B5638">
              <w:rPr>
                <w:noProof/>
                <w:webHidden/>
              </w:rPr>
              <w:instrText xml:space="preserve"> PAGEREF _Toc104790643 \h </w:instrText>
            </w:r>
            <w:r w:rsidR="000B5638">
              <w:rPr>
                <w:noProof/>
                <w:webHidden/>
              </w:rPr>
            </w:r>
            <w:r w:rsidR="000B5638">
              <w:rPr>
                <w:noProof/>
                <w:webHidden/>
              </w:rPr>
              <w:fldChar w:fldCharType="separate"/>
            </w:r>
            <w:r w:rsidR="002B5007">
              <w:rPr>
                <w:noProof/>
                <w:webHidden/>
              </w:rPr>
              <w:t>165</w:t>
            </w:r>
            <w:r w:rsidR="000B5638">
              <w:rPr>
                <w:noProof/>
                <w:webHidden/>
              </w:rPr>
              <w:fldChar w:fldCharType="end"/>
            </w:r>
          </w:hyperlink>
        </w:p>
        <w:p w14:paraId="2FA545E1" w14:textId="64F83569" w:rsidR="000B5638" w:rsidRDefault="000F4A05">
          <w:pPr>
            <w:pStyle w:val="Spistreci1"/>
            <w:tabs>
              <w:tab w:val="left" w:pos="660"/>
              <w:tab w:val="right" w:leader="dot" w:pos="9062"/>
            </w:tabs>
            <w:rPr>
              <w:noProof/>
              <w:sz w:val="22"/>
              <w:szCs w:val="22"/>
              <w:lang w:eastAsia="pl-PL"/>
            </w:rPr>
          </w:pPr>
          <w:hyperlink w:anchor="_Toc104790644" w:history="1">
            <w:r w:rsidR="000B5638" w:rsidRPr="00202C70">
              <w:rPr>
                <w:rStyle w:val="Hipercze"/>
                <w:noProof/>
              </w:rPr>
              <w:t>7.1.</w:t>
            </w:r>
            <w:r w:rsidR="000B5638">
              <w:rPr>
                <w:noProof/>
                <w:sz w:val="22"/>
                <w:szCs w:val="22"/>
                <w:lang w:eastAsia="pl-PL"/>
              </w:rPr>
              <w:tab/>
            </w:r>
            <w:r w:rsidR="000B5638" w:rsidRPr="00202C70">
              <w:rPr>
                <w:rStyle w:val="Hipercze"/>
                <w:noProof/>
              </w:rPr>
              <w:t>ANALIZA WARIANTU ZMIAN STANU ŚRODOWISKA W PRZYPADKU BRAKU REALIZACJI PROJEKTU FEPZ 2021-2027</w:t>
            </w:r>
            <w:r w:rsidR="000B5638">
              <w:rPr>
                <w:noProof/>
                <w:webHidden/>
              </w:rPr>
              <w:tab/>
            </w:r>
            <w:r w:rsidR="000B5638">
              <w:rPr>
                <w:noProof/>
                <w:webHidden/>
              </w:rPr>
              <w:fldChar w:fldCharType="begin"/>
            </w:r>
            <w:r w:rsidR="000B5638">
              <w:rPr>
                <w:noProof/>
                <w:webHidden/>
              </w:rPr>
              <w:instrText xml:space="preserve"> PAGEREF _Toc104790644 \h </w:instrText>
            </w:r>
            <w:r w:rsidR="000B5638">
              <w:rPr>
                <w:noProof/>
                <w:webHidden/>
              </w:rPr>
            </w:r>
            <w:r w:rsidR="000B5638">
              <w:rPr>
                <w:noProof/>
                <w:webHidden/>
              </w:rPr>
              <w:fldChar w:fldCharType="separate"/>
            </w:r>
            <w:r w:rsidR="002B5007">
              <w:rPr>
                <w:noProof/>
                <w:webHidden/>
              </w:rPr>
              <w:t>165</w:t>
            </w:r>
            <w:r w:rsidR="000B5638">
              <w:rPr>
                <w:noProof/>
                <w:webHidden/>
              </w:rPr>
              <w:fldChar w:fldCharType="end"/>
            </w:r>
          </w:hyperlink>
        </w:p>
        <w:p w14:paraId="72769E3B" w14:textId="2125FB53" w:rsidR="000B5638" w:rsidRDefault="000F4A05">
          <w:pPr>
            <w:pStyle w:val="Spistreci1"/>
            <w:tabs>
              <w:tab w:val="left" w:pos="660"/>
              <w:tab w:val="right" w:leader="dot" w:pos="9062"/>
            </w:tabs>
            <w:rPr>
              <w:noProof/>
              <w:sz w:val="22"/>
              <w:szCs w:val="22"/>
              <w:lang w:eastAsia="pl-PL"/>
            </w:rPr>
          </w:pPr>
          <w:hyperlink w:anchor="_Toc104790645" w:history="1">
            <w:r w:rsidR="000B5638" w:rsidRPr="00202C70">
              <w:rPr>
                <w:rStyle w:val="Hipercze"/>
                <w:noProof/>
              </w:rPr>
              <w:t>7.2.</w:t>
            </w:r>
            <w:r w:rsidR="000B5638">
              <w:rPr>
                <w:noProof/>
                <w:sz w:val="22"/>
                <w:szCs w:val="22"/>
                <w:lang w:eastAsia="pl-PL"/>
              </w:rPr>
              <w:tab/>
            </w:r>
            <w:r w:rsidR="000B5638" w:rsidRPr="00202C70">
              <w:rPr>
                <w:rStyle w:val="Hipercze"/>
                <w:noProof/>
              </w:rPr>
              <w:t>ANALIZA MOŻLIWYCH ROZWIĄZAŃ ALTERNATYWNYCH W STOSUNKU DO CELÓW ZAPROPONOWANYCH W PROJEKCIE FEPZ 2021-2027</w:t>
            </w:r>
            <w:r w:rsidR="000B5638">
              <w:rPr>
                <w:noProof/>
                <w:webHidden/>
              </w:rPr>
              <w:tab/>
            </w:r>
            <w:r w:rsidR="000B5638">
              <w:rPr>
                <w:noProof/>
                <w:webHidden/>
              </w:rPr>
              <w:fldChar w:fldCharType="begin"/>
            </w:r>
            <w:r w:rsidR="000B5638">
              <w:rPr>
                <w:noProof/>
                <w:webHidden/>
              </w:rPr>
              <w:instrText xml:space="preserve"> PAGEREF _Toc104790645 \h </w:instrText>
            </w:r>
            <w:r w:rsidR="000B5638">
              <w:rPr>
                <w:noProof/>
                <w:webHidden/>
              </w:rPr>
            </w:r>
            <w:r w:rsidR="000B5638">
              <w:rPr>
                <w:noProof/>
                <w:webHidden/>
              </w:rPr>
              <w:fldChar w:fldCharType="separate"/>
            </w:r>
            <w:r w:rsidR="002B5007">
              <w:rPr>
                <w:noProof/>
                <w:webHidden/>
              </w:rPr>
              <w:t>169</w:t>
            </w:r>
            <w:r w:rsidR="000B5638">
              <w:rPr>
                <w:noProof/>
                <w:webHidden/>
              </w:rPr>
              <w:fldChar w:fldCharType="end"/>
            </w:r>
          </w:hyperlink>
        </w:p>
        <w:p w14:paraId="4BA120F0" w14:textId="4927747F" w:rsidR="000B5638" w:rsidRDefault="000F4A05">
          <w:pPr>
            <w:pStyle w:val="Spistreci1"/>
            <w:tabs>
              <w:tab w:val="left" w:pos="440"/>
              <w:tab w:val="right" w:leader="dot" w:pos="9062"/>
            </w:tabs>
            <w:rPr>
              <w:noProof/>
              <w:sz w:val="22"/>
              <w:szCs w:val="22"/>
              <w:lang w:eastAsia="pl-PL"/>
            </w:rPr>
          </w:pPr>
          <w:hyperlink w:anchor="_Toc104790646" w:history="1">
            <w:r w:rsidR="000B5638" w:rsidRPr="00202C70">
              <w:rPr>
                <w:rStyle w:val="Hipercze"/>
                <w:noProof/>
              </w:rPr>
              <w:t>8.</w:t>
            </w:r>
            <w:r w:rsidR="000B5638">
              <w:rPr>
                <w:noProof/>
                <w:sz w:val="22"/>
                <w:szCs w:val="22"/>
                <w:lang w:eastAsia="pl-PL"/>
              </w:rPr>
              <w:tab/>
            </w:r>
            <w:r w:rsidR="000B5638" w:rsidRPr="00202C70">
              <w:rPr>
                <w:rStyle w:val="Hipercze"/>
                <w:noProof/>
              </w:rPr>
              <w:t>PROPOZYCJE ZAPISÓW DOTYCZĄCYCH METOD WYBORU I REALIZACJI PROJEKTÓW, METOD I CZĘSTOTLIWOŚCI PRZEPROWADZANIA MONITORINGU SKUTKÓW REALIZACJI POSTANOWIEŃ FEPZ 2021-2027</w:t>
            </w:r>
            <w:r w:rsidR="000B5638">
              <w:rPr>
                <w:noProof/>
                <w:webHidden/>
              </w:rPr>
              <w:tab/>
            </w:r>
            <w:r w:rsidR="000B5638">
              <w:rPr>
                <w:noProof/>
                <w:webHidden/>
              </w:rPr>
              <w:fldChar w:fldCharType="begin"/>
            </w:r>
            <w:r w:rsidR="000B5638">
              <w:rPr>
                <w:noProof/>
                <w:webHidden/>
              </w:rPr>
              <w:instrText xml:space="preserve"> PAGEREF _Toc104790646 \h </w:instrText>
            </w:r>
            <w:r w:rsidR="000B5638">
              <w:rPr>
                <w:noProof/>
                <w:webHidden/>
              </w:rPr>
            </w:r>
            <w:r w:rsidR="000B5638">
              <w:rPr>
                <w:noProof/>
                <w:webHidden/>
              </w:rPr>
              <w:fldChar w:fldCharType="separate"/>
            </w:r>
            <w:r w:rsidR="002B5007">
              <w:rPr>
                <w:noProof/>
                <w:webHidden/>
              </w:rPr>
              <w:t>172</w:t>
            </w:r>
            <w:r w:rsidR="000B5638">
              <w:rPr>
                <w:noProof/>
                <w:webHidden/>
              </w:rPr>
              <w:fldChar w:fldCharType="end"/>
            </w:r>
          </w:hyperlink>
        </w:p>
        <w:p w14:paraId="7F79796A" w14:textId="09AD01B5" w:rsidR="000B5638" w:rsidRDefault="000F4A05">
          <w:pPr>
            <w:pStyle w:val="Spistreci1"/>
            <w:tabs>
              <w:tab w:val="left" w:pos="440"/>
              <w:tab w:val="right" w:leader="dot" w:pos="9062"/>
            </w:tabs>
            <w:rPr>
              <w:noProof/>
              <w:sz w:val="22"/>
              <w:szCs w:val="22"/>
              <w:lang w:eastAsia="pl-PL"/>
            </w:rPr>
          </w:pPr>
          <w:hyperlink w:anchor="_Toc104790647" w:history="1">
            <w:r w:rsidR="000B5638" w:rsidRPr="00202C70">
              <w:rPr>
                <w:rStyle w:val="Hipercze"/>
                <w:noProof/>
              </w:rPr>
              <w:t>9.</w:t>
            </w:r>
            <w:r w:rsidR="000B5638">
              <w:rPr>
                <w:noProof/>
                <w:sz w:val="22"/>
                <w:szCs w:val="22"/>
                <w:lang w:eastAsia="pl-PL"/>
              </w:rPr>
              <w:tab/>
            </w:r>
            <w:r w:rsidR="000B5638" w:rsidRPr="00202C70">
              <w:rPr>
                <w:rStyle w:val="Hipercze"/>
                <w:noProof/>
              </w:rPr>
              <w:t>WNIOSKI I REKOMENDACJE</w:t>
            </w:r>
            <w:r w:rsidR="000B5638">
              <w:rPr>
                <w:noProof/>
                <w:webHidden/>
              </w:rPr>
              <w:tab/>
            </w:r>
            <w:r w:rsidR="000B5638">
              <w:rPr>
                <w:noProof/>
                <w:webHidden/>
              </w:rPr>
              <w:fldChar w:fldCharType="begin"/>
            </w:r>
            <w:r w:rsidR="000B5638">
              <w:rPr>
                <w:noProof/>
                <w:webHidden/>
              </w:rPr>
              <w:instrText xml:space="preserve"> PAGEREF _Toc104790647 \h </w:instrText>
            </w:r>
            <w:r w:rsidR="000B5638">
              <w:rPr>
                <w:noProof/>
                <w:webHidden/>
              </w:rPr>
            </w:r>
            <w:r w:rsidR="000B5638">
              <w:rPr>
                <w:noProof/>
                <w:webHidden/>
              </w:rPr>
              <w:fldChar w:fldCharType="separate"/>
            </w:r>
            <w:r w:rsidR="002B5007">
              <w:rPr>
                <w:noProof/>
                <w:webHidden/>
              </w:rPr>
              <w:t>178</w:t>
            </w:r>
            <w:r w:rsidR="000B5638">
              <w:rPr>
                <w:noProof/>
                <w:webHidden/>
              </w:rPr>
              <w:fldChar w:fldCharType="end"/>
            </w:r>
          </w:hyperlink>
        </w:p>
        <w:p w14:paraId="7233DCBA" w14:textId="4D2740DD" w:rsidR="000B5638" w:rsidRDefault="000F4A05">
          <w:pPr>
            <w:pStyle w:val="Spistreci1"/>
            <w:tabs>
              <w:tab w:val="right" w:leader="dot" w:pos="9062"/>
            </w:tabs>
            <w:rPr>
              <w:noProof/>
              <w:sz w:val="22"/>
              <w:szCs w:val="22"/>
              <w:lang w:eastAsia="pl-PL"/>
            </w:rPr>
          </w:pPr>
          <w:hyperlink w:anchor="_Toc104790648" w:history="1">
            <w:r w:rsidR="000B5638" w:rsidRPr="00202C70">
              <w:rPr>
                <w:rStyle w:val="Hipercze"/>
                <w:noProof/>
              </w:rPr>
              <w:t>SPIS TABLIC</w:t>
            </w:r>
            <w:r w:rsidR="000B5638">
              <w:rPr>
                <w:noProof/>
                <w:webHidden/>
              </w:rPr>
              <w:tab/>
            </w:r>
            <w:r w:rsidR="000B5638">
              <w:rPr>
                <w:noProof/>
                <w:webHidden/>
              </w:rPr>
              <w:fldChar w:fldCharType="begin"/>
            </w:r>
            <w:r w:rsidR="000B5638">
              <w:rPr>
                <w:noProof/>
                <w:webHidden/>
              </w:rPr>
              <w:instrText xml:space="preserve"> PAGEREF _Toc104790648 \h </w:instrText>
            </w:r>
            <w:r w:rsidR="000B5638">
              <w:rPr>
                <w:noProof/>
                <w:webHidden/>
              </w:rPr>
            </w:r>
            <w:r w:rsidR="000B5638">
              <w:rPr>
                <w:noProof/>
                <w:webHidden/>
              </w:rPr>
              <w:fldChar w:fldCharType="separate"/>
            </w:r>
            <w:r w:rsidR="002B5007">
              <w:rPr>
                <w:noProof/>
                <w:webHidden/>
              </w:rPr>
              <w:t>190</w:t>
            </w:r>
            <w:r w:rsidR="000B5638">
              <w:rPr>
                <w:noProof/>
                <w:webHidden/>
              </w:rPr>
              <w:fldChar w:fldCharType="end"/>
            </w:r>
          </w:hyperlink>
        </w:p>
        <w:p w14:paraId="4AA7CA20" w14:textId="75F03C64" w:rsidR="000B5638" w:rsidRDefault="000F4A05">
          <w:pPr>
            <w:pStyle w:val="Spistreci1"/>
            <w:tabs>
              <w:tab w:val="right" w:leader="dot" w:pos="9062"/>
            </w:tabs>
            <w:rPr>
              <w:noProof/>
              <w:sz w:val="22"/>
              <w:szCs w:val="22"/>
              <w:lang w:eastAsia="pl-PL"/>
            </w:rPr>
          </w:pPr>
          <w:hyperlink w:anchor="_Toc104790649" w:history="1">
            <w:r w:rsidR="000B5638" w:rsidRPr="00202C70">
              <w:rPr>
                <w:rStyle w:val="Hipercze"/>
                <w:noProof/>
              </w:rPr>
              <w:t>ZAŁĄCZNIKI</w:t>
            </w:r>
            <w:r w:rsidR="000B5638">
              <w:rPr>
                <w:noProof/>
                <w:webHidden/>
              </w:rPr>
              <w:tab/>
            </w:r>
            <w:r w:rsidR="000B5638">
              <w:rPr>
                <w:noProof/>
                <w:webHidden/>
              </w:rPr>
              <w:fldChar w:fldCharType="begin"/>
            </w:r>
            <w:r w:rsidR="000B5638">
              <w:rPr>
                <w:noProof/>
                <w:webHidden/>
              </w:rPr>
              <w:instrText xml:space="preserve"> PAGEREF _Toc104790649 \h </w:instrText>
            </w:r>
            <w:r w:rsidR="000B5638">
              <w:rPr>
                <w:noProof/>
                <w:webHidden/>
              </w:rPr>
            </w:r>
            <w:r w:rsidR="000B5638">
              <w:rPr>
                <w:noProof/>
                <w:webHidden/>
              </w:rPr>
              <w:fldChar w:fldCharType="separate"/>
            </w:r>
            <w:r w:rsidR="002B5007">
              <w:rPr>
                <w:noProof/>
                <w:webHidden/>
              </w:rPr>
              <w:t>191</w:t>
            </w:r>
            <w:r w:rsidR="000B5638">
              <w:rPr>
                <w:noProof/>
                <w:webHidden/>
              </w:rPr>
              <w:fldChar w:fldCharType="end"/>
            </w:r>
          </w:hyperlink>
        </w:p>
        <w:p w14:paraId="2201FF86" w14:textId="77777777" w:rsidR="000B5638" w:rsidRDefault="000F4A05">
          <w:pPr>
            <w:pStyle w:val="Spistreci1"/>
            <w:tabs>
              <w:tab w:val="right" w:leader="dot" w:pos="9062"/>
            </w:tabs>
            <w:rPr>
              <w:noProof/>
              <w:sz w:val="22"/>
              <w:szCs w:val="22"/>
              <w:lang w:eastAsia="pl-PL"/>
            </w:rPr>
          </w:pPr>
          <w:hyperlink w:anchor="_Toc104790650" w:history="1">
            <w:r w:rsidR="000B5638" w:rsidRPr="00202C70">
              <w:rPr>
                <w:rStyle w:val="Hipercze"/>
                <w:noProof/>
              </w:rPr>
              <w:t>Załącznik 1 Sposób dostosowania zawartości niniejszej Prognozy do wymogów artykułu 51 ustawy OOŚ</w:t>
            </w:r>
            <w:r w:rsidR="000B5638">
              <w:rPr>
                <w:noProof/>
                <w:webHidden/>
              </w:rPr>
              <w:tab/>
            </w:r>
            <w:r w:rsidR="000B5638">
              <w:rPr>
                <w:noProof/>
                <w:webHidden/>
              </w:rPr>
              <w:fldChar w:fldCharType="begin"/>
            </w:r>
            <w:r w:rsidR="000B5638">
              <w:rPr>
                <w:noProof/>
                <w:webHidden/>
              </w:rPr>
              <w:instrText xml:space="preserve"> PAGEREF _Toc104790650 \h </w:instrText>
            </w:r>
            <w:r w:rsidR="000B5638">
              <w:rPr>
                <w:noProof/>
                <w:webHidden/>
              </w:rPr>
            </w:r>
            <w:r w:rsidR="000B5638">
              <w:rPr>
                <w:noProof/>
                <w:webHidden/>
              </w:rPr>
              <w:fldChar w:fldCharType="separate"/>
            </w:r>
            <w:r w:rsidR="002B5007">
              <w:rPr>
                <w:noProof/>
                <w:webHidden/>
              </w:rPr>
              <w:t>i</w:t>
            </w:r>
            <w:r w:rsidR="000B5638">
              <w:rPr>
                <w:noProof/>
                <w:webHidden/>
              </w:rPr>
              <w:fldChar w:fldCharType="end"/>
            </w:r>
          </w:hyperlink>
        </w:p>
        <w:p w14:paraId="41B47F9C" w14:textId="77777777" w:rsidR="000B5638" w:rsidRDefault="000F4A05">
          <w:pPr>
            <w:pStyle w:val="Spistreci1"/>
            <w:tabs>
              <w:tab w:val="right" w:leader="dot" w:pos="9062"/>
            </w:tabs>
            <w:rPr>
              <w:noProof/>
              <w:sz w:val="22"/>
              <w:szCs w:val="22"/>
              <w:lang w:eastAsia="pl-PL"/>
            </w:rPr>
          </w:pPr>
          <w:hyperlink w:anchor="_Toc104790651" w:history="1">
            <w:r w:rsidR="000B5638" w:rsidRPr="00202C70">
              <w:rPr>
                <w:rStyle w:val="Hipercze"/>
                <w:noProof/>
              </w:rPr>
              <w:t>Załącznik 2 Analiza spójności priorytetów i celów szczegółówych projektu Programu FEPZ 2021-2027 z dokumentami strategicznymi i planistycznymi</w:t>
            </w:r>
            <w:r w:rsidR="000B5638">
              <w:rPr>
                <w:noProof/>
                <w:webHidden/>
              </w:rPr>
              <w:tab/>
            </w:r>
            <w:r w:rsidR="000B5638">
              <w:rPr>
                <w:noProof/>
                <w:webHidden/>
              </w:rPr>
              <w:fldChar w:fldCharType="begin"/>
            </w:r>
            <w:r w:rsidR="000B5638">
              <w:rPr>
                <w:noProof/>
                <w:webHidden/>
              </w:rPr>
              <w:instrText xml:space="preserve"> PAGEREF _Toc104790651 \h </w:instrText>
            </w:r>
            <w:r w:rsidR="000B5638">
              <w:rPr>
                <w:noProof/>
                <w:webHidden/>
              </w:rPr>
            </w:r>
            <w:r w:rsidR="000B5638">
              <w:rPr>
                <w:noProof/>
                <w:webHidden/>
              </w:rPr>
              <w:fldChar w:fldCharType="separate"/>
            </w:r>
            <w:r w:rsidR="002B5007">
              <w:rPr>
                <w:noProof/>
                <w:webHidden/>
              </w:rPr>
              <w:t>iii</w:t>
            </w:r>
            <w:r w:rsidR="000B5638">
              <w:rPr>
                <w:noProof/>
                <w:webHidden/>
              </w:rPr>
              <w:fldChar w:fldCharType="end"/>
            </w:r>
          </w:hyperlink>
        </w:p>
        <w:p w14:paraId="44906BE6" w14:textId="77777777" w:rsidR="000B5638" w:rsidRDefault="000F4A05">
          <w:pPr>
            <w:pStyle w:val="Spistreci1"/>
            <w:tabs>
              <w:tab w:val="right" w:leader="dot" w:pos="9062"/>
            </w:tabs>
            <w:rPr>
              <w:noProof/>
              <w:sz w:val="22"/>
              <w:szCs w:val="22"/>
              <w:lang w:eastAsia="pl-PL"/>
            </w:rPr>
          </w:pPr>
          <w:hyperlink w:anchor="_Toc104790652" w:history="1">
            <w:r w:rsidR="000B5638" w:rsidRPr="00202C70">
              <w:rPr>
                <w:rStyle w:val="Hipercze"/>
                <w:noProof/>
              </w:rPr>
              <w:t>ZAŁĄCZNIK 3 ANALIZA STANU BIEŻĄCEGO</w:t>
            </w:r>
            <w:r w:rsidR="000B5638">
              <w:rPr>
                <w:noProof/>
                <w:webHidden/>
              </w:rPr>
              <w:tab/>
            </w:r>
            <w:r w:rsidR="000B5638">
              <w:rPr>
                <w:noProof/>
                <w:webHidden/>
              </w:rPr>
              <w:fldChar w:fldCharType="begin"/>
            </w:r>
            <w:r w:rsidR="000B5638">
              <w:rPr>
                <w:noProof/>
                <w:webHidden/>
              </w:rPr>
              <w:instrText xml:space="preserve"> PAGEREF _Toc104790652 \h </w:instrText>
            </w:r>
            <w:r w:rsidR="000B5638">
              <w:rPr>
                <w:noProof/>
                <w:webHidden/>
              </w:rPr>
            </w:r>
            <w:r w:rsidR="000B5638">
              <w:rPr>
                <w:noProof/>
                <w:webHidden/>
              </w:rPr>
              <w:fldChar w:fldCharType="separate"/>
            </w:r>
            <w:r w:rsidR="002B5007">
              <w:rPr>
                <w:noProof/>
                <w:webHidden/>
              </w:rPr>
              <w:t>xxxvi</w:t>
            </w:r>
            <w:r w:rsidR="000B5638">
              <w:rPr>
                <w:noProof/>
                <w:webHidden/>
              </w:rPr>
              <w:fldChar w:fldCharType="end"/>
            </w:r>
          </w:hyperlink>
        </w:p>
        <w:p w14:paraId="7388236E" w14:textId="496E6CE2" w:rsidR="000B5638" w:rsidRDefault="000F4A05">
          <w:pPr>
            <w:pStyle w:val="Spistreci1"/>
            <w:tabs>
              <w:tab w:val="left" w:pos="440"/>
              <w:tab w:val="right" w:leader="dot" w:pos="9062"/>
            </w:tabs>
            <w:rPr>
              <w:noProof/>
              <w:sz w:val="22"/>
              <w:szCs w:val="22"/>
              <w:lang w:eastAsia="pl-PL"/>
            </w:rPr>
          </w:pPr>
          <w:hyperlink w:anchor="_Toc104790653" w:history="1">
            <w:r w:rsidR="000B5638" w:rsidRPr="00202C70">
              <w:rPr>
                <w:rStyle w:val="Hipercze"/>
                <w:noProof/>
              </w:rPr>
              <w:t>1.</w:t>
            </w:r>
            <w:r w:rsidR="000B5638">
              <w:rPr>
                <w:noProof/>
                <w:sz w:val="22"/>
                <w:szCs w:val="22"/>
                <w:lang w:eastAsia="pl-PL"/>
              </w:rPr>
              <w:tab/>
            </w:r>
            <w:r w:rsidR="000B5638" w:rsidRPr="00202C70">
              <w:rPr>
                <w:rStyle w:val="Hipercze"/>
                <w:noProof/>
              </w:rPr>
              <w:t>Różnorodność biologiczna, w tym rośliny, zwierzęta i obszary natura 2000</w:t>
            </w:r>
            <w:r w:rsidR="000B5638">
              <w:rPr>
                <w:noProof/>
                <w:webHidden/>
              </w:rPr>
              <w:tab/>
            </w:r>
            <w:r w:rsidR="000B5638">
              <w:rPr>
                <w:noProof/>
                <w:webHidden/>
              </w:rPr>
              <w:fldChar w:fldCharType="begin"/>
            </w:r>
            <w:r w:rsidR="000B5638">
              <w:rPr>
                <w:noProof/>
                <w:webHidden/>
              </w:rPr>
              <w:instrText xml:space="preserve"> PAGEREF _Toc104790653 \h </w:instrText>
            </w:r>
            <w:r w:rsidR="000B5638">
              <w:rPr>
                <w:noProof/>
                <w:webHidden/>
              </w:rPr>
            </w:r>
            <w:r w:rsidR="000B5638">
              <w:rPr>
                <w:noProof/>
                <w:webHidden/>
              </w:rPr>
              <w:fldChar w:fldCharType="separate"/>
            </w:r>
            <w:r w:rsidR="002B5007">
              <w:rPr>
                <w:noProof/>
                <w:webHidden/>
              </w:rPr>
              <w:t>xxxvi</w:t>
            </w:r>
            <w:r w:rsidR="000B5638">
              <w:rPr>
                <w:noProof/>
                <w:webHidden/>
              </w:rPr>
              <w:fldChar w:fldCharType="end"/>
            </w:r>
          </w:hyperlink>
        </w:p>
        <w:p w14:paraId="48C41ABD" w14:textId="1C49CDEE" w:rsidR="000B5638" w:rsidRDefault="000F4A05">
          <w:pPr>
            <w:pStyle w:val="Spistreci1"/>
            <w:tabs>
              <w:tab w:val="left" w:pos="440"/>
              <w:tab w:val="right" w:leader="dot" w:pos="9062"/>
            </w:tabs>
            <w:rPr>
              <w:noProof/>
              <w:sz w:val="22"/>
              <w:szCs w:val="22"/>
              <w:lang w:eastAsia="pl-PL"/>
            </w:rPr>
          </w:pPr>
          <w:hyperlink w:anchor="_Toc104790654" w:history="1">
            <w:r w:rsidR="000B5638" w:rsidRPr="00202C70">
              <w:rPr>
                <w:rStyle w:val="Hipercze"/>
                <w:noProof/>
              </w:rPr>
              <w:t>2.</w:t>
            </w:r>
            <w:r w:rsidR="000B5638">
              <w:rPr>
                <w:noProof/>
                <w:sz w:val="22"/>
                <w:szCs w:val="22"/>
                <w:lang w:eastAsia="pl-PL"/>
              </w:rPr>
              <w:tab/>
            </w:r>
            <w:r w:rsidR="000B5638" w:rsidRPr="00202C70">
              <w:rPr>
                <w:rStyle w:val="Hipercze"/>
                <w:noProof/>
              </w:rPr>
              <w:t>Ludzie</w:t>
            </w:r>
            <w:r w:rsidR="000B5638">
              <w:rPr>
                <w:noProof/>
                <w:webHidden/>
              </w:rPr>
              <w:tab/>
            </w:r>
            <w:r w:rsidR="000B5638">
              <w:rPr>
                <w:noProof/>
                <w:webHidden/>
              </w:rPr>
              <w:fldChar w:fldCharType="begin"/>
            </w:r>
            <w:r w:rsidR="000B5638">
              <w:rPr>
                <w:noProof/>
                <w:webHidden/>
              </w:rPr>
              <w:instrText xml:space="preserve"> PAGEREF _Toc104790654 \h </w:instrText>
            </w:r>
            <w:r w:rsidR="000B5638">
              <w:rPr>
                <w:noProof/>
                <w:webHidden/>
              </w:rPr>
            </w:r>
            <w:r w:rsidR="000B5638">
              <w:rPr>
                <w:noProof/>
                <w:webHidden/>
              </w:rPr>
              <w:fldChar w:fldCharType="separate"/>
            </w:r>
            <w:r w:rsidR="002B5007">
              <w:rPr>
                <w:noProof/>
                <w:webHidden/>
              </w:rPr>
              <w:t>lxvi</w:t>
            </w:r>
            <w:r w:rsidR="000B5638">
              <w:rPr>
                <w:noProof/>
                <w:webHidden/>
              </w:rPr>
              <w:fldChar w:fldCharType="end"/>
            </w:r>
          </w:hyperlink>
        </w:p>
        <w:p w14:paraId="26428E2B" w14:textId="566DD1D7" w:rsidR="000B5638" w:rsidRDefault="000F4A05">
          <w:pPr>
            <w:pStyle w:val="Spistreci1"/>
            <w:tabs>
              <w:tab w:val="left" w:pos="440"/>
              <w:tab w:val="right" w:leader="dot" w:pos="9062"/>
            </w:tabs>
            <w:rPr>
              <w:noProof/>
              <w:sz w:val="22"/>
              <w:szCs w:val="22"/>
              <w:lang w:eastAsia="pl-PL"/>
            </w:rPr>
          </w:pPr>
          <w:hyperlink w:anchor="_Toc104790655" w:history="1">
            <w:r w:rsidR="000B5638" w:rsidRPr="00202C70">
              <w:rPr>
                <w:rStyle w:val="Hipercze"/>
                <w:noProof/>
              </w:rPr>
              <w:t>3.</w:t>
            </w:r>
            <w:r w:rsidR="000B5638">
              <w:rPr>
                <w:noProof/>
                <w:sz w:val="22"/>
                <w:szCs w:val="22"/>
                <w:lang w:eastAsia="pl-PL"/>
              </w:rPr>
              <w:tab/>
            </w:r>
            <w:r w:rsidR="000B5638" w:rsidRPr="00202C70">
              <w:rPr>
                <w:rStyle w:val="Hipercze"/>
                <w:noProof/>
              </w:rPr>
              <w:t>Wody</w:t>
            </w:r>
            <w:r w:rsidR="000B5638">
              <w:rPr>
                <w:noProof/>
                <w:webHidden/>
              </w:rPr>
              <w:tab/>
            </w:r>
            <w:r w:rsidR="000B5638">
              <w:rPr>
                <w:noProof/>
                <w:webHidden/>
              </w:rPr>
              <w:fldChar w:fldCharType="begin"/>
            </w:r>
            <w:r w:rsidR="000B5638">
              <w:rPr>
                <w:noProof/>
                <w:webHidden/>
              </w:rPr>
              <w:instrText xml:space="preserve"> PAGEREF _Toc104790655 \h </w:instrText>
            </w:r>
            <w:r w:rsidR="000B5638">
              <w:rPr>
                <w:noProof/>
                <w:webHidden/>
              </w:rPr>
            </w:r>
            <w:r w:rsidR="000B5638">
              <w:rPr>
                <w:noProof/>
                <w:webHidden/>
              </w:rPr>
              <w:fldChar w:fldCharType="separate"/>
            </w:r>
            <w:r w:rsidR="002B5007">
              <w:rPr>
                <w:noProof/>
                <w:webHidden/>
              </w:rPr>
              <w:t>lxxii</w:t>
            </w:r>
            <w:r w:rsidR="000B5638">
              <w:rPr>
                <w:noProof/>
                <w:webHidden/>
              </w:rPr>
              <w:fldChar w:fldCharType="end"/>
            </w:r>
          </w:hyperlink>
        </w:p>
        <w:p w14:paraId="6254C25D" w14:textId="4E180FA7" w:rsidR="000B5638" w:rsidRDefault="000F4A05">
          <w:pPr>
            <w:pStyle w:val="Spistreci1"/>
            <w:tabs>
              <w:tab w:val="left" w:pos="660"/>
              <w:tab w:val="right" w:leader="dot" w:pos="9062"/>
            </w:tabs>
            <w:rPr>
              <w:noProof/>
              <w:sz w:val="22"/>
              <w:szCs w:val="22"/>
              <w:lang w:eastAsia="pl-PL"/>
            </w:rPr>
          </w:pPr>
          <w:hyperlink w:anchor="_Toc104790656" w:history="1">
            <w:r w:rsidR="000B5638" w:rsidRPr="00202C70">
              <w:rPr>
                <w:rStyle w:val="Hipercze"/>
                <w:noProof/>
              </w:rPr>
              <w:t>3.1.</w:t>
            </w:r>
            <w:r w:rsidR="000B5638">
              <w:rPr>
                <w:noProof/>
                <w:sz w:val="22"/>
                <w:szCs w:val="22"/>
                <w:lang w:eastAsia="pl-PL"/>
              </w:rPr>
              <w:tab/>
            </w:r>
            <w:r w:rsidR="000B5638" w:rsidRPr="00202C70">
              <w:rPr>
                <w:rStyle w:val="Hipercze"/>
                <w:noProof/>
              </w:rPr>
              <w:t>Zasoby i jakość wód</w:t>
            </w:r>
            <w:r w:rsidR="000B5638">
              <w:rPr>
                <w:noProof/>
                <w:webHidden/>
              </w:rPr>
              <w:tab/>
            </w:r>
            <w:r w:rsidR="000B5638">
              <w:rPr>
                <w:noProof/>
                <w:webHidden/>
              </w:rPr>
              <w:fldChar w:fldCharType="begin"/>
            </w:r>
            <w:r w:rsidR="000B5638">
              <w:rPr>
                <w:noProof/>
                <w:webHidden/>
              </w:rPr>
              <w:instrText xml:space="preserve"> PAGEREF _Toc104790656 \h </w:instrText>
            </w:r>
            <w:r w:rsidR="000B5638">
              <w:rPr>
                <w:noProof/>
                <w:webHidden/>
              </w:rPr>
            </w:r>
            <w:r w:rsidR="000B5638">
              <w:rPr>
                <w:noProof/>
                <w:webHidden/>
              </w:rPr>
              <w:fldChar w:fldCharType="separate"/>
            </w:r>
            <w:r w:rsidR="002B5007">
              <w:rPr>
                <w:noProof/>
                <w:webHidden/>
              </w:rPr>
              <w:t>lxxii</w:t>
            </w:r>
            <w:r w:rsidR="000B5638">
              <w:rPr>
                <w:noProof/>
                <w:webHidden/>
              </w:rPr>
              <w:fldChar w:fldCharType="end"/>
            </w:r>
          </w:hyperlink>
        </w:p>
        <w:p w14:paraId="68B15335" w14:textId="0C1D5EC0" w:rsidR="000B5638" w:rsidRDefault="000F4A05">
          <w:pPr>
            <w:pStyle w:val="Spistreci1"/>
            <w:tabs>
              <w:tab w:val="left" w:pos="660"/>
              <w:tab w:val="right" w:leader="dot" w:pos="9062"/>
            </w:tabs>
            <w:rPr>
              <w:noProof/>
              <w:sz w:val="22"/>
              <w:szCs w:val="22"/>
              <w:lang w:eastAsia="pl-PL"/>
            </w:rPr>
          </w:pPr>
          <w:hyperlink w:anchor="_Toc104790657" w:history="1">
            <w:r w:rsidR="000B5638" w:rsidRPr="00202C70">
              <w:rPr>
                <w:rStyle w:val="Hipercze"/>
                <w:noProof/>
              </w:rPr>
              <w:t>3.2.</w:t>
            </w:r>
            <w:r w:rsidR="000B5638">
              <w:rPr>
                <w:noProof/>
                <w:sz w:val="22"/>
                <w:szCs w:val="22"/>
                <w:lang w:eastAsia="pl-PL"/>
              </w:rPr>
              <w:tab/>
            </w:r>
            <w:r w:rsidR="000B5638" w:rsidRPr="00202C70">
              <w:rPr>
                <w:rStyle w:val="Hipercze"/>
                <w:noProof/>
              </w:rPr>
              <w:t>Gospodarka wodno-ściekowa</w:t>
            </w:r>
            <w:r w:rsidR="000B5638">
              <w:rPr>
                <w:noProof/>
                <w:webHidden/>
              </w:rPr>
              <w:tab/>
            </w:r>
            <w:r w:rsidR="000B5638">
              <w:rPr>
                <w:noProof/>
                <w:webHidden/>
              </w:rPr>
              <w:fldChar w:fldCharType="begin"/>
            </w:r>
            <w:r w:rsidR="000B5638">
              <w:rPr>
                <w:noProof/>
                <w:webHidden/>
              </w:rPr>
              <w:instrText xml:space="preserve"> PAGEREF _Toc104790657 \h </w:instrText>
            </w:r>
            <w:r w:rsidR="000B5638">
              <w:rPr>
                <w:noProof/>
                <w:webHidden/>
              </w:rPr>
            </w:r>
            <w:r w:rsidR="000B5638">
              <w:rPr>
                <w:noProof/>
                <w:webHidden/>
              </w:rPr>
              <w:fldChar w:fldCharType="separate"/>
            </w:r>
            <w:r w:rsidR="002B5007">
              <w:rPr>
                <w:noProof/>
                <w:webHidden/>
              </w:rPr>
              <w:t>xcix</w:t>
            </w:r>
            <w:r w:rsidR="000B5638">
              <w:rPr>
                <w:noProof/>
                <w:webHidden/>
              </w:rPr>
              <w:fldChar w:fldCharType="end"/>
            </w:r>
          </w:hyperlink>
        </w:p>
        <w:p w14:paraId="75D207E5" w14:textId="5DC8A07F" w:rsidR="000B5638" w:rsidRDefault="000F4A05">
          <w:pPr>
            <w:pStyle w:val="Spistreci1"/>
            <w:tabs>
              <w:tab w:val="left" w:pos="440"/>
              <w:tab w:val="right" w:leader="dot" w:pos="9062"/>
            </w:tabs>
            <w:rPr>
              <w:noProof/>
              <w:sz w:val="22"/>
              <w:szCs w:val="22"/>
              <w:lang w:eastAsia="pl-PL"/>
            </w:rPr>
          </w:pPr>
          <w:hyperlink w:anchor="_Toc104790658" w:history="1">
            <w:r w:rsidR="000B5638" w:rsidRPr="00202C70">
              <w:rPr>
                <w:rStyle w:val="Hipercze"/>
                <w:noProof/>
              </w:rPr>
              <w:t>4.</w:t>
            </w:r>
            <w:r w:rsidR="000B5638">
              <w:rPr>
                <w:noProof/>
                <w:sz w:val="22"/>
                <w:szCs w:val="22"/>
                <w:lang w:eastAsia="pl-PL"/>
              </w:rPr>
              <w:tab/>
            </w:r>
            <w:r w:rsidR="000B5638" w:rsidRPr="00202C70">
              <w:rPr>
                <w:rStyle w:val="Hipercze"/>
                <w:noProof/>
              </w:rPr>
              <w:t>Powietrze</w:t>
            </w:r>
            <w:r w:rsidR="000B5638">
              <w:rPr>
                <w:noProof/>
                <w:webHidden/>
              </w:rPr>
              <w:tab/>
            </w:r>
            <w:r w:rsidR="000B5638">
              <w:rPr>
                <w:noProof/>
                <w:webHidden/>
              </w:rPr>
              <w:fldChar w:fldCharType="begin"/>
            </w:r>
            <w:r w:rsidR="000B5638">
              <w:rPr>
                <w:noProof/>
                <w:webHidden/>
              </w:rPr>
              <w:instrText xml:space="preserve"> PAGEREF _Toc104790658 \h </w:instrText>
            </w:r>
            <w:r w:rsidR="000B5638">
              <w:rPr>
                <w:noProof/>
                <w:webHidden/>
              </w:rPr>
            </w:r>
            <w:r w:rsidR="000B5638">
              <w:rPr>
                <w:noProof/>
                <w:webHidden/>
              </w:rPr>
              <w:fldChar w:fldCharType="separate"/>
            </w:r>
            <w:r w:rsidR="002B5007">
              <w:rPr>
                <w:noProof/>
                <w:webHidden/>
              </w:rPr>
              <w:t>cvi</w:t>
            </w:r>
            <w:r w:rsidR="000B5638">
              <w:rPr>
                <w:noProof/>
                <w:webHidden/>
              </w:rPr>
              <w:fldChar w:fldCharType="end"/>
            </w:r>
          </w:hyperlink>
        </w:p>
        <w:p w14:paraId="1585CEC2" w14:textId="74C2238A" w:rsidR="000B5638" w:rsidRDefault="000F4A05">
          <w:pPr>
            <w:pStyle w:val="Spistreci1"/>
            <w:tabs>
              <w:tab w:val="left" w:pos="440"/>
              <w:tab w:val="right" w:leader="dot" w:pos="9062"/>
            </w:tabs>
            <w:rPr>
              <w:noProof/>
              <w:sz w:val="22"/>
              <w:szCs w:val="22"/>
              <w:lang w:eastAsia="pl-PL"/>
            </w:rPr>
          </w:pPr>
          <w:hyperlink w:anchor="_Toc104790659" w:history="1">
            <w:r w:rsidR="000B5638" w:rsidRPr="00202C70">
              <w:rPr>
                <w:rStyle w:val="Hipercze"/>
                <w:noProof/>
              </w:rPr>
              <w:t>5.</w:t>
            </w:r>
            <w:r w:rsidR="000B5638">
              <w:rPr>
                <w:noProof/>
                <w:sz w:val="22"/>
                <w:szCs w:val="22"/>
                <w:lang w:eastAsia="pl-PL"/>
              </w:rPr>
              <w:tab/>
            </w:r>
            <w:r w:rsidR="000B5638" w:rsidRPr="00202C70">
              <w:rPr>
                <w:rStyle w:val="Hipercze"/>
                <w:noProof/>
              </w:rPr>
              <w:t>Powierzchnia ziemi</w:t>
            </w:r>
            <w:r w:rsidR="000B5638">
              <w:rPr>
                <w:noProof/>
                <w:webHidden/>
              </w:rPr>
              <w:tab/>
            </w:r>
            <w:r w:rsidR="000B5638">
              <w:rPr>
                <w:noProof/>
                <w:webHidden/>
              </w:rPr>
              <w:fldChar w:fldCharType="begin"/>
            </w:r>
            <w:r w:rsidR="000B5638">
              <w:rPr>
                <w:noProof/>
                <w:webHidden/>
              </w:rPr>
              <w:instrText xml:space="preserve"> PAGEREF _Toc104790659 \h </w:instrText>
            </w:r>
            <w:r w:rsidR="000B5638">
              <w:rPr>
                <w:noProof/>
                <w:webHidden/>
              </w:rPr>
            </w:r>
            <w:r w:rsidR="000B5638">
              <w:rPr>
                <w:noProof/>
                <w:webHidden/>
              </w:rPr>
              <w:fldChar w:fldCharType="separate"/>
            </w:r>
            <w:r w:rsidR="002B5007">
              <w:rPr>
                <w:noProof/>
                <w:webHidden/>
              </w:rPr>
              <w:t>cxix</w:t>
            </w:r>
            <w:r w:rsidR="000B5638">
              <w:rPr>
                <w:noProof/>
                <w:webHidden/>
              </w:rPr>
              <w:fldChar w:fldCharType="end"/>
            </w:r>
          </w:hyperlink>
        </w:p>
        <w:p w14:paraId="4959B7FA" w14:textId="56DA6B8E" w:rsidR="000B5638" w:rsidRDefault="000F4A05">
          <w:pPr>
            <w:pStyle w:val="Spistreci1"/>
            <w:tabs>
              <w:tab w:val="left" w:pos="440"/>
              <w:tab w:val="right" w:leader="dot" w:pos="9062"/>
            </w:tabs>
            <w:rPr>
              <w:noProof/>
              <w:sz w:val="22"/>
              <w:szCs w:val="22"/>
              <w:lang w:eastAsia="pl-PL"/>
            </w:rPr>
          </w:pPr>
          <w:hyperlink w:anchor="_Toc104790660" w:history="1">
            <w:r w:rsidR="000B5638" w:rsidRPr="00202C70">
              <w:rPr>
                <w:rStyle w:val="Hipercze"/>
                <w:noProof/>
              </w:rPr>
              <w:t>6.</w:t>
            </w:r>
            <w:r w:rsidR="000B5638">
              <w:rPr>
                <w:noProof/>
                <w:sz w:val="22"/>
                <w:szCs w:val="22"/>
                <w:lang w:eastAsia="pl-PL"/>
              </w:rPr>
              <w:tab/>
            </w:r>
            <w:r w:rsidR="000B5638" w:rsidRPr="00202C70">
              <w:rPr>
                <w:rStyle w:val="Hipercze"/>
                <w:noProof/>
              </w:rPr>
              <w:t>Krajobraz</w:t>
            </w:r>
            <w:r w:rsidR="000B5638">
              <w:rPr>
                <w:noProof/>
                <w:webHidden/>
              </w:rPr>
              <w:tab/>
            </w:r>
            <w:r w:rsidR="000B5638">
              <w:rPr>
                <w:noProof/>
                <w:webHidden/>
              </w:rPr>
              <w:fldChar w:fldCharType="begin"/>
            </w:r>
            <w:r w:rsidR="000B5638">
              <w:rPr>
                <w:noProof/>
                <w:webHidden/>
              </w:rPr>
              <w:instrText xml:space="preserve"> PAGEREF _Toc104790660 \h </w:instrText>
            </w:r>
            <w:r w:rsidR="000B5638">
              <w:rPr>
                <w:noProof/>
                <w:webHidden/>
              </w:rPr>
            </w:r>
            <w:r w:rsidR="000B5638">
              <w:rPr>
                <w:noProof/>
                <w:webHidden/>
              </w:rPr>
              <w:fldChar w:fldCharType="separate"/>
            </w:r>
            <w:r w:rsidR="002B5007">
              <w:rPr>
                <w:noProof/>
                <w:webHidden/>
              </w:rPr>
              <w:t>cxxi</w:t>
            </w:r>
            <w:r w:rsidR="000B5638">
              <w:rPr>
                <w:noProof/>
                <w:webHidden/>
              </w:rPr>
              <w:fldChar w:fldCharType="end"/>
            </w:r>
          </w:hyperlink>
        </w:p>
        <w:p w14:paraId="11F3C0F3" w14:textId="145CFB2F" w:rsidR="000B5638" w:rsidRDefault="000F4A05">
          <w:pPr>
            <w:pStyle w:val="Spistreci1"/>
            <w:tabs>
              <w:tab w:val="left" w:pos="440"/>
              <w:tab w:val="right" w:leader="dot" w:pos="9062"/>
            </w:tabs>
            <w:rPr>
              <w:noProof/>
              <w:sz w:val="22"/>
              <w:szCs w:val="22"/>
              <w:lang w:eastAsia="pl-PL"/>
            </w:rPr>
          </w:pPr>
          <w:hyperlink w:anchor="_Toc104790661" w:history="1">
            <w:r w:rsidR="000B5638" w:rsidRPr="00202C70">
              <w:rPr>
                <w:rStyle w:val="Hipercze"/>
                <w:noProof/>
              </w:rPr>
              <w:t>7.</w:t>
            </w:r>
            <w:r w:rsidR="000B5638">
              <w:rPr>
                <w:noProof/>
                <w:sz w:val="22"/>
                <w:szCs w:val="22"/>
                <w:lang w:eastAsia="pl-PL"/>
              </w:rPr>
              <w:tab/>
            </w:r>
            <w:r w:rsidR="000B5638" w:rsidRPr="00202C70">
              <w:rPr>
                <w:rStyle w:val="Hipercze"/>
                <w:noProof/>
              </w:rPr>
              <w:t>Klimat</w:t>
            </w:r>
            <w:r w:rsidR="000B5638">
              <w:rPr>
                <w:noProof/>
                <w:webHidden/>
              </w:rPr>
              <w:tab/>
            </w:r>
            <w:r w:rsidR="000B5638">
              <w:rPr>
                <w:noProof/>
                <w:webHidden/>
              </w:rPr>
              <w:fldChar w:fldCharType="begin"/>
            </w:r>
            <w:r w:rsidR="000B5638">
              <w:rPr>
                <w:noProof/>
                <w:webHidden/>
              </w:rPr>
              <w:instrText xml:space="preserve"> PAGEREF _Toc104790661 \h </w:instrText>
            </w:r>
            <w:r w:rsidR="000B5638">
              <w:rPr>
                <w:noProof/>
                <w:webHidden/>
              </w:rPr>
            </w:r>
            <w:r w:rsidR="000B5638">
              <w:rPr>
                <w:noProof/>
                <w:webHidden/>
              </w:rPr>
              <w:fldChar w:fldCharType="separate"/>
            </w:r>
            <w:r w:rsidR="002B5007">
              <w:rPr>
                <w:noProof/>
                <w:webHidden/>
              </w:rPr>
              <w:t>cxxiv</w:t>
            </w:r>
            <w:r w:rsidR="000B5638">
              <w:rPr>
                <w:noProof/>
                <w:webHidden/>
              </w:rPr>
              <w:fldChar w:fldCharType="end"/>
            </w:r>
          </w:hyperlink>
        </w:p>
        <w:p w14:paraId="4F3DD68F" w14:textId="4E1CF052" w:rsidR="000B5638" w:rsidRDefault="000F4A05">
          <w:pPr>
            <w:pStyle w:val="Spistreci1"/>
            <w:tabs>
              <w:tab w:val="left" w:pos="440"/>
              <w:tab w:val="right" w:leader="dot" w:pos="9062"/>
            </w:tabs>
            <w:rPr>
              <w:noProof/>
              <w:sz w:val="22"/>
              <w:szCs w:val="22"/>
              <w:lang w:eastAsia="pl-PL"/>
            </w:rPr>
          </w:pPr>
          <w:hyperlink w:anchor="_Toc104790662" w:history="1">
            <w:r w:rsidR="000B5638" w:rsidRPr="00202C70">
              <w:rPr>
                <w:rStyle w:val="Hipercze"/>
                <w:noProof/>
              </w:rPr>
              <w:t>8.</w:t>
            </w:r>
            <w:r w:rsidR="000B5638">
              <w:rPr>
                <w:noProof/>
                <w:sz w:val="22"/>
                <w:szCs w:val="22"/>
                <w:lang w:eastAsia="pl-PL"/>
              </w:rPr>
              <w:tab/>
            </w:r>
            <w:r w:rsidR="000B5638" w:rsidRPr="00202C70">
              <w:rPr>
                <w:rStyle w:val="Hipercze"/>
                <w:noProof/>
              </w:rPr>
              <w:t>Zasoby naturalne</w:t>
            </w:r>
            <w:r w:rsidR="000B5638">
              <w:rPr>
                <w:noProof/>
                <w:webHidden/>
              </w:rPr>
              <w:tab/>
            </w:r>
            <w:r w:rsidR="000B5638">
              <w:rPr>
                <w:noProof/>
                <w:webHidden/>
              </w:rPr>
              <w:fldChar w:fldCharType="begin"/>
            </w:r>
            <w:r w:rsidR="000B5638">
              <w:rPr>
                <w:noProof/>
                <w:webHidden/>
              </w:rPr>
              <w:instrText xml:space="preserve"> PAGEREF _Toc104790662 \h </w:instrText>
            </w:r>
            <w:r w:rsidR="000B5638">
              <w:rPr>
                <w:noProof/>
                <w:webHidden/>
              </w:rPr>
            </w:r>
            <w:r w:rsidR="000B5638">
              <w:rPr>
                <w:noProof/>
                <w:webHidden/>
              </w:rPr>
              <w:fldChar w:fldCharType="separate"/>
            </w:r>
            <w:r w:rsidR="002B5007">
              <w:rPr>
                <w:noProof/>
                <w:webHidden/>
              </w:rPr>
              <w:t>cxxviii</w:t>
            </w:r>
            <w:r w:rsidR="000B5638">
              <w:rPr>
                <w:noProof/>
                <w:webHidden/>
              </w:rPr>
              <w:fldChar w:fldCharType="end"/>
            </w:r>
          </w:hyperlink>
        </w:p>
        <w:p w14:paraId="125D1334" w14:textId="473C671C" w:rsidR="000B5638" w:rsidRDefault="000F4A05">
          <w:pPr>
            <w:pStyle w:val="Spistreci1"/>
            <w:tabs>
              <w:tab w:val="left" w:pos="440"/>
              <w:tab w:val="right" w:leader="dot" w:pos="9062"/>
            </w:tabs>
            <w:rPr>
              <w:noProof/>
              <w:sz w:val="22"/>
              <w:szCs w:val="22"/>
              <w:lang w:eastAsia="pl-PL"/>
            </w:rPr>
          </w:pPr>
          <w:hyperlink w:anchor="_Toc104790663" w:history="1">
            <w:r w:rsidR="000B5638" w:rsidRPr="00202C70">
              <w:rPr>
                <w:rStyle w:val="Hipercze"/>
                <w:noProof/>
              </w:rPr>
              <w:t>9.</w:t>
            </w:r>
            <w:r w:rsidR="000B5638">
              <w:rPr>
                <w:noProof/>
                <w:sz w:val="22"/>
                <w:szCs w:val="22"/>
                <w:lang w:eastAsia="pl-PL"/>
              </w:rPr>
              <w:tab/>
            </w:r>
            <w:r w:rsidR="000B5638" w:rsidRPr="00202C70">
              <w:rPr>
                <w:rStyle w:val="Hipercze"/>
                <w:noProof/>
              </w:rPr>
              <w:t>Zabytki i dobra materialne</w:t>
            </w:r>
            <w:r w:rsidR="000B5638">
              <w:rPr>
                <w:noProof/>
                <w:webHidden/>
              </w:rPr>
              <w:tab/>
            </w:r>
            <w:r w:rsidR="000B5638">
              <w:rPr>
                <w:noProof/>
                <w:webHidden/>
              </w:rPr>
              <w:fldChar w:fldCharType="begin"/>
            </w:r>
            <w:r w:rsidR="000B5638">
              <w:rPr>
                <w:noProof/>
                <w:webHidden/>
              </w:rPr>
              <w:instrText xml:space="preserve"> PAGEREF _Toc104790663 \h </w:instrText>
            </w:r>
            <w:r w:rsidR="000B5638">
              <w:rPr>
                <w:noProof/>
                <w:webHidden/>
              </w:rPr>
            </w:r>
            <w:r w:rsidR="000B5638">
              <w:rPr>
                <w:noProof/>
                <w:webHidden/>
              </w:rPr>
              <w:fldChar w:fldCharType="separate"/>
            </w:r>
            <w:r w:rsidR="002B5007">
              <w:rPr>
                <w:noProof/>
                <w:webHidden/>
              </w:rPr>
              <w:t>cxxxix</w:t>
            </w:r>
            <w:r w:rsidR="000B5638">
              <w:rPr>
                <w:noProof/>
                <w:webHidden/>
              </w:rPr>
              <w:fldChar w:fldCharType="end"/>
            </w:r>
          </w:hyperlink>
        </w:p>
        <w:p w14:paraId="17B670E8" w14:textId="734C7788" w:rsidR="000B5638" w:rsidRDefault="000F4A05">
          <w:pPr>
            <w:pStyle w:val="Spistreci1"/>
            <w:tabs>
              <w:tab w:val="right" w:leader="dot" w:pos="9062"/>
            </w:tabs>
            <w:rPr>
              <w:noProof/>
              <w:sz w:val="22"/>
              <w:szCs w:val="22"/>
              <w:lang w:eastAsia="pl-PL"/>
            </w:rPr>
          </w:pPr>
          <w:hyperlink w:anchor="_Toc104790664" w:history="1">
            <w:r w:rsidR="000B5638" w:rsidRPr="00202C70">
              <w:rPr>
                <w:rStyle w:val="Hipercze"/>
                <w:noProof/>
              </w:rPr>
              <w:t>Załącznik 4 Zestawienie potencjalnych oddziaływań pozytywnych i negatywnych możliwych do wystąpienia wskutek realizacji działań Programu FEPZ 2021-2027 wraz z katalogiem działań minimalizujących</w:t>
            </w:r>
            <w:r w:rsidR="000B5638">
              <w:rPr>
                <w:noProof/>
                <w:webHidden/>
              </w:rPr>
              <w:tab/>
            </w:r>
            <w:r w:rsidR="000B5638">
              <w:rPr>
                <w:noProof/>
                <w:webHidden/>
              </w:rPr>
              <w:fldChar w:fldCharType="begin"/>
            </w:r>
            <w:r w:rsidR="000B5638">
              <w:rPr>
                <w:noProof/>
                <w:webHidden/>
              </w:rPr>
              <w:instrText xml:space="preserve"> PAGEREF _Toc104790664 \h </w:instrText>
            </w:r>
            <w:r w:rsidR="000B5638">
              <w:rPr>
                <w:noProof/>
                <w:webHidden/>
              </w:rPr>
            </w:r>
            <w:r w:rsidR="000B5638">
              <w:rPr>
                <w:noProof/>
                <w:webHidden/>
              </w:rPr>
              <w:fldChar w:fldCharType="separate"/>
            </w:r>
            <w:r w:rsidR="002B5007">
              <w:rPr>
                <w:noProof/>
                <w:webHidden/>
              </w:rPr>
              <w:t>cxliv</w:t>
            </w:r>
            <w:r w:rsidR="000B5638">
              <w:rPr>
                <w:noProof/>
                <w:webHidden/>
              </w:rPr>
              <w:fldChar w:fldCharType="end"/>
            </w:r>
          </w:hyperlink>
        </w:p>
        <w:p w14:paraId="4D1644E7" w14:textId="57929EDB" w:rsidR="000B5638" w:rsidRDefault="000F4A05">
          <w:pPr>
            <w:pStyle w:val="Spistreci1"/>
            <w:tabs>
              <w:tab w:val="right" w:leader="dot" w:pos="9062"/>
            </w:tabs>
            <w:rPr>
              <w:noProof/>
              <w:sz w:val="22"/>
              <w:szCs w:val="22"/>
              <w:lang w:eastAsia="pl-PL"/>
            </w:rPr>
          </w:pPr>
          <w:hyperlink w:anchor="_Toc104790665" w:history="1">
            <w:r w:rsidR="000B5638" w:rsidRPr="00202C70">
              <w:rPr>
                <w:rStyle w:val="Hipercze"/>
                <w:noProof/>
              </w:rPr>
              <w:t>Załącznik 5 Macierz oddziaływań bezpośrednich (B) i pośrednich (P) możliwych do wystąpienia wskutek realizacji działań Programu FEPZ 2021-2027 na poszczególne komponenty środowiska</w:t>
            </w:r>
            <w:r w:rsidR="000B5638">
              <w:rPr>
                <w:noProof/>
                <w:webHidden/>
              </w:rPr>
              <w:tab/>
            </w:r>
            <w:r w:rsidR="000B5638">
              <w:rPr>
                <w:noProof/>
                <w:webHidden/>
              </w:rPr>
              <w:fldChar w:fldCharType="begin"/>
            </w:r>
            <w:r w:rsidR="000B5638">
              <w:rPr>
                <w:noProof/>
                <w:webHidden/>
              </w:rPr>
              <w:instrText xml:space="preserve"> PAGEREF _Toc104790665 \h </w:instrText>
            </w:r>
            <w:r w:rsidR="000B5638">
              <w:rPr>
                <w:noProof/>
                <w:webHidden/>
              </w:rPr>
            </w:r>
            <w:r w:rsidR="000B5638">
              <w:rPr>
                <w:noProof/>
                <w:webHidden/>
              </w:rPr>
              <w:fldChar w:fldCharType="separate"/>
            </w:r>
            <w:r w:rsidR="002B5007">
              <w:rPr>
                <w:noProof/>
                <w:webHidden/>
              </w:rPr>
              <w:t>cclxxv</w:t>
            </w:r>
            <w:r w:rsidR="000B5638">
              <w:rPr>
                <w:noProof/>
                <w:webHidden/>
              </w:rPr>
              <w:fldChar w:fldCharType="end"/>
            </w:r>
          </w:hyperlink>
        </w:p>
        <w:p w14:paraId="1127EA7C" w14:textId="3AFACF76" w:rsidR="00CC2F5F" w:rsidRPr="0091280D" w:rsidRDefault="00F83B96">
          <w:pPr>
            <w:rPr>
              <w:szCs w:val="22"/>
            </w:rPr>
          </w:pPr>
          <w:r w:rsidRPr="00655B1E">
            <w:rPr>
              <w:b/>
              <w:bCs/>
              <w:sz w:val="28"/>
              <w:szCs w:val="24"/>
            </w:rPr>
            <w:fldChar w:fldCharType="end"/>
          </w:r>
        </w:p>
      </w:sdtContent>
    </w:sdt>
    <w:p w14:paraId="435B449A" w14:textId="77777777" w:rsidR="00CC2F5F" w:rsidRPr="0091280D" w:rsidRDefault="00CC2F5F">
      <w:pPr>
        <w:rPr>
          <w:caps/>
          <w:spacing w:val="15"/>
          <w:sz w:val="32"/>
          <w:szCs w:val="24"/>
        </w:rPr>
      </w:pPr>
      <w:r w:rsidRPr="0091280D">
        <w:rPr>
          <w:szCs w:val="22"/>
        </w:rPr>
        <w:br w:type="page"/>
      </w:r>
    </w:p>
    <w:p w14:paraId="3CAC141B" w14:textId="1E7B0F14" w:rsidR="003F6A05" w:rsidRPr="0091280D" w:rsidRDefault="7C3AC5E5" w:rsidP="003F6A05">
      <w:pPr>
        <w:pStyle w:val="Nagwek1"/>
        <w:rPr>
          <w:caps w:val="0"/>
          <w:sz w:val="32"/>
          <w:szCs w:val="24"/>
        </w:rPr>
      </w:pPr>
      <w:bookmarkStart w:id="1" w:name="_Toc104790619"/>
      <w:r w:rsidRPr="7C3AC5E5">
        <w:rPr>
          <w:caps w:val="0"/>
          <w:sz w:val="32"/>
          <w:szCs w:val="32"/>
        </w:rPr>
        <w:lastRenderedPageBreak/>
        <w:t>SŁOWNICZEK I UŻYTE SKRÓTY</w:t>
      </w:r>
      <w:bookmarkEnd w:id="1"/>
    </w:p>
    <w:tbl>
      <w:tblPr>
        <w:tblStyle w:val="Tabela-Siatka"/>
        <w:tblW w:w="0" w:type="auto"/>
        <w:tblLayout w:type="fixed"/>
        <w:tblLook w:val="04A0" w:firstRow="1" w:lastRow="0" w:firstColumn="1" w:lastColumn="0" w:noHBand="0" w:noVBand="1"/>
      </w:tblPr>
      <w:tblGrid>
        <w:gridCol w:w="1935"/>
        <w:gridCol w:w="7125"/>
      </w:tblGrid>
      <w:tr w:rsidR="7C3AC5E5" w14:paraId="761AEA00" w14:textId="77777777" w:rsidTr="7C3AC5E5">
        <w:tc>
          <w:tcPr>
            <w:tcW w:w="1935" w:type="dxa"/>
            <w:tcBorders>
              <w:top w:val="single" w:sz="8" w:space="0" w:color="B7DFA8" w:themeColor="accent1" w:themeTint="66"/>
              <w:left w:val="single" w:sz="8" w:space="0" w:color="B7DFA8" w:themeColor="accent1" w:themeTint="66"/>
              <w:bottom w:val="single" w:sz="12" w:space="0" w:color="93D07C" w:themeColor="accent1" w:themeTint="99"/>
              <w:right w:val="single" w:sz="8" w:space="0" w:color="B7DFA8" w:themeColor="accent1" w:themeTint="66"/>
            </w:tcBorders>
          </w:tcPr>
          <w:p w14:paraId="75E29548" w14:textId="3B032617" w:rsidR="7C3AC5E5" w:rsidRDefault="7C3AC5E5">
            <w:r w:rsidRPr="7C3AC5E5">
              <w:rPr>
                <w:rFonts w:ascii="Calibri" w:eastAsia="Calibri" w:hAnsi="Calibri" w:cs="Calibri"/>
                <w:b/>
                <w:bCs/>
                <w:szCs w:val="24"/>
              </w:rPr>
              <w:t>Oznaczenie</w:t>
            </w:r>
          </w:p>
        </w:tc>
        <w:tc>
          <w:tcPr>
            <w:tcW w:w="7125" w:type="dxa"/>
            <w:tcBorders>
              <w:top w:val="single" w:sz="8" w:space="0" w:color="B7DFA8" w:themeColor="accent1" w:themeTint="66"/>
              <w:left w:val="single" w:sz="8" w:space="0" w:color="B7DFA8" w:themeColor="accent1" w:themeTint="66"/>
              <w:bottom w:val="single" w:sz="12" w:space="0" w:color="93D07C" w:themeColor="accent1" w:themeTint="99"/>
              <w:right w:val="single" w:sz="8" w:space="0" w:color="B7DFA8" w:themeColor="accent1" w:themeTint="66"/>
            </w:tcBorders>
          </w:tcPr>
          <w:p w14:paraId="54D13FF9" w14:textId="62D500CE" w:rsidR="7C3AC5E5" w:rsidRDefault="7C3AC5E5">
            <w:r w:rsidRPr="7C3AC5E5">
              <w:rPr>
                <w:rFonts w:ascii="Calibri" w:eastAsia="Calibri" w:hAnsi="Calibri" w:cs="Calibri"/>
                <w:b/>
                <w:bCs/>
                <w:szCs w:val="24"/>
              </w:rPr>
              <w:t>Treść</w:t>
            </w:r>
          </w:p>
        </w:tc>
      </w:tr>
      <w:tr w:rsidR="7C3AC5E5" w14:paraId="1774ABEC" w14:textId="77777777" w:rsidTr="7C3AC5E5">
        <w:tc>
          <w:tcPr>
            <w:tcW w:w="1935" w:type="dxa"/>
            <w:tcBorders>
              <w:top w:val="single" w:sz="12" w:space="0" w:color="93D07C" w:themeColor="accent1" w:themeTint="99"/>
              <w:left w:val="single" w:sz="8" w:space="0" w:color="B7DFA8" w:themeColor="accent1" w:themeTint="66"/>
              <w:bottom w:val="single" w:sz="8" w:space="0" w:color="B7DFA8" w:themeColor="accent1" w:themeTint="66"/>
              <w:right w:val="single" w:sz="8" w:space="0" w:color="B7DFA8" w:themeColor="accent1" w:themeTint="66"/>
            </w:tcBorders>
          </w:tcPr>
          <w:p w14:paraId="5AD8D76D" w14:textId="0A95DEFE" w:rsidR="7C3AC5E5" w:rsidRDefault="7C3AC5E5" w:rsidP="7C3AC5E5">
            <w:pPr>
              <w:rPr>
                <w:rFonts w:ascii="Calibri" w:eastAsia="Calibri" w:hAnsi="Calibri" w:cs="Calibri"/>
                <w:b/>
                <w:bCs/>
                <w:color w:val="000000" w:themeColor="text1"/>
                <w:szCs w:val="24"/>
              </w:rPr>
            </w:pPr>
            <w:r w:rsidRPr="7C3AC5E5">
              <w:rPr>
                <w:rFonts w:ascii="Calibri" w:eastAsia="Calibri" w:hAnsi="Calibri" w:cs="Calibri"/>
                <w:b/>
                <w:bCs/>
                <w:color w:val="000000" w:themeColor="text1"/>
                <w:szCs w:val="24"/>
              </w:rPr>
              <w:t>aPGW</w:t>
            </w:r>
          </w:p>
        </w:tc>
        <w:tc>
          <w:tcPr>
            <w:tcW w:w="7125" w:type="dxa"/>
            <w:tcBorders>
              <w:top w:val="single" w:sz="12" w:space="0" w:color="93D07C" w:themeColor="accent1" w:themeTint="99"/>
              <w:left w:val="single" w:sz="8" w:space="0" w:color="B7DFA8" w:themeColor="accent1" w:themeTint="66"/>
              <w:bottom w:val="single" w:sz="8" w:space="0" w:color="B7DFA8" w:themeColor="accent1" w:themeTint="66"/>
              <w:right w:val="single" w:sz="8" w:space="0" w:color="B7DFA8" w:themeColor="accent1" w:themeTint="66"/>
            </w:tcBorders>
          </w:tcPr>
          <w:p w14:paraId="4B9946E9" w14:textId="4C09531C" w:rsidR="7C3AC5E5" w:rsidRDefault="7C3AC5E5">
            <w:r w:rsidRPr="7C3AC5E5">
              <w:rPr>
                <w:rFonts w:ascii="Calibri" w:eastAsia="Calibri" w:hAnsi="Calibri" w:cs="Calibri"/>
                <w:szCs w:val="24"/>
              </w:rPr>
              <w:t>Aktualizacja planów gospodarowania wodami</w:t>
            </w:r>
          </w:p>
        </w:tc>
      </w:tr>
      <w:tr w:rsidR="7C3AC5E5" w14:paraId="6298F108"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2040E1B" w14:textId="207AA31C" w:rsidR="7C3AC5E5" w:rsidRDefault="7C3AC5E5" w:rsidP="7C3AC5E5">
            <w:pPr>
              <w:spacing w:line="276" w:lineRule="auto"/>
            </w:pPr>
            <w:r w:rsidRPr="7C3AC5E5">
              <w:rPr>
                <w:rFonts w:ascii="Calibri" w:eastAsia="Calibri" w:hAnsi="Calibri" w:cs="Calibri"/>
                <w:b/>
                <w:bCs/>
                <w:szCs w:val="24"/>
              </w:rPr>
              <w:t>BDL</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6C4BF58F" w14:textId="2A2118D0" w:rsidR="7C3AC5E5" w:rsidRDefault="7C3AC5E5" w:rsidP="7C3AC5E5">
            <w:pPr>
              <w:spacing w:line="276" w:lineRule="auto"/>
            </w:pPr>
            <w:r w:rsidRPr="7C3AC5E5">
              <w:rPr>
                <w:rFonts w:ascii="Calibri" w:eastAsia="Calibri" w:hAnsi="Calibri" w:cs="Calibri"/>
                <w:szCs w:val="24"/>
              </w:rPr>
              <w:t>Bank Danych Lokalnych</w:t>
            </w:r>
          </w:p>
        </w:tc>
      </w:tr>
      <w:tr w:rsidR="7C3AC5E5" w14:paraId="39D21699"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1CB1EF90" w14:textId="10710B9F" w:rsidR="7C3AC5E5" w:rsidRDefault="7C3AC5E5">
            <w:r w:rsidRPr="7C3AC5E5">
              <w:rPr>
                <w:rFonts w:ascii="Calibri" w:eastAsia="Calibri" w:hAnsi="Calibri" w:cs="Calibri"/>
                <w:b/>
                <w:bCs/>
                <w:szCs w:val="24"/>
              </w:rPr>
              <w:t>CSR</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47605365" w14:textId="79A7D525" w:rsidR="7C3AC5E5" w:rsidRDefault="7C3AC5E5">
            <w:r w:rsidRPr="7C3AC5E5">
              <w:rPr>
                <w:rFonts w:ascii="Calibri" w:eastAsia="Calibri" w:hAnsi="Calibri" w:cs="Calibri"/>
                <w:szCs w:val="24"/>
              </w:rPr>
              <w:t>Społeczna odpowiedzialność biznesu (ang. Corporate Social Responsibility)</w:t>
            </w:r>
          </w:p>
        </w:tc>
      </w:tr>
      <w:tr w:rsidR="7C3AC5E5" w14:paraId="5A8A1303"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64C61FFD" w14:textId="0CDAE33A" w:rsidR="7C3AC5E5" w:rsidRDefault="7C3AC5E5">
            <w:r w:rsidRPr="7C3AC5E5">
              <w:rPr>
                <w:rFonts w:ascii="Calibri" w:eastAsia="Calibri" w:hAnsi="Calibri" w:cs="Calibri"/>
                <w:b/>
                <w:bCs/>
                <w:szCs w:val="24"/>
              </w:rPr>
              <w:t>DNSH</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76943E1" w14:textId="1DCA9A4A" w:rsidR="7C3AC5E5" w:rsidRDefault="7C3AC5E5" w:rsidP="7C3AC5E5">
            <w:pPr>
              <w:tabs>
                <w:tab w:val="left" w:pos="0"/>
                <w:tab w:val="left" w:pos="0"/>
                <w:tab w:val="left" w:pos="1325"/>
              </w:tabs>
            </w:pPr>
            <w:r w:rsidRPr="7C3AC5E5">
              <w:rPr>
                <w:rFonts w:ascii="Calibri" w:eastAsia="Calibri" w:hAnsi="Calibri" w:cs="Calibri"/>
                <w:szCs w:val="24"/>
              </w:rPr>
              <w:t>zasada nieczynienia poważnej szkody środowisku (ang. Do No Significant Harm)</w:t>
            </w:r>
          </w:p>
        </w:tc>
      </w:tr>
      <w:tr w:rsidR="7C3AC5E5" w14:paraId="3D89B1BE"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BD2749A" w14:textId="50EAFFF9" w:rsidR="7C3AC5E5" w:rsidRDefault="7C3AC5E5">
            <w:r w:rsidRPr="7C3AC5E5">
              <w:rPr>
                <w:rFonts w:ascii="Calibri" w:eastAsia="Calibri" w:hAnsi="Calibri" w:cs="Calibri"/>
                <w:b/>
                <w:bCs/>
                <w:szCs w:val="24"/>
              </w:rPr>
              <w:t>EFRR</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253EE2A" w14:textId="417D9644" w:rsidR="7C3AC5E5" w:rsidRDefault="7C3AC5E5" w:rsidP="7C3AC5E5">
            <w:pPr>
              <w:tabs>
                <w:tab w:val="left" w:pos="0"/>
                <w:tab w:val="left" w:pos="0"/>
                <w:tab w:val="left" w:pos="1325"/>
              </w:tabs>
            </w:pPr>
            <w:r w:rsidRPr="7C3AC5E5">
              <w:rPr>
                <w:rFonts w:ascii="Calibri" w:eastAsia="Calibri" w:hAnsi="Calibri" w:cs="Calibri"/>
                <w:szCs w:val="24"/>
              </w:rPr>
              <w:t>Europejski Fundusz Rozwoju Regionalnego</w:t>
            </w:r>
          </w:p>
        </w:tc>
      </w:tr>
      <w:tr w:rsidR="7C3AC5E5" w14:paraId="2067B78F"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E530938" w14:textId="75DE7A16" w:rsidR="7C3AC5E5" w:rsidRDefault="7C3AC5E5">
            <w:r w:rsidRPr="7C3AC5E5">
              <w:rPr>
                <w:rFonts w:ascii="Calibri" w:eastAsia="Calibri" w:hAnsi="Calibri" w:cs="Calibri"/>
                <w:b/>
                <w:bCs/>
                <w:szCs w:val="24"/>
              </w:rPr>
              <w:t>EFS+</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083105A" w14:textId="726A21AC" w:rsidR="7C3AC5E5" w:rsidRDefault="7C3AC5E5">
            <w:r w:rsidRPr="7C3AC5E5">
              <w:rPr>
                <w:rFonts w:ascii="Calibri" w:eastAsia="Calibri" w:hAnsi="Calibri" w:cs="Calibri"/>
                <w:szCs w:val="24"/>
              </w:rPr>
              <w:t>Europejski Fundusz Społeczny Plus</w:t>
            </w:r>
          </w:p>
        </w:tc>
      </w:tr>
      <w:tr w:rsidR="7C3AC5E5" w14:paraId="1CB32E03"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6FDC189A" w14:textId="0D095BF0" w:rsidR="7C3AC5E5" w:rsidRDefault="7C3AC5E5">
            <w:r w:rsidRPr="7C3AC5E5">
              <w:rPr>
                <w:rFonts w:ascii="Calibri" w:eastAsia="Calibri" w:hAnsi="Calibri" w:cs="Calibri"/>
                <w:b/>
                <w:bCs/>
                <w:szCs w:val="24"/>
              </w:rPr>
              <w:t>EOG</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700BB4E" w14:textId="50B89896" w:rsidR="7C3AC5E5" w:rsidRDefault="7C3AC5E5">
            <w:r w:rsidRPr="7C3AC5E5">
              <w:rPr>
                <w:rFonts w:ascii="Calibri" w:eastAsia="Calibri" w:hAnsi="Calibri" w:cs="Calibri"/>
                <w:szCs w:val="24"/>
              </w:rPr>
              <w:t>Europejski Obszar Gospodarczy</w:t>
            </w:r>
          </w:p>
        </w:tc>
      </w:tr>
      <w:tr w:rsidR="7C3AC5E5" w14:paraId="37909A17"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4F756B78" w14:textId="205639C3" w:rsidR="7C3AC5E5" w:rsidRDefault="7C3AC5E5">
            <w:r w:rsidRPr="7C3AC5E5">
              <w:rPr>
                <w:rFonts w:ascii="Calibri" w:eastAsia="Calibri" w:hAnsi="Calibri" w:cs="Calibri"/>
                <w:b/>
                <w:bCs/>
                <w:szCs w:val="24"/>
              </w:rPr>
              <w:t>ETS</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E259484" w14:textId="4D99ECE4" w:rsidR="7C3AC5E5" w:rsidRDefault="7C3AC5E5">
            <w:r w:rsidRPr="7C3AC5E5">
              <w:rPr>
                <w:rFonts w:ascii="Calibri" w:eastAsia="Calibri" w:hAnsi="Calibri" w:cs="Calibri"/>
                <w:szCs w:val="24"/>
              </w:rPr>
              <w:t>Europejski System Handlu Emisjami</w:t>
            </w:r>
          </w:p>
        </w:tc>
      </w:tr>
      <w:tr w:rsidR="7C3AC5E5" w14:paraId="52362BF2"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26B39342" w14:textId="289260DE" w:rsidR="7C3AC5E5" w:rsidRDefault="7C3AC5E5">
            <w:r w:rsidRPr="7C3AC5E5">
              <w:rPr>
                <w:rFonts w:ascii="Calibri" w:eastAsia="Calibri" w:hAnsi="Calibri" w:cs="Calibri"/>
                <w:b/>
                <w:bCs/>
                <w:szCs w:val="24"/>
              </w:rPr>
              <w:t>FEPZ 2021-2027</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2128A5F9" w14:textId="6047C787" w:rsidR="7C3AC5E5" w:rsidRDefault="7C3AC5E5">
            <w:r w:rsidRPr="7C3AC5E5">
              <w:rPr>
                <w:rFonts w:ascii="Calibri" w:eastAsia="Calibri" w:hAnsi="Calibri" w:cs="Calibri"/>
                <w:szCs w:val="24"/>
              </w:rPr>
              <w:t>Fundusze Europejskie dla Pomorza Zachodniego 2021-2027 /projekt/</w:t>
            </w:r>
          </w:p>
        </w:tc>
      </w:tr>
      <w:tr w:rsidR="7C3AC5E5" w14:paraId="6009790B"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DE27FE9" w14:textId="2468E9B6" w:rsidR="7C3AC5E5" w:rsidRDefault="7C3AC5E5">
            <w:r w:rsidRPr="7C3AC5E5">
              <w:rPr>
                <w:rFonts w:ascii="Calibri" w:eastAsia="Calibri" w:hAnsi="Calibri" w:cs="Calibri"/>
                <w:b/>
                <w:bCs/>
                <w:szCs w:val="24"/>
              </w:rPr>
              <w:t>GDOŚ</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622FA5C4" w14:textId="22BA697A" w:rsidR="7C3AC5E5" w:rsidRDefault="7C3AC5E5">
            <w:r w:rsidRPr="7C3AC5E5">
              <w:rPr>
                <w:rFonts w:ascii="Calibri" w:eastAsia="Calibri" w:hAnsi="Calibri" w:cs="Calibri"/>
                <w:szCs w:val="24"/>
              </w:rPr>
              <w:t>Generalna Dyrekcja Ochrony Środowiska</w:t>
            </w:r>
          </w:p>
        </w:tc>
      </w:tr>
      <w:tr w:rsidR="7C3AC5E5" w14:paraId="2E858B3A"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64D0376F" w14:textId="5C5412E1" w:rsidR="7C3AC5E5" w:rsidRDefault="7C3AC5E5">
            <w:r w:rsidRPr="7C3AC5E5">
              <w:rPr>
                <w:rFonts w:ascii="Calibri" w:eastAsia="Calibri" w:hAnsi="Calibri" w:cs="Calibri"/>
                <w:b/>
                <w:bCs/>
                <w:szCs w:val="24"/>
              </w:rPr>
              <w:t>GIOŚ</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43DA5A23" w14:textId="7D522F4C" w:rsidR="7C3AC5E5" w:rsidRDefault="7C3AC5E5">
            <w:r w:rsidRPr="7C3AC5E5">
              <w:rPr>
                <w:rFonts w:ascii="Calibri" w:eastAsia="Calibri" w:hAnsi="Calibri" w:cs="Calibri"/>
                <w:szCs w:val="24"/>
              </w:rPr>
              <w:t xml:space="preserve">Główny Inspektorat Ochrony Środowiska </w:t>
            </w:r>
          </w:p>
        </w:tc>
      </w:tr>
      <w:tr w:rsidR="7C3AC5E5" w14:paraId="4915410F"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0D1900E" w14:textId="0257AC2A" w:rsidR="7C3AC5E5" w:rsidRDefault="7C3AC5E5">
            <w:r w:rsidRPr="7C3AC5E5">
              <w:rPr>
                <w:rFonts w:ascii="Calibri" w:eastAsia="Calibri" w:hAnsi="Calibri" w:cs="Calibri"/>
                <w:b/>
                <w:bCs/>
                <w:szCs w:val="24"/>
              </w:rPr>
              <w:t>GMO</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5F42FF4" w14:textId="3DCEB141" w:rsidR="7C3AC5E5" w:rsidRDefault="7C3AC5E5">
            <w:r w:rsidRPr="7C3AC5E5">
              <w:rPr>
                <w:rFonts w:ascii="Calibri" w:eastAsia="Calibri" w:hAnsi="Calibri" w:cs="Calibri"/>
                <w:szCs w:val="24"/>
              </w:rPr>
              <w:t>Organizm zmodyfikowany genetycznie</w:t>
            </w:r>
          </w:p>
        </w:tc>
      </w:tr>
      <w:tr w:rsidR="7C3AC5E5" w14:paraId="55079E65"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081FBB72" w14:textId="1F33646C" w:rsidR="7C3AC5E5" w:rsidRDefault="7C3AC5E5">
            <w:r w:rsidRPr="7C3AC5E5">
              <w:rPr>
                <w:rFonts w:ascii="Calibri" w:eastAsia="Calibri" w:hAnsi="Calibri" w:cs="Calibri"/>
                <w:b/>
                <w:bCs/>
                <w:szCs w:val="24"/>
              </w:rPr>
              <w:t>GOZ</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EF4A7B0" w14:textId="4EC91F01" w:rsidR="7C3AC5E5" w:rsidRDefault="7C3AC5E5">
            <w:r w:rsidRPr="7C3AC5E5">
              <w:rPr>
                <w:rFonts w:ascii="Calibri" w:eastAsia="Calibri" w:hAnsi="Calibri" w:cs="Calibri"/>
                <w:szCs w:val="24"/>
              </w:rPr>
              <w:t>Gospodarka o obiegu zamkniętym</w:t>
            </w:r>
          </w:p>
        </w:tc>
      </w:tr>
      <w:tr w:rsidR="7C3AC5E5" w14:paraId="7B0CACCE"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C4B3EA8" w14:textId="1ADC1B1A" w:rsidR="7C3AC5E5" w:rsidRDefault="7C3AC5E5">
            <w:r w:rsidRPr="7C3AC5E5">
              <w:rPr>
                <w:rFonts w:ascii="Calibri" w:eastAsia="Calibri" w:hAnsi="Calibri" w:cs="Calibri"/>
                <w:b/>
                <w:bCs/>
                <w:szCs w:val="24"/>
              </w:rPr>
              <w:t>GUS</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656C6DE4" w14:textId="1F02D9E8" w:rsidR="7C3AC5E5" w:rsidRDefault="7C3AC5E5">
            <w:r w:rsidRPr="7C3AC5E5">
              <w:rPr>
                <w:rFonts w:ascii="Calibri" w:eastAsia="Calibri" w:hAnsi="Calibri" w:cs="Calibri"/>
                <w:szCs w:val="24"/>
              </w:rPr>
              <w:t>Główny Urząd Statystyczny</w:t>
            </w:r>
          </w:p>
        </w:tc>
      </w:tr>
      <w:tr w:rsidR="7C3AC5E5" w14:paraId="2A1D2608"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E5A0610" w14:textId="75A59995" w:rsidR="7C3AC5E5" w:rsidRDefault="7C3AC5E5">
            <w:r w:rsidRPr="7C3AC5E5">
              <w:rPr>
                <w:rFonts w:ascii="Calibri" w:eastAsia="Calibri" w:hAnsi="Calibri" w:cs="Calibri"/>
                <w:b/>
                <w:bCs/>
                <w:szCs w:val="24"/>
              </w:rPr>
              <w:t>GZWP</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449C12F6" w14:textId="0408CA7E" w:rsidR="7C3AC5E5" w:rsidRDefault="7C3AC5E5">
            <w:r w:rsidRPr="7C3AC5E5">
              <w:rPr>
                <w:rFonts w:ascii="Calibri" w:eastAsia="Calibri" w:hAnsi="Calibri" w:cs="Calibri"/>
                <w:szCs w:val="24"/>
              </w:rPr>
              <w:t>Główny Zbiornik Wód Podziemnych</w:t>
            </w:r>
          </w:p>
        </w:tc>
      </w:tr>
      <w:tr w:rsidR="7C3AC5E5" w:rsidRPr="002B5007" w14:paraId="1B510995"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1CA5B971" w14:textId="16983BE0" w:rsidR="7C3AC5E5" w:rsidRDefault="7C3AC5E5">
            <w:r w:rsidRPr="7C3AC5E5">
              <w:rPr>
                <w:rFonts w:ascii="Calibri" w:eastAsia="Calibri" w:hAnsi="Calibri" w:cs="Calibri"/>
                <w:b/>
                <w:bCs/>
                <w:szCs w:val="24"/>
              </w:rPr>
              <w:t>IARC</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0EAF0C89" w14:textId="326F86F4" w:rsidR="7C3AC5E5" w:rsidRPr="00552B4C" w:rsidRDefault="7C3AC5E5">
            <w:pPr>
              <w:rPr>
                <w:lang w:val="en-US"/>
              </w:rPr>
            </w:pPr>
            <w:r w:rsidRPr="7C3AC5E5">
              <w:rPr>
                <w:rFonts w:ascii="Calibri" w:eastAsia="Calibri" w:hAnsi="Calibri" w:cs="Calibri"/>
                <w:szCs w:val="24"/>
              </w:rPr>
              <w:t xml:space="preserve">Międzynarodowa Agencja Badań nad Rakiem (ang. </w:t>
            </w:r>
            <w:r w:rsidRPr="00552B4C">
              <w:rPr>
                <w:rFonts w:ascii="Calibri" w:eastAsia="Calibri" w:hAnsi="Calibri" w:cs="Calibri"/>
                <w:szCs w:val="24"/>
                <w:lang w:val="en-US"/>
              </w:rPr>
              <w:t>International Agency Research on Cancer)</w:t>
            </w:r>
          </w:p>
        </w:tc>
      </w:tr>
      <w:tr w:rsidR="7C3AC5E5" w14:paraId="0E30F17F"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4B5B484" w14:textId="73272CCB" w:rsidR="7C3AC5E5" w:rsidRDefault="7C3AC5E5">
            <w:r w:rsidRPr="7C3AC5E5">
              <w:rPr>
                <w:rFonts w:ascii="Calibri" w:eastAsia="Calibri" w:hAnsi="Calibri" w:cs="Calibri"/>
                <w:b/>
                <w:bCs/>
                <w:szCs w:val="24"/>
              </w:rPr>
              <w:t>ITS</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A7C7064" w14:textId="7FA0BE4E" w:rsidR="7C3AC5E5" w:rsidRDefault="7C3AC5E5">
            <w:r w:rsidRPr="7C3AC5E5">
              <w:rPr>
                <w:rFonts w:ascii="Calibri" w:eastAsia="Calibri" w:hAnsi="Calibri" w:cs="Calibri"/>
                <w:szCs w:val="24"/>
              </w:rPr>
              <w:t>Inteligentne systemy transportowe</w:t>
            </w:r>
          </w:p>
        </w:tc>
      </w:tr>
      <w:tr w:rsidR="7C3AC5E5" w14:paraId="469F97A8"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09910F1F" w14:textId="4A51FBBB" w:rsidR="7C3AC5E5" w:rsidRDefault="7C3AC5E5">
            <w:r w:rsidRPr="7C3AC5E5">
              <w:rPr>
                <w:rFonts w:ascii="Calibri" w:eastAsia="Calibri" w:hAnsi="Calibri" w:cs="Calibri"/>
                <w:b/>
                <w:bCs/>
                <w:szCs w:val="24"/>
              </w:rPr>
              <w:t>IUNG</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024ED705" w14:textId="1192E76D" w:rsidR="7C3AC5E5" w:rsidRDefault="7C3AC5E5">
            <w:r w:rsidRPr="7C3AC5E5">
              <w:rPr>
                <w:rFonts w:ascii="Calibri" w:eastAsia="Calibri" w:hAnsi="Calibri" w:cs="Calibri"/>
                <w:szCs w:val="24"/>
              </w:rPr>
              <w:t>Instytut Uprawy Nawożenia i Gleboznawstwa Państwowy Instytut Badawczy</w:t>
            </w:r>
          </w:p>
        </w:tc>
      </w:tr>
      <w:tr w:rsidR="7C3AC5E5" w14:paraId="4319D417"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697810E7" w14:textId="08DBF66A" w:rsidR="7C3AC5E5" w:rsidRDefault="7C3AC5E5">
            <w:r w:rsidRPr="7C3AC5E5">
              <w:rPr>
                <w:rFonts w:ascii="Calibri" w:eastAsia="Calibri" w:hAnsi="Calibri" w:cs="Calibri"/>
                <w:b/>
                <w:bCs/>
                <w:szCs w:val="24"/>
              </w:rPr>
              <w:t>JCWP</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10EBB92" w14:textId="22F61497" w:rsidR="7C3AC5E5" w:rsidRDefault="7C3AC5E5">
            <w:r w:rsidRPr="7C3AC5E5">
              <w:rPr>
                <w:rFonts w:ascii="Calibri" w:eastAsia="Calibri" w:hAnsi="Calibri" w:cs="Calibri"/>
                <w:szCs w:val="24"/>
              </w:rPr>
              <w:t>Jednolite Części Wód Powierzchniowych</w:t>
            </w:r>
          </w:p>
        </w:tc>
      </w:tr>
      <w:tr w:rsidR="7C3AC5E5" w14:paraId="20E0B04B"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1EF8F101" w14:textId="0058503F" w:rsidR="7C3AC5E5" w:rsidRDefault="7C3AC5E5">
            <w:r w:rsidRPr="7C3AC5E5">
              <w:rPr>
                <w:rFonts w:ascii="Calibri" w:eastAsia="Calibri" w:hAnsi="Calibri" w:cs="Calibri"/>
                <w:b/>
                <w:bCs/>
                <w:szCs w:val="24"/>
              </w:rPr>
              <w:t>JCWPd</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E5FCDE5" w14:textId="5C7D2ACB" w:rsidR="7C3AC5E5" w:rsidRDefault="7C3AC5E5">
            <w:r w:rsidRPr="7C3AC5E5">
              <w:rPr>
                <w:rFonts w:ascii="Calibri" w:eastAsia="Calibri" w:hAnsi="Calibri" w:cs="Calibri"/>
                <w:szCs w:val="24"/>
              </w:rPr>
              <w:t>Jednolite Części Wód Podziemnych</w:t>
            </w:r>
          </w:p>
        </w:tc>
      </w:tr>
      <w:tr w:rsidR="7C3AC5E5" w14:paraId="45606E4D"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1C6A285" w14:textId="214655A3" w:rsidR="7C3AC5E5" w:rsidRDefault="7C3AC5E5">
            <w:r w:rsidRPr="7C3AC5E5">
              <w:rPr>
                <w:rFonts w:ascii="Calibri" w:eastAsia="Calibri" w:hAnsi="Calibri" w:cs="Calibri"/>
                <w:b/>
                <w:bCs/>
                <w:szCs w:val="24"/>
              </w:rPr>
              <w:t>KPGO 2022</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CCD7BF1" w14:textId="64204A50" w:rsidR="7C3AC5E5" w:rsidRDefault="7C3AC5E5">
            <w:r w:rsidRPr="7C3AC5E5">
              <w:rPr>
                <w:rFonts w:ascii="Calibri" w:eastAsia="Calibri" w:hAnsi="Calibri" w:cs="Calibri"/>
                <w:szCs w:val="24"/>
              </w:rPr>
              <w:t>Krajowy Plan Gospodarki Odpadami 2022</w:t>
            </w:r>
          </w:p>
        </w:tc>
      </w:tr>
      <w:tr w:rsidR="7C3AC5E5" w14:paraId="56DADE67"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3BABD18" w14:textId="3E6051A1" w:rsidR="7C3AC5E5" w:rsidRDefault="7C3AC5E5">
            <w:r w:rsidRPr="7C3AC5E5">
              <w:rPr>
                <w:rFonts w:ascii="Calibri" w:eastAsia="Calibri" w:hAnsi="Calibri" w:cs="Calibri"/>
                <w:b/>
                <w:bCs/>
                <w:szCs w:val="24"/>
              </w:rPr>
              <w:t>LKP</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46717F4F" w14:textId="5465CC72" w:rsidR="7C3AC5E5" w:rsidRDefault="7C3AC5E5">
            <w:r w:rsidRPr="7C3AC5E5">
              <w:rPr>
                <w:rFonts w:ascii="Calibri" w:eastAsia="Calibri" w:hAnsi="Calibri" w:cs="Calibri"/>
                <w:szCs w:val="24"/>
              </w:rPr>
              <w:t>Leśny kompleks promocyjny</w:t>
            </w:r>
          </w:p>
        </w:tc>
      </w:tr>
      <w:tr w:rsidR="7C3AC5E5" w14:paraId="43DFB3A1"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0F3BB6E5" w14:textId="18434967" w:rsidR="7C3AC5E5" w:rsidRDefault="7C3AC5E5">
            <w:r w:rsidRPr="7C3AC5E5">
              <w:rPr>
                <w:rFonts w:ascii="Calibri" w:eastAsia="Calibri" w:hAnsi="Calibri" w:cs="Calibri"/>
                <w:b/>
                <w:bCs/>
                <w:szCs w:val="24"/>
              </w:rPr>
              <w:t>MBA</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1DFB16F9" w14:textId="6A310CCD" w:rsidR="7C3AC5E5" w:rsidRDefault="7C3AC5E5">
            <w:r w:rsidRPr="7C3AC5E5">
              <w:rPr>
                <w:rFonts w:ascii="Calibri" w:eastAsia="Calibri" w:hAnsi="Calibri" w:cs="Calibri"/>
                <w:szCs w:val="24"/>
              </w:rPr>
              <w:t>Mechaniczno biologiczne przetwarzanie (niem. mechanisch-biologische Abfallbehandlungsanlage)</w:t>
            </w:r>
          </w:p>
        </w:tc>
      </w:tr>
      <w:tr w:rsidR="7C3AC5E5" w14:paraId="7BB3DCDD"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4611530B" w14:textId="245B9F74" w:rsidR="7C3AC5E5" w:rsidRDefault="7C3AC5E5">
            <w:r w:rsidRPr="7C3AC5E5">
              <w:rPr>
                <w:rFonts w:ascii="Calibri" w:eastAsia="Calibri" w:hAnsi="Calibri" w:cs="Calibri"/>
                <w:b/>
                <w:bCs/>
                <w:szCs w:val="24"/>
              </w:rPr>
              <w:lastRenderedPageBreak/>
              <w:t>MŚP</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1CD965C3" w14:textId="62DBB11E" w:rsidR="7C3AC5E5" w:rsidRDefault="7C3AC5E5">
            <w:r w:rsidRPr="7C3AC5E5">
              <w:rPr>
                <w:rFonts w:ascii="Calibri" w:eastAsia="Calibri" w:hAnsi="Calibri" w:cs="Calibri"/>
                <w:szCs w:val="24"/>
              </w:rPr>
              <w:t>Małe i średnie przedsiębiorstwa</w:t>
            </w:r>
          </w:p>
        </w:tc>
      </w:tr>
      <w:tr w:rsidR="7C3AC5E5" w14:paraId="143CEC59"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4D113768" w14:textId="0BE0C47D" w:rsidR="7C3AC5E5" w:rsidRDefault="7C3AC5E5">
            <w:r w:rsidRPr="7C3AC5E5">
              <w:rPr>
                <w:rFonts w:ascii="Calibri" w:eastAsia="Calibri" w:hAnsi="Calibri" w:cs="Calibri"/>
                <w:b/>
                <w:bCs/>
                <w:szCs w:val="24"/>
              </w:rPr>
              <w:t>MPHP</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6EDD9811" w14:textId="361D2673" w:rsidR="7C3AC5E5" w:rsidRDefault="7C3AC5E5">
            <w:r w:rsidRPr="7C3AC5E5">
              <w:rPr>
                <w:rFonts w:ascii="Calibri" w:eastAsia="Calibri" w:hAnsi="Calibri" w:cs="Calibri"/>
                <w:szCs w:val="24"/>
              </w:rPr>
              <w:t>Mapa Podziału Hydrograficznego Polski</w:t>
            </w:r>
          </w:p>
        </w:tc>
      </w:tr>
      <w:tr w:rsidR="7C3AC5E5" w14:paraId="23FD6F99"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09E720B" w14:textId="1CBB043B" w:rsidR="7C3AC5E5" w:rsidRDefault="7C3AC5E5">
            <w:r w:rsidRPr="7C3AC5E5">
              <w:rPr>
                <w:rFonts w:ascii="Calibri" w:eastAsia="Calibri" w:hAnsi="Calibri" w:cs="Calibri"/>
                <w:b/>
                <w:bCs/>
                <w:szCs w:val="24"/>
              </w:rPr>
              <w:t>MPZP</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2E6F410" w14:textId="58EB6C15" w:rsidR="7C3AC5E5" w:rsidRDefault="7C3AC5E5">
            <w:r w:rsidRPr="7C3AC5E5">
              <w:rPr>
                <w:rFonts w:ascii="Calibri" w:eastAsia="Calibri" w:hAnsi="Calibri" w:cs="Calibri"/>
                <w:szCs w:val="24"/>
              </w:rPr>
              <w:t>Miejscowy Plan Zagospodarowania Przestrzennego</w:t>
            </w:r>
          </w:p>
        </w:tc>
      </w:tr>
      <w:tr w:rsidR="7C3AC5E5" w14:paraId="3D9B0815"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4801E2B5" w14:textId="251DF976" w:rsidR="7C3AC5E5" w:rsidRDefault="7C3AC5E5">
            <w:r w:rsidRPr="7C3AC5E5">
              <w:rPr>
                <w:rFonts w:ascii="Calibri" w:eastAsia="Calibri" w:hAnsi="Calibri" w:cs="Calibri"/>
                <w:b/>
                <w:bCs/>
                <w:szCs w:val="24"/>
              </w:rPr>
              <w:t>NIK</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D8F96C7" w14:textId="67674585" w:rsidR="7C3AC5E5" w:rsidRDefault="7C3AC5E5">
            <w:r w:rsidRPr="7C3AC5E5">
              <w:rPr>
                <w:rFonts w:ascii="Calibri" w:eastAsia="Calibri" w:hAnsi="Calibri" w:cs="Calibri"/>
                <w:szCs w:val="24"/>
              </w:rPr>
              <w:t>Najwyższa Izba Kontroli</w:t>
            </w:r>
          </w:p>
        </w:tc>
      </w:tr>
      <w:tr w:rsidR="7C3AC5E5" w14:paraId="371B4D6B"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DB5BE80" w14:textId="563C9264" w:rsidR="7C3AC5E5" w:rsidRDefault="7C3AC5E5">
            <w:r w:rsidRPr="7C3AC5E5">
              <w:rPr>
                <w:rFonts w:ascii="Calibri" w:eastAsia="Calibri" w:hAnsi="Calibri" w:cs="Calibri"/>
                <w:b/>
                <w:bCs/>
                <w:szCs w:val="24"/>
              </w:rPr>
              <w:t>ustawa OOŚ</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1C6FD7D" w14:textId="5AC1A1D7" w:rsidR="7C3AC5E5" w:rsidRDefault="7C3AC5E5">
            <w:r w:rsidRPr="7C3AC5E5">
              <w:rPr>
                <w:rFonts w:ascii="Calibri" w:eastAsia="Calibri" w:hAnsi="Calibri" w:cs="Calibri"/>
                <w:szCs w:val="24"/>
              </w:rPr>
              <w:t>ustawa z dnia 3 października 2008 r. o udostępnianiu informacji o środowisku i jego ochronie, udziale społeczeństwa w ochronie środowiska oraz o ocenach oddziaływania na środowisko</w:t>
            </w:r>
          </w:p>
        </w:tc>
      </w:tr>
      <w:tr w:rsidR="7C3AC5E5" w14:paraId="0A027627"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05518DCB" w14:textId="6BC974A4" w:rsidR="7C3AC5E5" w:rsidRDefault="7C3AC5E5">
            <w:r w:rsidRPr="7C3AC5E5">
              <w:rPr>
                <w:rFonts w:ascii="Calibri" w:eastAsia="Calibri" w:hAnsi="Calibri" w:cs="Calibri"/>
                <w:b/>
                <w:bCs/>
                <w:szCs w:val="24"/>
              </w:rPr>
              <w:t>OKK</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6A9D40B4" w14:textId="06C7C819" w:rsidR="7C3AC5E5" w:rsidRDefault="7C3AC5E5">
            <w:r w:rsidRPr="7C3AC5E5">
              <w:rPr>
                <w:rFonts w:ascii="Calibri" w:eastAsia="Calibri" w:hAnsi="Calibri" w:cs="Calibri"/>
                <w:szCs w:val="24"/>
              </w:rPr>
              <w:t>Obszary Krajobrazowo-Kulturowe</w:t>
            </w:r>
          </w:p>
        </w:tc>
      </w:tr>
      <w:tr w:rsidR="7C3AC5E5" w14:paraId="65D3DEB1"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4E02683" w14:textId="0CB3470E" w:rsidR="7C3AC5E5" w:rsidRDefault="7C3AC5E5">
            <w:r w:rsidRPr="7C3AC5E5">
              <w:rPr>
                <w:rFonts w:ascii="Calibri" w:eastAsia="Calibri" w:hAnsi="Calibri" w:cs="Calibri"/>
                <w:b/>
                <w:bCs/>
                <w:szCs w:val="24"/>
              </w:rPr>
              <w:t xml:space="preserve">OSO </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787FFB8" w14:textId="0DC072D3" w:rsidR="7C3AC5E5" w:rsidRDefault="7C3AC5E5">
            <w:r w:rsidRPr="7C3AC5E5">
              <w:rPr>
                <w:rFonts w:ascii="Calibri" w:eastAsia="Calibri" w:hAnsi="Calibri" w:cs="Calibri"/>
                <w:szCs w:val="24"/>
              </w:rPr>
              <w:t>Obszary specjalnej ochrony ptaków</w:t>
            </w:r>
          </w:p>
        </w:tc>
      </w:tr>
      <w:tr w:rsidR="7C3AC5E5" w14:paraId="325C09BB"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9F31018" w14:textId="1406DEF7" w:rsidR="7C3AC5E5" w:rsidRDefault="7C3AC5E5" w:rsidP="7C3AC5E5">
            <w:pPr>
              <w:spacing w:line="276" w:lineRule="auto"/>
            </w:pPr>
            <w:r w:rsidRPr="7C3AC5E5">
              <w:rPr>
                <w:rFonts w:ascii="Calibri" w:eastAsia="Calibri" w:hAnsi="Calibri" w:cs="Calibri"/>
                <w:b/>
                <w:bCs/>
                <w:szCs w:val="24"/>
              </w:rPr>
              <w:t>OZE</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1A4BEE44" w14:textId="38E22737" w:rsidR="7C3AC5E5" w:rsidRDefault="7C3AC5E5" w:rsidP="7C3AC5E5">
            <w:pPr>
              <w:spacing w:line="276" w:lineRule="auto"/>
            </w:pPr>
            <w:r w:rsidRPr="7C3AC5E5">
              <w:rPr>
                <w:rFonts w:ascii="Calibri" w:eastAsia="Calibri" w:hAnsi="Calibri" w:cs="Calibri"/>
                <w:szCs w:val="24"/>
              </w:rPr>
              <w:t>Odnawialne Źródła Energii</w:t>
            </w:r>
          </w:p>
        </w:tc>
      </w:tr>
      <w:tr w:rsidR="7C3AC5E5" w14:paraId="47184021"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6122C09" w14:textId="16CDA56E" w:rsidR="7C3AC5E5" w:rsidRDefault="7C3AC5E5">
            <w:r w:rsidRPr="7C3AC5E5">
              <w:rPr>
                <w:rFonts w:ascii="Calibri" w:eastAsia="Calibri" w:hAnsi="Calibri" w:cs="Calibri"/>
                <w:b/>
                <w:bCs/>
                <w:szCs w:val="24"/>
              </w:rPr>
              <w:t>PIG-PIB</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2A5BF109" w14:textId="177CDE8F" w:rsidR="7C3AC5E5" w:rsidRDefault="7C3AC5E5">
            <w:r w:rsidRPr="7C3AC5E5">
              <w:rPr>
                <w:rFonts w:ascii="Calibri" w:eastAsia="Calibri" w:hAnsi="Calibri" w:cs="Calibri"/>
                <w:szCs w:val="24"/>
              </w:rPr>
              <w:t>Państwowy Instytut Geologiczny – Państwowy Instytut Badawczy</w:t>
            </w:r>
          </w:p>
        </w:tc>
      </w:tr>
      <w:tr w:rsidR="7C3AC5E5" w14:paraId="44771B62"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4788C1F5" w14:textId="7ED8D730" w:rsidR="7C3AC5E5" w:rsidRDefault="7C3AC5E5">
            <w:r w:rsidRPr="7C3AC5E5">
              <w:rPr>
                <w:rFonts w:ascii="Calibri" w:eastAsia="Calibri" w:hAnsi="Calibri" w:cs="Calibri"/>
                <w:b/>
                <w:bCs/>
                <w:szCs w:val="24"/>
              </w:rPr>
              <w:t>PMŚ</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F7542F3" w14:textId="6A9E6E8C" w:rsidR="7C3AC5E5" w:rsidRDefault="7C3AC5E5">
            <w:r w:rsidRPr="7C3AC5E5">
              <w:rPr>
                <w:rFonts w:ascii="Calibri" w:eastAsia="Calibri" w:hAnsi="Calibri" w:cs="Calibri"/>
                <w:szCs w:val="24"/>
              </w:rPr>
              <w:t>Państwowy Monitoring Środowiska</w:t>
            </w:r>
          </w:p>
        </w:tc>
      </w:tr>
      <w:tr w:rsidR="7C3AC5E5" w14:paraId="2D24F45D"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490E35B6" w14:textId="2AE3F053" w:rsidR="7C3AC5E5" w:rsidRDefault="7C3AC5E5">
            <w:r w:rsidRPr="7C3AC5E5">
              <w:rPr>
                <w:rFonts w:ascii="Calibri" w:eastAsia="Calibri" w:hAnsi="Calibri" w:cs="Calibri"/>
                <w:b/>
                <w:bCs/>
                <w:szCs w:val="24"/>
              </w:rPr>
              <w:t>PZPWZ</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10CD0A6B" w14:textId="01F9AEDC" w:rsidR="7C3AC5E5" w:rsidRDefault="7C3AC5E5">
            <w:r w:rsidRPr="7C3AC5E5">
              <w:rPr>
                <w:rFonts w:ascii="Calibri" w:eastAsia="Calibri" w:hAnsi="Calibri" w:cs="Calibri"/>
                <w:szCs w:val="24"/>
              </w:rPr>
              <w:t>Plan Zagospodarowania Przestrzennego Województwa Zachodniopomorskiego</w:t>
            </w:r>
          </w:p>
        </w:tc>
      </w:tr>
      <w:tr w:rsidR="7C3AC5E5" w14:paraId="117E64F1"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4DDA0AA8" w14:textId="1BFC0D3C" w:rsidR="7C3AC5E5" w:rsidRDefault="7C3AC5E5">
            <w:r w:rsidRPr="7C3AC5E5">
              <w:rPr>
                <w:rFonts w:ascii="Calibri" w:eastAsia="Calibri" w:hAnsi="Calibri" w:cs="Calibri"/>
                <w:b/>
                <w:bCs/>
                <w:szCs w:val="24"/>
              </w:rPr>
              <w:t>RDOŚ</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2E3BC6C" w14:textId="6D760345" w:rsidR="7C3AC5E5" w:rsidRDefault="7C3AC5E5">
            <w:r w:rsidRPr="7C3AC5E5">
              <w:rPr>
                <w:rFonts w:ascii="Calibri" w:eastAsia="Calibri" w:hAnsi="Calibri" w:cs="Calibri"/>
                <w:szCs w:val="24"/>
              </w:rPr>
              <w:t>Regionalna Dyrekcja Ochrony Środowiska</w:t>
            </w:r>
          </w:p>
        </w:tc>
      </w:tr>
      <w:tr w:rsidR="7C3AC5E5" w:rsidRPr="002B5007" w14:paraId="619A72BB"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059E04D7" w14:textId="47EFC90E" w:rsidR="7C3AC5E5" w:rsidRDefault="7C3AC5E5">
            <w:r w:rsidRPr="7C3AC5E5">
              <w:rPr>
                <w:rFonts w:ascii="Calibri" w:eastAsia="Calibri" w:hAnsi="Calibri" w:cs="Calibri"/>
                <w:b/>
                <w:bCs/>
                <w:szCs w:val="24"/>
              </w:rPr>
              <w:t>RDF</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07AA76F" w14:textId="51ED6EE4" w:rsidR="7C3AC5E5" w:rsidRPr="00552B4C" w:rsidRDefault="7C3AC5E5">
            <w:pPr>
              <w:rPr>
                <w:lang w:val="en-US"/>
              </w:rPr>
            </w:pPr>
            <w:r w:rsidRPr="00552B4C">
              <w:rPr>
                <w:rFonts w:ascii="Calibri" w:eastAsia="Calibri" w:hAnsi="Calibri" w:cs="Calibri"/>
                <w:szCs w:val="24"/>
                <w:lang w:val="en-US"/>
              </w:rPr>
              <w:t>Paliwo odpadowe (ang. Refuse Derived Fuel)</w:t>
            </w:r>
          </w:p>
        </w:tc>
      </w:tr>
      <w:tr w:rsidR="7C3AC5E5" w14:paraId="57C56B4E"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84E922D" w14:textId="5EC40969" w:rsidR="7C3AC5E5" w:rsidRDefault="7C3AC5E5">
            <w:r w:rsidRPr="7C3AC5E5">
              <w:rPr>
                <w:rFonts w:ascii="Calibri" w:eastAsia="Calibri" w:hAnsi="Calibri" w:cs="Calibri"/>
                <w:b/>
                <w:bCs/>
                <w:szCs w:val="24"/>
              </w:rPr>
              <w:t>RWMŚ</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62F99CF7" w14:textId="48432CE2" w:rsidR="7C3AC5E5" w:rsidRDefault="7C3AC5E5">
            <w:r w:rsidRPr="7C3AC5E5">
              <w:rPr>
                <w:rFonts w:ascii="Calibri" w:eastAsia="Calibri" w:hAnsi="Calibri" w:cs="Calibri"/>
                <w:szCs w:val="24"/>
              </w:rPr>
              <w:t>Regionalny Wydział Monitoringu Środowiska</w:t>
            </w:r>
          </w:p>
        </w:tc>
      </w:tr>
      <w:tr w:rsidR="7C3AC5E5" w14:paraId="3BD5251B"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27F41FE9" w14:textId="4A085CB6" w:rsidR="7C3AC5E5" w:rsidRDefault="7C3AC5E5">
            <w:r w:rsidRPr="7C3AC5E5">
              <w:rPr>
                <w:rFonts w:ascii="Calibri" w:eastAsia="Calibri" w:hAnsi="Calibri" w:cs="Calibri"/>
                <w:b/>
                <w:bCs/>
                <w:szCs w:val="24"/>
              </w:rPr>
              <w:t>RZGW</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AD7AD7C" w14:textId="686762A2" w:rsidR="7C3AC5E5" w:rsidRDefault="7C3AC5E5">
            <w:r w:rsidRPr="7C3AC5E5">
              <w:rPr>
                <w:rFonts w:ascii="Calibri" w:eastAsia="Calibri" w:hAnsi="Calibri" w:cs="Calibri"/>
                <w:szCs w:val="24"/>
              </w:rPr>
              <w:t>Regionalny Zarząd Gospodarki Wodnej</w:t>
            </w:r>
          </w:p>
        </w:tc>
      </w:tr>
      <w:tr w:rsidR="7C3AC5E5" w14:paraId="3A3D0AAC"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085C3D78" w14:textId="3B883192" w:rsidR="7C3AC5E5" w:rsidRDefault="7C3AC5E5">
            <w:r w:rsidRPr="7C3AC5E5">
              <w:rPr>
                <w:rFonts w:ascii="Calibri" w:eastAsia="Calibri" w:hAnsi="Calibri" w:cs="Calibri"/>
                <w:b/>
                <w:bCs/>
                <w:szCs w:val="24"/>
              </w:rPr>
              <w:t>SOO</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25332E16" w14:textId="7508AF42" w:rsidR="7C3AC5E5" w:rsidRDefault="7C3AC5E5">
            <w:r w:rsidRPr="7C3AC5E5">
              <w:rPr>
                <w:rFonts w:ascii="Calibri" w:eastAsia="Calibri" w:hAnsi="Calibri" w:cs="Calibri"/>
                <w:szCs w:val="24"/>
              </w:rPr>
              <w:t>Specjalne obszary ochrony siedlisk</w:t>
            </w:r>
          </w:p>
        </w:tc>
      </w:tr>
      <w:tr w:rsidR="7C3AC5E5" w14:paraId="22BE4847"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6785F60" w14:textId="6DC72EA2" w:rsidR="7C3AC5E5" w:rsidRDefault="7C3AC5E5">
            <w:r w:rsidRPr="7C3AC5E5">
              <w:rPr>
                <w:rFonts w:ascii="Calibri" w:eastAsia="Calibri" w:hAnsi="Calibri" w:cs="Calibri"/>
                <w:b/>
                <w:bCs/>
                <w:szCs w:val="24"/>
              </w:rPr>
              <w:t>SSW</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1FE68DE4" w14:textId="79BD72E3" w:rsidR="7C3AC5E5" w:rsidRDefault="7C3AC5E5">
            <w:r w:rsidRPr="7C3AC5E5">
              <w:rPr>
                <w:rFonts w:ascii="Calibri" w:eastAsia="Calibri" w:hAnsi="Calibri" w:cs="Calibri"/>
                <w:szCs w:val="24"/>
              </w:rPr>
              <w:t>Specjalna Strefa Włączenia</w:t>
            </w:r>
          </w:p>
        </w:tc>
      </w:tr>
      <w:tr w:rsidR="7C3AC5E5" w14:paraId="48941AA0"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EAB7F0C" w14:textId="7B3392DF" w:rsidR="7C3AC5E5" w:rsidRDefault="7C3AC5E5">
            <w:r w:rsidRPr="7C3AC5E5">
              <w:rPr>
                <w:rFonts w:ascii="Calibri" w:eastAsia="Calibri" w:hAnsi="Calibri" w:cs="Calibri"/>
                <w:b/>
                <w:bCs/>
                <w:szCs w:val="24"/>
              </w:rPr>
              <w:t>SUERMB</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0C29B6D" w14:textId="318A75B8" w:rsidR="7C3AC5E5" w:rsidRDefault="7C3AC5E5">
            <w:r w:rsidRPr="7C3AC5E5">
              <w:rPr>
                <w:rFonts w:ascii="Calibri" w:eastAsia="Calibri" w:hAnsi="Calibri" w:cs="Calibri"/>
                <w:szCs w:val="24"/>
              </w:rPr>
              <w:t>Strategia Unii Europejskiej dla regionu Morza Bałtyckiego</w:t>
            </w:r>
          </w:p>
        </w:tc>
      </w:tr>
      <w:tr w:rsidR="7C3AC5E5" w14:paraId="0625AFD9"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7093C4C4" w14:textId="3A3AD169" w:rsidR="7C3AC5E5" w:rsidRDefault="7C3AC5E5">
            <w:r w:rsidRPr="7C3AC5E5">
              <w:rPr>
                <w:rFonts w:ascii="Calibri" w:eastAsia="Calibri" w:hAnsi="Calibri" w:cs="Calibri"/>
                <w:b/>
                <w:bCs/>
                <w:szCs w:val="24"/>
              </w:rPr>
              <w:t>SUMP</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16E371D0" w14:textId="14FD90DC" w:rsidR="7C3AC5E5" w:rsidRDefault="7C3AC5E5">
            <w:r w:rsidRPr="7C3AC5E5">
              <w:rPr>
                <w:rFonts w:ascii="Calibri" w:eastAsia="Calibri" w:hAnsi="Calibri" w:cs="Calibri"/>
                <w:szCs w:val="24"/>
              </w:rPr>
              <w:t>Plan Zrównoważonej Mobilności Miejskiej</w:t>
            </w:r>
          </w:p>
        </w:tc>
      </w:tr>
      <w:tr w:rsidR="7C3AC5E5" w14:paraId="108D13BD"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6217036" w14:textId="0150A7BE" w:rsidR="7C3AC5E5" w:rsidRDefault="7C3AC5E5">
            <w:r w:rsidRPr="7C3AC5E5">
              <w:rPr>
                <w:rFonts w:ascii="Calibri" w:eastAsia="Calibri" w:hAnsi="Calibri" w:cs="Calibri"/>
                <w:b/>
                <w:bCs/>
                <w:szCs w:val="24"/>
              </w:rPr>
              <w:t>TEN-T</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3B87CA77" w14:textId="387F1849" w:rsidR="7C3AC5E5" w:rsidRDefault="7C3AC5E5">
            <w:r w:rsidRPr="7C3AC5E5">
              <w:rPr>
                <w:rFonts w:ascii="Calibri" w:eastAsia="Calibri" w:hAnsi="Calibri" w:cs="Calibri"/>
                <w:szCs w:val="24"/>
              </w:rPr>
              <w:t>Transeuropejska Sieć Transportowa (ang. Trans-European Transport Networks)</w:t>
            </w:r>
          </w:p>
        </w:tc>
      </w:tr>
      <w:tr w:rsidR="7C3AC5E5" w14:paraId="66E811E0"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147F9C87" w14:textId="694E130C" w:rsidR="7C3AC5E5" w:rsidRDefault="7C3AC5E5">
            <w:r w:rsidRPr="7C3AC5E5">
              <w:rPr>
                <w:rFonts w:ascii="Calibri" w:eastAsia="Calibri" w:hAnsi="Calibri" w:cs="Calibri"/>
                <w:b/>
                <w:bCs/>
                <w:szCs w:val="24"/>
              </w:rPr>
              <w:t>UNESCO</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64BD2D94" w14:textId="083E66F6" w:rsidR="7C3AC5E5" w:rsidRDefault="7C3AC5E5">
            <w:r w:rsidRPr="7C3AC5E5">
              <w:rPr>
                <w:rFonts w:ascii="Calibri" w:eastAsia="Calibri" w:hAnsi="Calibri" w:cs="Calibri"/>
                <w:szCs w:val="24"/>
              </w:rPr>
              <w:t>Organizacja Narodów Zjednoczonych do spraw Oświaty, Nauki i Kultury (ang. United Nations Educational, Scientific and Cultural Organization)</w:t>
            </w:r>
          </w:p>
        </w:tc>
      </w:tr>
      <w:tr w:rsidR="7C3AC5E5" w14:paraId="0C97C1F6"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200BBD21" w14:textId="71B1C3BB" w:rsidR="7C3AC5E5" w:rsidRDefault="7C3AC5E5">
            <w:r w:rsidRPr="7C3AC5E5">
              <w:rPr>
                <w:rFonts w:ascii="Calibri" w:eastAsia="Calibri" w:hAnsi="Calibri" w:cs="Calibri"/>
                <w:b/>
                <w:bCs/>
                <w:szCs w:val="24"/>
              </w:rPr>
              <w:t>WEZ</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0CC92591" w14:textId="7A34FB08" w:rsidR="7C3AC5E5" w:rsidRDefault="7C3AC5E5">
            <w:r w:rsidRPr="7C3AC5E5">
              <w:rPr>
                <w:rFonts w:ascii="Calibri" w:eastAsia="Calibri" w:hAnsi="Calibri" w:cs="Calibri"/>
                <w:szCs w:val="24"/>
              </w:rPr>
              <w:t>Wojewódzka ewidencja zabytków</w:t>
            </w:r>
          </w:p>
        </w:tc>
      </w:tr>
      <w:tr w:rsidR="7C3AC5E5" w14:paraId="7CD1492D"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018BDB60" w14:textId="338B7845" w:rsidR="7C3AC5E5" w:rsidRDefault="7C3AC5E5">
            <w:r w:rsidRPr="7C3AC5E5">
              <w:rPr>
                <w:rFonts w:ascii="Calibri" w:eastAsia="Calibri" w:hAnsi="Calibri" w:cs="Calibri"/>
                <w:b/>
                <w:bCs/>
                <w:szCs w:val="24"/>
              </w:rPr>
              <w:t>WHO</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44384706" w14:textId="7CA5DD7B" w:rsidR="7C3AC5E5" w:rsidRDefault="7C3AC5E5">
            <w:r w:rsidRPr="7C3AC5E5">
              <w:rPr>
                <w:rFonts w:ascii="Calibri" w:eastAsia="Calibri" w:hAnsi="Calibri" w:cs="Calibri"/>
                <w:szCs w:val="24"/>
              </w:rPr>
              <w:t>Światowa Organizacja Zdrowia (ang. World Health Organization)</w:t>
            </w:r>
          </w:p>
        </w:tc>
      </w:tr>
      <w:tr w:rsidR="7C3AC5E5" w14:paraId="4902D472"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1FF728E" w14:textId="342C98DB" w:rsidR="7C3AC5E5" w:rsidRDefault="7C3AC5E5">
            <w:r w:rsidRPr="7C3AC5E5">
              <w:rPr>
                <w:rFonts w:ascii="Calibri" w:eastAsia="Calibri" w:hAnsi="Calibri" w:cs="Calibri"/>
                <w:b/>
                <w:bCs/>
                <w:szCs w:val="24"/>
              </w:rPr>
              <w:t>WIS</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6275EB8D" w14:textId="268E291A" w:rsidR="7C3AC5E5" w:rsidRDefault="7C3AC5E5">
            <w:r w:rsidRPr="7C3AC5E5">
              <w:rPr>
                <w:rFonts w:ascii="Calibri" w:eastAsia="Calibri" w:hAnsi="Calibri" w:cs="Calibri"/>
                <w:szCs w:val="24"/>
              </w:rPr>
              <w:t>Wojewódzki Inspektor Sanitarny</w:t>
            </w:r>
          </w:p>
        </w:tc>
      </w:tr>
      <w:tr w:rsidR="7C3AC5E5" w14:paraId="6357DCAD"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48858373" w14:textId="5ADF6047" w:rsidR="7C3AC5E5" w:rsidRDefault="7C3AC5E5">
            <w:r w:rsidRPr="7C3AC5E5">
              <w:rPr>
                <w:rFonts w:ascii="Calibri" w:eastAsia="Calibri" w:hAnsi="Calibri" w:cs="Calibri"/>
                <w:b/>
                <w:bCs/>
                <w:szCs w:val="24"/>
              </w:rPr>
              <w:lastRenderedPageBreak/>
              <w:t>WUOZ</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9532524" w14:textId="42685D9A" w:rsidR="7C3AC5E5" w:rsidRDefault="7C3AC5E5">
            <w:r w:rsidRPr="7C3AC5E5">
              <w:rPr>
                <w:rFonts w:ascii="Calibri" w:eastAsia="Calibri" w:hAnsi="Calibri" w:cs="Calibri"/>
                <w:szCs w:val="24"/>
              </w:rPr>
              <w:t>Wojewódzki Urząd Ochrony Zabytków</w:t>
            </w:r>
          </w:p>
        </w:tc>
      </w:tr>
      <w:tr w:rsidR="7C3AC5E5" w14:paraId="6286E291" w14:textId="77777777" w:rsidTr="7C3AC5E5">
        <w:tc>
          <w:tcPr>
            <w:tcW w:w="193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101C344A" w14:textId="33807C79" w:rsidR="7C3AC5E5" w:rsidRDefault="7C3AC5E5">
            <w:r w:rsidRPr="7C3AC5E5">
              <w:rPr>
                <w:rFonts w:ascii="Calibri" w:eastAsia="Calibri" w:hAnsi="Calibri" w:cs="Calibri"/>
                <w:b/>
                <w:bCs/>
                <w:szCs w:val="24"/>
              </w:rPr>
              <w:t>ZIT</w:t>
            </w:r>
          </w:p>
        </w:tc>
        <w:tc>
          <w:tcPr>
            <w:tcW w:w="7125" w:type="dxa"/>
            <w:tcBorders>
              <w:top w:val="single" w:sz="8" w:space="0" w:color="B7DFA8" w:themeColor="accent1" w:themeTint="66"/>
              <w:left w:val="single" w:sz="8" w:space="0" w:color="B7DFA8" w:themeColor="accent1" w:themeTint="66"/>
              <w:bottom w:val="single" w:sz="8" w:space="0" w:color="B7DFA8" w:themeColor="accent1" w:themeTint="66"/>
              <w:right w:val="single" w:sz="8" w:space="0" w:color="B7DFA8" w:themeColor="accent1" w:themeTint="66"/>
            </w:tcBorders>
          </w:tcPr>
          <w:p w14:paraId="5D1F6901" w14:textId="13EA2E86" w:rsidR="7C3AC5E5" w:rsidRDefault="7C3AC5E5">
            <w:r w:rsidRPr="7C3AC5E5">
              <w:rPr>
                <w:rFonts w:ascii="Calibri" w:eastAsia="Calibri" w:hAnsi="Calibri" w:cs="Calibri"/>
                <w:szCs w:val="24"/>
              </w:rPr>
              <w:t>Zintegrowane Inwestycje Terytorialne</w:t>
            </w:r>
          </w:p>
        </w:tc>
      </w:tr>
    </w:tbl>
    <w:p w14:paraId="390927F8" w14:textId="0D125989" w:rsidR="7C3AC5E5" w:rsidRDefault="7C3AC5E5" w:rsidP="7C3AC5E5">
      <w:pPr>
        <w:rPr>
          <w:szCs w:val="24"/>
        </w:rPr>
      </w:pPr>
    </w:p>
    <w:p w14:paraId="1F149F0A" w14:textId="597D3550" w:rsidR="005F6F32" w:rsidRDefault="008C10DB">
      <w:pPr>
        <w:pStyle w:val="Nagwek1"/>
        <w:rPr>
          <w:caps w:val="0"/>
          <w:sz w:val="32"/>
          <w:szCs w:val="24"/>
        </w:rPr>
      </w:pPr>
      <w:bookmarkStart w:id="2" w:name="_Toc104790620"/>
      <w:r w:rsidRPr="0091280D">
        <w:rPr>
          <w:caps w:val="0"/>
          <w:sz w:val="32"/>
          <w:szCs w:val="24"/>
        </w:rPr>
        <w:t>STRESZCZENIE</w:t>
      </w:r>
      <w:bookmarkEnd w:id="2"/>
    </w:p>
    <w:p w14:paraId="5F9EC942" w14:textId="12A3FE30" w:rsidR="00552B4C" w:rsidRPr="001C0BFA" w:rsidRDefault="00552B4C" w:rsidP="002B5007">
      <w:pPr>
        <w:pStyle w:val="paragraph"/>
        <w:spacing w:beforeAutospacing="0" w:after="200" w:afterAutospacing="0" w:line="360" w:lineRule="auto"/>
        <w:textAlignment w:val="baseline"/>
        <w:rPr>
          <w:rFonts w:asciiTheme="minorHAnsi" w:hAnsiTheme="minorHAnsi" w:cs="Segoe UI"/>
        </w:rPr>
      </w:pPr>
      <w:r w:rsidRPr="001C0BFA">
        <w:rPr>
          <w:rFonts w:asciiTheme="minorHAnsi" w:hAnsiTheme="minorHAnsi"/>
        </w:rPr>
        <w:t xml:space="preserve">Projekt programu </w:t>
      </w:r>
      <w:r w:rsidRPr="001C0BFA">
        <w:rPr>
          <w:rFonts w:asciiTheme="minorHAnsi" w:hAnsiTheme="minorHAnsi"/>
          <w:i/>
        </w:rPr>
        <w:t>Fundusze Europejskie dla Pomorza Zachodniego 2021-2027 (</w:t>
      </w:r>
      <w:r w:rsidR="00D4052B">
        <w:rPr>
          <w:rFonts w:asciiTheme="minorHAnsi" w:hAnsiTheme="minorHAnsi"/>
          <w:i/>
        </w:rPr>
        <w:t>FEPZ</w:t>
      </w:r>
      <w:r w:rsidRPr="001C0BFA">
        <w:rPr>
          <w:rFonts w:asciiTheme="minorHAnsi" w:hAnsiTheme="minorHAnsi"/>
          <w:i/>
        </w:rPr>
        <w:t xml:space="preserve"> 2021-2027)</w:t>
      </w:r>
      <w:r w:rsidRPr="001C0BFA">
        <w:rPr>
          <w:rFonts w:asciiTheme="minorHAnsi" w:hAnsiTheme="minorHAnsi"/>
        </w:rPr>
        <w:t xml:space="preserve"> </w:t>
      </w:r>
      <w:r w:rsidRPr="001C0BFA">
        <w:rPr>
          <w:rFonts w:asciiTheme="minorHAnsi" w:hAnsiTheme="minorHAnsi" w:cstheme="minorHAnsi"/>
        </w:rPr>
        <w:t xml:space="preserve">to dokument strategiczny szczebla regionalnego, który </w:t>
      </w:r>
      <w:r w:rsidRPr="001C0BFA">
        <w:rPr>
          <w:rFonts w:asciiTheme="minorHAnsi" w:hAnsiTheme="minorHAnsi"/>
        </w:rPr>
        <w:t xml:space="preserve">służy realizacji wizji i celów rozwojowych regionu, </w:t>
      </w:r>
      <w:r w:rsidRPr="001C0BFA">
        <w:rPr>
          <w:rFonts w:asciiTheme="minorHAnsi" w:hAnsiTheme="minorHAnsi" w:cstheme="minorHAnsi"/>
        </w:rPr>
        <w:t>zawartych Strategii Rozwoju Województwa Zachodniopomorskiego do 2030 i jest jednym z najistotniejszych instrumentów polityki regionalnej.</w:t>
      </w:r>
      <w:r w:rsidRPr="001C0BFA">
        <w:rPr>
          <w:rStyle w:val="normaltextrun"/>
          <w:rFonts w:asciiTheme="minorHAnsi" w:hAnsiTheme="minorHAnsi" w:cs="Calibri"/>
        </w:rPr>
        <w:t xml:space="preserve"> Zakładanym celem interwencji Programu jest wsparcie przedsięwzięć, które na poziomie regionalnej polityki spójności w największym stopniu przyczynią się do realizacji celów określonych w strategii UE Europejski Zielony Ład, której głównym celem jest przekształcenie UE w sprawiedliwe i prosperujące społeczeństwo żyjące w nowoczesnej, </w:t>
      </w:r>
      <w:r w:rsidRPr="001C0BFA">
        <w:rPr>
          <w:rStyle w:val="spellingerror"/>
          <w:rFonts w:asciiTheme="minorHAnsi" w:hAnsiTheme="minorHAnsi" w:cs="Calibri"/>
        </w:rPr>
        <w:t>zasobooszczędnej</w:t>
      </w:r>
      <w:r w:rsidRPr="001C0BFA">
        <w:rPr>
          <w:rStyle w:val="normaltextrun"/>
          <w:rFonts w:asciiTheme="minorHAnsi" w:hAnsiTheme="minorHAnsi" w:cs="Calibri"/>
        </w:rPr>
        <w:t xml:space="preserve"> i konkurencyjnej gospodarce, która w 2050 r. osiągnie zerowy poziom emisji gazów cieplarnianych netto.</w:t>
      </w:r>
      <w:r w:rsidR="00D4052B">
        <w:rPr>
          <w:rStyle w:val="normaltextrun"/>
          <w:rFonts w:asciiTheme="minorHAnsi" w:hAnsiTheme="minorHAnsi" w:cs="Calibri"/>
        </w:rPr>
        <w:t xml:space="preserve"> </w:t>
      </w:r>
    </w:p>
    <w:p w14:paraId="699BC5A9" w14:textId="1E560FFD" w:rsidR="00552B4C" w:rsidRPr="001C0BFA" w:rsidRDefault="00552B4C" w:rsidP="002B5007">
      <w:pPr>
        <w:pStyle w:val="paragraph"/>
        <w:numPr>
          <w:ilvl w:val="0"/>
          <w:numId w:val="45"/>
        </w:numPr>
        <w:spacing w:beforeAutospacing="0" w:after="200" w:afterAutospacing="0" w:line="360" w:lineRule="auto"/>
        <w:textAlignment w:val="baseline"/>
        <w:rPr>
          <w:rFonts w:asciiTheme="minorHAnsi" w:hAnsiTheme="minorHAnsi" w:cs="Calibri"/>
        </w:rPr>
      </w:pPr>
      <w:r w:rsidRPr="001C0BFA">
        <w:rPr>
          <w:rStyle w:val="normaltextrun"/>
          <w:rFonts w:asciiTheme="minorHAnsi" w:hAnsiTheme="minorHAnsi" w:cs="Calibri"/>
        </w:rPr>
        <w:t>Cel 1. Bardziej konkurencyjna i inteligentna Europa dzięki wspieraniu innowacyjnej</w:t>
      </w:r>
      <w:r w:rsidR="00D4052B">
        <w:rPr>
          <w:rStyle w:val="normaltextrun"/>
          <w:rFonts w:asciiTheme="minorHAnsi" w:hAnsiTheme="minorHAnsi" w:cs="Calibri"/>
        </w:rPr>
        <w:t xml:space="preserve"> </w:t>
      </w:r>
      <w:r>
        <w:rPr>
          <w:rStyle w:val="scxw47380320"/>
          <w:rFonts w:asciiTheme="minorHAnsi" w:hAnsiTheme="minorHAnsi" w:cs="Calibri"/>
        </w:rPr>
        <w:t>i</w:t>
      </w:r>
      <w:r>
        <w:rPr>
          <w:rStyle w:val="normaltextrun"/>
          <w:rFonts w:asciiTheme="minorHAnsi" w:hAnsiTheme="minorHAnsi" w:cs="Calibri"/>
        </w:rPr>
        <w:t> </w:t>
      </w:r>
      <w:r w:rsidRPr="001C0BFA">
        <w:rPr>
          <w:rStyle w:val="normaltextrun"/>
          <w:rFonts w:asciiTheme="minorHAnsi" w:hAnsiTheme="minorHAnsi" w:cs="Calibri"/>
        </w:rPr>
        <w:t>inteligentnej transformacji gospodarczej oraz regionalnej łączności cyfrowej;</w:t>
      </w:r>
      <w:r w:rsidRPr="001C0BFA">
        <w:rPr>
          <w:rStyle w:val="eop"/>
          <w:rFonts w:asciiTheme="minorHAnsi" w:hAnsiTheme="minorHAnsi" w:cs="Calibri"/>
        </w:rPr>
        <w:t> </w:t>
      </w:r>
    </w:p>
    <w:p w14:paraId="17FAD8B0" w14:textId="100C029E" w:rsidR="00552B4C" w:rsidRPr="001C0BFA" w:rsidRDefault="00552B4C" w:rsidP="002B5007">
      <w:pPr>
        <w:pStyle w:val="paragraph"/>
        <w:numPr>
          <w:ilvl w:val="0"/>
          <w:numId w:val="45"/>
        </w:numPr>
        <w:spacing w:beforeAutospacing="0" w:after="200" w:afterAutospacing="0" w:line="360" w:lineRule="auto"/>
        <w:textAlignment w:val="baseline"/>
        <w:rPr>
          <w:rFonts w:asciiTheme="minorHAnsi" w:hAnsiTheme="minorHAnsi" w:cs="Calibri"/>
        </w:rPr>
      </w:pPr>
      <w:r w:rsidRPr="001C0BFA">
        <w:rPr>
          <w:rStyle w:val="normaltextrun"/>
          <w:rFonts w:asciiTheme="minorHAnsi" w:hAnsiTheme="minorHAnsi" w:cs="Calibri"/>
        </w:rPr>
        <w:t>Cel 2. Bardziej przyjazna dla środowiska, niskoemisyjna i przechodząca w kierunku gospodarki zeroemisyjnej oraz odporna Europa dzięki promowaniu czystej i sprawiedliwej transformacji energetycznej, zielonych i niebieskich inwestycji, gospodarki o obiegu zamkniętym, łagodzenia zmian klimatu i przystosowania się do nich, zapobiegania ryzyku i zarządzania ryzykiem, oraz zrównoważonej mobilności miejskiej;</w:t>
      </w:r>
      <w:r w:rsidR="00D4052B">
        <w:rPr>
          <w:rStyle w:val="normaltextrun"/>
          <w:rFonts w:asciiTheme="minorHAnsi" w:hAnsiTheme="minorHAnsi" w:cs="Calibri"/>
        </w:rPr>
        <w:t xml:space="preserve"> </w:t>
      </w:r>
    </w:p>
    <w:p w14:paraId="0D5787D2" w14:textId="77777777" w:rsidR="00552B4C" w:rsidRPr="001C0BFA" w:rsidRDefault="00552B4C" w:rsidP="002B5007">
      <w:pPr>
        <w:pStyle w:val="paragraph"/>
        <w:numPr>
          <w:ilvl w:val="0"/>
          <w:numId w:val="45"/>
        </w:numPr>
        <w:spacing w:beforeAutospacing="0" w:after="200" w:afterAutospacing="0" w:line="360" w:lineRule="auto"/>
        <w:textAlignment w:val="baseline"/>
        <w:rPr>
          <w:rFonts w:asciiTheme="minorHAnsi" w:hAnsiTheme="minorHAnsi" w:cs="Calibri"/>
        </w:rPr>
      </w:pPr>
      <w:r w:rsidRPr="001C0BFA">
        <w:rPr>
          <w:rStyle w:val="normaltextrun"/>
          <w:rFonts w:asciiTheme="minorHAnsi" w:hAnsiTheme="minorHAnsi" w:cs="Calibri"/>
        </w:rPr>
        <w:t>Cel 3. Lepiej połączona Europa dzięki zwiększeniu mobilności;</w:t>
      </w:r>
      <w:r w:rsidRPr="001C0BFA">
        <w:rPr>
          <w:rStyle w:val="eop"/>
          <w:rFonts w:asciiTheme="minorHAnsi" w:hAnsiTheme="minorHAnsi" w:cs="Calibri"/>
        </w:rPr>
        <w:t> </w:t>
      </w:r>
    </w:p>
    <w:p w14:paraId="72023962" w14:textId="77777777" w:rsidR="00552B4C" w:rsidRPr="001C0BFA" w:rsidRDefault="00552B4C" w:rsidP="002B5007">
      <w:pPr>
        <w:pStyle w:val="paragraph"/>
        <w:numPr>
          <w:ilvl w:val="0"/>
          <w:numId w:val="45"/>
        </w:numPr>
        <w:spacing w:beforeAutospacing="0" w:after="200" w:afterAutospacing="0" w:line="360" w:lineRule="auto"/>
        <w:textAlignment w:val="baseline"/>
        <w:rPr>
          <w:rFonts w:asciiTheme="minorHAnsi" w:hAnsiTheme="minorHAnsi" w:cs="Calibri"/>
        </w:rPr>
      </w:pPr>
      <w:r w:rsidRPr="001C0BFA">
        <w:rPr>
          <w:rStyle w:val="normaltextrun"/>
          <w:rFonts w:asciiTheme="minorHAnsi" w:hAnsiTheme="minorHAnsi" w:cs="Calibri"/>
        </w:rPr>
        <w:t>Cel 4. Europa o silniejszym wymiarze społecznym, bardziej sprzyjająca włączeniu społecznemu i wdrażająca Europejski filar praw socjalnych;</w:t>
      </w:r>
      <w:r w:rsidRPr="001C0BFA">
        <w:rPr>
          <w:rStyle w:val="eop"/>
          <w:rFonts w:asciiTheme="minorHAnsi" w:hAnsiTheme="minorHAnsi" w:cs="Calibri"/>
        </w:rPr>
        <w:t> </w:t>
      </w:r>
    </w:p>
    <w:p w14:paraId="5A606A59" w14:textId="77777777" w:rsidR="00552B4C" w:rsidRPr="001C0BFA" w:rsidRDefault="00552B4C" w:rsidP="002B5007">
      <w:pPr>
        <w:pStyle w:val="paragraph"/>
        <w:numPr>
          <w:ilvl w:val="0"/>
          <w:numId w:val="45"/>
        </w:numPr>
        <w:spacing w:beforeAutospacing="0" w:after="200" w:afterAutospacing="0" w:line="360" w:lineRule="auto"/>
        <w:textAlignment w:val="baseline"/>
        <w:rPr>
          <w:rFonts w:asciiTheme="minorHAnsi" w:hAnsiTheme="minorHAnsi" w:cs="Calibri"/>
        </w:rPr>
      </w:pPr>
      <w:r w:rsidRPr="001C0BFA">
        <w:rPr>
          <w:rStyle w:val="normaltextrun"/>
          <w:rFonts w:asciiTheme="minorHAnsi" w:hAnsiTheme="minorHAnsi" w:cs="Calibri"/>
        </w:rPr>
        <w:t>Cel 5. Europa bliższa obywatelom dzięki wspieraniu zrównoważonego i zintegrowanego rozwoju wszystkich rodzajów terytoriów oraz inicjatyw lokalnych.</w:t>
      </w:r>
      <w:r w:rsidRPr="001C0BFA">
        <w:rPr>
          <w:rStyle w:val="eop"/>
          <w:rFonts w:asciiTheme="minorHAnsi" w:hAnsiTheme="minorHAnsi" w:cs="Calibri"/>
        </w:rPr>
        <w:t> </w:t>
      </w:r>
    </w:p>
    <w:p w14:paraId="3FDCBB03" w14:textId="77777777" w:rsidR="00552B4C" w:rsidRPr="001C0BFA" w:rsidRDefault="00552B4C" w:rsidP="002B5007">
      <w:pPr>
        <w:pStyle w:val="paragraph"/>
        <w:spacing w:beforeAutospacing="0" w:after="200" w:afterAutospacing="0" w:line="360" w:lineRule="auto"/>
        <w:textAlignment w:val="baseline"/>
        <w:rPr>
          <w:rStyle w:val="eop"/>
          <w:rFonts w:asciiTheme="minorHAnsi" w:hAnsiTheme="minorHAnsi" w:cs="Calibri"/>
        </w:rPr>
      </w:pPr>
      <w:r w:rsidRPr="001C0BFA">
        <w:rPr>
          <w:rStyle w:val="normaltextrun"/>
          <w:rFonts w:asciiTheme="minorHAnsi" w:hAnsiTheme="minorHAnsi" w:cs="Calibri"/>
        </w:rPr>
        <w:lastRenderedPageBreak/>
        <w:t>W ramach realizacji ww. celów przyjęto następującą strukturę Programu, zawierającą niżej wymienione cele szczegółowe:</w:t>
      </w:r>
      <w:r w:rsidRPr="001C0BFA">
        <w:rPr>
          <w:rStyle w:val="eop"/>
          <w:rFonts w:asciiTheme="minorHAnsi" w:hAnsiTheme="minorHAnsi" w:cs="Calibri"/>
        </w:rPr>
        <w:t> </w:t>
      </w:r>
    </w:p>
    <w:p w14:paraId="11FF4466"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b/>
          <w:bCs/>
        </w:rPr>
      </w:pPr>
      <w:r w:rsidRPr="001C0BFA">
        <w:rPr>
          <w:rStyle w:val="normaltextrun"/>
          <w:rFonts w:asciiTheme="minorHAnsi" w:hAnsiTheme="minorHAnsi" w:cs="Calibri"/>
          <w:b/>
          <w:bCs/>
        </w:rPr>
        <w:t>Priorytet 1 Fundusze Europejskie na rzecz przedsiębiorczego Pomorza Zachodniego</w:t>
      </w:r>
    </w:p>
    <w:p w14:paraId="08EFBC86"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(i) Rozwijanie i wzmacnianie zdolności badawczych i innowacyjnych oraz /wykorzystywanie zaawansowanych technologii</w:t>
      </w:r>
    </w:p>
    <w:p w14:paraId="70200E62"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(ii) Czerpanie korzyści z cyfryzacji dla obywateli, przedsiębiorstw, organizacji badawczych i</w:t>
      </w:r>
      <w:r>
        <w:rPr>
          <w:rStyle w:val="normaltextrun"/>
          <w:rFonts w:asciiTheme="minorHAnsi" w:hAnsiTheme="minorHAnsi" w:cs="Calibri"/>
        </w:rPr>
        <w:t> </w:t>
      </w:r>
      <w:r w:rsidRPr="001C0BFA">
        <w:rPr>
          <w:rStyle w:val="normaltextrun"/>
          <w:rFonts w:asciiTheme="minorHAnsi" w:hAnsiTheme="minorHAnsi" w:cs="Calibri"/>
        </w:rPr>
        <w:t>instytucji publicznych</w:t>
      </w:r>
    </w:p>
    <w:p w14:paraId="18D4BE2A"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(iii) Wzmacnianie trwałego wzrostu i konkurencyjności MŚP oraz tworzenie miejsc pracy w</w:t>
      </w:r>
      <w:r>
        <w:rPr>
          <w:rStyle w:val="normaltextrun"/>
          <w:rFonts w:asciiTheme="minorHAnsi" w:hAnsiTheme="minorHAnsi" w:cs="Calibri"/>
        </w:rPr>
        <w:t> </w:t>
      </w:r>
      <w:r w:rsidRPr="001C0BFA">
        <w:rPr>
          <w:rStyle w:val="normaltextrun"/>
          <w:rFonts w:asciiTheme="minorHAnsi" w:hAnsiTheme="minorHAnsi" w:cs="Calibri"/>
        </w:rPr>
        <w:t>MŚP, w tym poprzez inwestycje produkcyjne</w:t>
      </w:r>
    </w:p>
    <w:p w14:paraId="34900EC6"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b/>
          <w:bCs/>
        </w:rPr>
      </w:pPr>
      <w:r w:rsidRPr="001C0BFA">
        <w:rPr>
          <w:rStyle w:val="normaltextrun"/>
          <w:rFonts w:asciiTheme="minorHAnsi" w:hAnsiTheme="minorHAnsi" w:cs="Calibri"/>
          <w:b/>
          <w:bCs/>
        </w:rPr>
        <w:t>Priorytet 2 Fundusze Europejskie na rzecz zielonego Pomorza Zachodniego</w:t>
      </w:r>
    </w:p>
    <w:p w14:paraId="1593A0A4"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(i) Wspieranie efektywności energetycznej i redukcji emisji gazów cieplarnianych</w:t>
      </w:r>
    </w:p>
    <w:p w14:paraId="5B867DD5"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(ii) Wspieranie energii odnawialnej zgodnie z dyrektywą (UE) 2018/2001, w tym określonymi w niej kryteriami zrównoważonego rozwoju</w:t>
      </w:r>
    </w:p>
    <w:p w14:paraId="51962E71"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(iv) Wspieranie przystosowania się do zmian klimatu i zapobiegania ryzyku związanemu z</w:t>
      </w:r>
      <w:r>
        <w:rPr>
          <w:rStyle w:val="normaltextrun"/>
          <w:rFonts w:asciiTheme="minorHAnsi" w:hAnsiTheme="minorHAnsi" w:cs="Calibri"/>
        </w:rPr>
        <w:t> </w:t>
      </w:r>
      <w:r w:rsidRPr="001C0BFA">
        <w:rPr>
          <w:rStyle w:val="normaltextrun"/>
          <w:rFonts w:asciiTheme="minorHAnsi" w:hAnsiTheme="minorHAnsi" w:cs="Calibri"/>
        </w:rPr>
        <w:t>klęskami żywiołowymi i katastrofami, a także odporności, z uwzględnieniem podejścia ekosystemowego</w:t>
      </w:r>
    </w:p>
    <w:p w14:paraId="09808BA2"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(v) Wspieranie dostępu do wody oraz zrównoważonej gospodarki wodnej</w:t>
      </w:r>
    </w:p>
    <w:p w14:paraId="23796C84" w14:textId="523C58AB"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(vi) Wspieranie transformacji w kierunku gospodarki o obiegu zamkniętym</w:t>
      </w:r>
      <w:r w:rsidR="00D4052B">
        <w:rPr>
          <w:rStyle w:val="normaltextrun"/>
          <w:rFonts w:asciiTheme="minorHAnsi" w:hAnsiTheme="minorHAnsi" w:cs="Calibri"/>
        </w:rPr>
        <w:t xml:space="preserve"> </w:t>
      </w:r>
      <w:r w:rsidRPr="001C0BFA">
        <w:rPr>
          <w:rStyle w:val="normaltextrun"/>
          <w:rFonts w:asciiTheme="minorHAnsi" w:hAnsiTheme="minorHAnsi" w:cs="Calibri"/>
        </w:rPr>
        <w:t>i gospodarki zasobooszczędnej</w:t>
      </w:r>
    </w:p>
    <w:p w14:paraId="0444D34E"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(vii) Wzmacnianie ochrony i zachowania przyrody, różnorodności biologicznej oraz zielonej infrastruktury, w tym na obszarach miejskich, oraz ograniczanie wszelkich rodzajów zanieczyszczenia</w:t>
      </w:r>
      <w:r w:rsidRPr="001C0BFA">
        <w:rPr>
          <w:rStyle w:val="normaltextrun"/>
          <w:rFonts w:asciiTheme="minorHAnsi" w:hAnsiTheme="minorHAnsi" w:cs="Calibri"/>
        </w:rPr>
        <w:tab/>
      </w:r>
    </w:p>
    <w:p w14:paraId="5F6B1886"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b/>
          <w:bCs/>
        </w:rPr>
      </w:pPr>
      <w:r w:rsidRPr="001C0BFA">
        <w:rPr>
          <w:rStyle w:val="normaltextrun"/>
          <w:rFonts w:asciiTheme="minorHAnsi" w:hAnsiTheme="minorHAnsi" w:cs="Calibri"/>
          <w:b/>
          <w:bCs/>
        </w:rPr>
        <w:t>Priorytet 3 – Fundusze Europejskie na rzecz mobilnego Pomorza Zachodniego</w:t>
      </w:r>
    </w:p>
    <w:p w14:paraId="2A98A792"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(viii) Wspieranie zrównoważonej multimodalnej mobilności miejskiej jako elementu transformacji w kierunku gospodarki zeroemisyjnej</w:t>
      </w:r>
    </w:p>
    <w:p w14:paraId="3D614C2E"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b/>
          <w:bCs/>
        </w:rPr>
      </w:pPr>
      <w:r w:rsidRPr="001C0BFA">
        <w:rPr>
          <w:rStyle w:val="normaltextrun"/>
          <w:rFonts w:asciiTheme="minorHAnsi" w:hAnsiTheme="minorHAnsi" w:cs="Calibri"/>
          <w:b/>
          <w:bCs/>
        </w:rPr>
        <w:lastRenderedPageBreak/>
        <w:t>Priorytet 4 Fundusze Europejskie na rzecz połączonego Pomorza Zachodniego</w:t>
      </w:r>
    </w:p>
    <w:p w14:paraId="58B446C5"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(ii) Rozwój i udoskonalanie zrównoważonej, odpornej na zmiany klimatu, inteligentnej i</w:t>
      </w:r>
      <w:r>
        <w:rPr>
          <w:rStyle w:val="normaltextrun"/>
          <w:rFonts w:asciiTheme="minorHAnsi" w:hAnsiTheme="minorHAnsi" w:cs="Calibri"/>
        </w:rPr>
        <w:t> </w:t>
      </w:r>
      <w:r w:rsidRPr="001C0BFA">
        <w:rPr>
          <w:rStyle w:val="normaltextrun"/>
          <w:rFonts w:asciiTheme="minorHAnsi" w:hAnsiTheme="minorHAnsi" w:cs="Calibri"/>
        </w:rPr>
        <w:t>intermodalnej mobilności na poziomie krajowym, regionalnym i lokalnym, w tym poprawę dostępu do TEN-T oraz mobilności transgranicznej</w:t>
      </w:r>
      <w:r w:rsidRPr="001C0BFA">
        <w:rPr>
          <w:rStyle w:val="normaltextrun"/>
          <w:rFonts w:asciiTheme="minorHAnsi" w:hAnsiTheme="minorHAnsi" w:cs="Calibri"/>
        </w:rPr>
        <w:tab/>
      </w:r>
    </w:p>
    <w:p w14:paraId="170BC70A"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b/>
          <w:bCs/>
        </w:rPr>
      </w:pPr>
      <w:r w:rsidRPr="001C0BFA">
        <w:rPr>
          <w:rStyle w:val="normaltextrun"/>
          <w:rFonts w:asciiTheme="minorHAnsi" w:hAnsiTheme="minorHAnsi" w:cs="Calibri"/>
          <w:b/>
          <w:bCs/>
        </w:rPr>
        <w:t>Priorytet 5 Fundusze Europejskie na rzecz przyjaznego mieszkankom i mieszkańcom Pomorza Zachodniego</w:t>
      </w:r>
    </w:p>
    <w:p w14:paraId="39DF8B72"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(ii)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w:t>
      </w:r>
    </w:p>
    <w:p w14:paraId="4FF572D3"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(iii) Wspieranie włączenia społeczno-gospodarczego społeczności marginalizowanych, gospodarstw domowych o niskich dochodach oraz grup w niekorzystnej sytuacji, w tym osób o szczególnych potrzebach, dzięki zintegrowanym działaniom obejmującym usługi mieszkaniowe i usługi społeczne.</w:t>
      </w:r>
    </w:p>
    <w:p w14:paraId="1642DD66"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(iv) Wspieranie integracji społeczno-gospodarczej obywateli państw trzecich, w tym migrantów, dzięki zintegrowanym działaniom obejmującym usługi mieszkaniowe i usługi społeczne</w:t>
      </w:r>
    </w:p>
    <w:p w14:paraId="1E34563E"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(v) Zapewnianie równego dostępu do opieki zdrowotnej i wspieranie odporności systemów opieki zdrowotnej, w tym podstawowej opieki zdrowotnej, oraz wspieranie przechodzenia od opieki instytucjonalnej do opieki rodzinnej i środowiskowej</w:t>
      </w:r>
    </w:p>
    <w:p w14:paraId="58DD473D"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(vi) Wzmocnienie roli kultury i turystyki w rozwoju gospodarczym, włączeniu społecznym i</w:t>
      </w:r>
      <w:r>
        <w:rPr>
          <w:rStyle w:val="normaltextrun"/>
          <w:rFonts w:asciiTheme="minorHAnsi" w:hAnsiTheme="minorHAnsi" w:cs="Calibri"/>
        </w:rPr>
        <w:t> </w:t>
      </w:r>
      <w:r w:rsidRPr="001C0BFA">
        <w:rPr>
          <w:rStyle w:val="normaltextrun"/>
          <w:rFonts w:asciiTheme="minorHAnsi" w:hAnsiTheme="minorHAnsi" w:cs="Calibri"/>
        </w:rPr>
        <w:t>innowacjach społecznych</w:t>
      </w:r>
    </w:p>
    <w:p w14:paraId="3C02CA46"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b/>
          <w:bCs/>
        </w:rPr>
      </w:pPr>
      <w:r w:rsidRPr="001C0BFA">
        <w:rPr>
          <w:rStyle w:val="normaltextrun"/>
          <w:rFonts w:asciiTheme="minorHAnsi" w:hAnsiTheme="minorHAnsi" w:cs="Calibri"/>
          <w:b/>
          <w:bCs/>
        </w:rPr>
        <w:t>Priorytet 6 Fundusze Europejskie na rzecz aktywnego Pomorza Zachodniego</w:t>
      </w:r>
    </w:p>
    <w:p w14:paraId="5216B479"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(a) Poprawa dostępu do zatrudnienia i działań aktywizujących dla wszystkich osób poszukujących pracy, w szczególności osób młodych, zwłaszcza poprzez wdrażanie gwarancji dla młodzieży, długotrwale bezrobotnych oraz grup znajdujących się w niekorzystnej sytuacji na rynku pracy, jak również dla osób biernych zawodowo, a także poprzez promowanie samozatrudnienia i ekonomii społecznej</w:t>
      </w:r>
    </w:p>
    <w:p w14:paraId="4C166604"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lastRenderedPageBreak/>
        <w:t>(b) Modernizacja instytucji i służb rynków pracy celem oceny i przewidywania zapotrzebowania na umiejętności oraz zapewnienia terminowej i odpowiednio dopasowanej pomocy i wsparcia na rzecz dostosowania umiejętności i kwalifikacji zawodowych do potrzeb rynku pracy oraz na rzecz przepływów i mobilności na rynku pracy</w:t>
      </w:r>
    </w:p>
    <w:p w14:paraId="12547C0D"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(d) Wspieranie dostosowania pracowników, przedsiębiorstw i przedsiębiorców do zmian, wspieranie aktywnego i zdrowego starzenia się oraz zdrowego i dobrze dostosowanego środowiska pracy, które uwzględnia zagrożenia dla zdrowia</w:t>
      </w:r>
    </w:p>
    <w:p w14:paraId="4E27B4F8"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(f) Wspieranie równego dostępu do 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w:t>
      </w:r>
    </w:p>
    <w:p w14:paraId="64567B6A" w14:textId="7474FC4B"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 xml:space="preserve"> (g) Wspieranie uczenia się przez całe życie, w szczególności elastycznych możliwości podnoszenia i zmiany kwalifikacji dla wszystkich, z uwzględnieniem umiejętności w zakresie przedsiębiorczości i kompetencji cyfrowych, lepsze przewidywanie zmian i zapotrzebowania na nowe umiejętności na podstawie potrzeb rynku pracy, ułatwianie zmian ścieżki kariery zawodowej</w:t>
      </w:r>
      <w:r w:rsidR="00D4052B">
        <w:rPr>
          <w:rStyle w:val="normaltextrun"/>
          <w:rFonts w:asciiTheme="minorHAnsi" w:hAnsiTheme="minorHAnsi" w:cs="Calibri"/>
        </w:rPr>
        <w:t xml:space="preserve"> </w:t>
      </w:r>
      <w:r w:rsidRPr="001C0BFA">
        <w:rPr>
          <w:rStyle w:val="normaltextrun"/>
          <w:rFonts w:asciiTheme="minorHAnsi" w:hAnsiTheme="minorHAnsi" w:cs="Calibri"/>
        </w:rPr>
        <w:t>i wspieranie mobilności zawodowej</w:t>
      </w:r>
    </w:p>
    <w:p w14:paraId="64C96BDF"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(h) Wspieranie aktywnego włączenia społecznego w celu promowania równości szans, niedyskryminacji i aktywnego uczestnictwa, oraz zwiększanie zdolności do zatrudnienia, w</w:t>
      </w:r>
      <w:r>
        <w:rPr>
          <w:rStyle w:val="normaltextrun"/>
          <w:rFonts w:asciiTheme="minorHAnsi" w:hAnsiTheme="minorHAnsi" w:cs="Calibri"/>
        </w:rPr>
        <w:t> </w:t>
      </w:r>
      <w:r w:rsidRPr="001C0BFA">
        <w:rPr>
          <w:rStyle w:val="normaltextrun"/>
          <w:rFonts w:asciiTheme="minorHAnsi" w:hAnsiTheme="minorHAnsi" w:cs="Calibri"/>
        </w:rPr>
        <w:t>szczególności grup w niekorzystnej sytuacji</w:t>
      </w:r>
    </w:p>
    <w:p w14:paraId="1E3C261A"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(i) Wspieranie integracji społeczno-gospodarczej obywateli państw trzecich, w tym migrantów</w:t>
      </w:r>
    </w:p>
    <w:p w14:paraId="048E6FFE" w14:textId="7F6FEE1B"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(k) Zwiększanie równego i szybkiego dostępu do dobrej jakości, trwałych</w:t>
      </w:r>
      <w:r w:rsidR="00D4052B">
        <w:rPr>
          <w:rStyle w:val="normaltextrun"/>
          <w:rFonts w:asciiTheme="minorHAnsi" w:hAnsiTheme="minorHAnsi" w:cs="Calibri"/>
        </w:rPr>
        <w:t xml:space="preserve"> </w:t>
      </w:r>
      <w:r w:rsidRPr="001C0BFA">
        <w:rPr>
          <w:rStyle w:val="normaltextrun"/>
          <w:rFonts w:asciiTheme="minorHAnsi" w:hAnsiTheme="minorHAnsi" w:cs="Calibri"/>
        </w:rPr>
        <w:t>i przystępnych cenowo usług, w tym usług, które promują dostęp do mieszkań oraz opieki skoncentrowanej na osobie, w tym opieki zdrowotnej; modernizacja systemów ochrony socjalnej,</w:t>
      </w:r>
      <w:r w:rsidR="00D4052B">
        <w:rPr>
          <w:rStyle w:val="normaltextrun"/>
          <w:rFonts w:asciiTheme="minorHAnsi" w:hAnsiTheme="minorHAnsi" w:cs="Calibri"/>
        </w:rPr>
        <w:t xml:space="preserve"> </w:t>
      </w:r>
      <w:r w:rsidRPr="001C0BFA">
        <w:rPr>
          <w:rStyle w:val="normaltextrun"/>
          <w:rFonts w:asciiTheme="minorHAnsi" w:hAnsiTheme="minorHAnsi" w:cs="Calibri"/>
        </w:rPr>
        <w:t>w tym promowanie dostępu do ochrony socjalnej, ze szczególnym uwzględnieniem dzieci i grup</w:t>
      </w:r>
      <w:r w:rsidR="00D4052B">
        <w:rPr>
          <w:rStyle w:val="normaltextrun"/>
          <w:rFonts w:asciiTheme="minorHAnsi" w:hAnsiTheme="minorHAnsi" w:cs="Calibri"/>
        </w:rPr>
        <w:t xml:space="preserve"> </w:t>
      </w:r>
      <w:r w:rsidRPr="001C0BFA">
        <w:rPr>
          <w:rStyle w:val="normaltextrun"/>
          <w:rFonts w:asciiTheme="minorHAnsi" w:hAnsiTheme="minorHAnsi" w:cs="Calibri"/>
        </w:rPr>
        <w:t>w</w:t>
      </w:r>
      <w:r>
        <w:rPr>
          <w:rStyle w:val="normaltextrun"/>
          <w:rFonts w:asciiTheme="minorHAnsi" w:hAnsiTheme="minorHAnsi" w:cs="Calibri"/>
        </w:rPr>
        <w:t> </w:t>
      </w:r>
      <w:r w:rsidRPr="001C0BFA">
        <w:rPr>
          <w:rStyle w:val="normaltextrun"/>
          <w:rFonts w:asciiTheme="minorHAnsi" w:hAnsiTheme="minorHAnsi" w:cs="Calibri"/>
        </w:rPr>
        <w:t>niekorzystnej sytuacji; poprawa dostępności, w tym dla osób z niepełnosprawnościami, skuteczności i odporności systemów ochrony zdrowia i usług opieki długoterminowej</w:t>
      </w:r>
    </w:p>
    <w:p w14:paraId="676B0DC1"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lastRenderedPageBreak/>
        <w:t>(l) Wspieranie integracji społecznej osób zagrożonych ubóstwem lub wykluczeniem społecznym, w tym osób najbardziej potrzebujących i dzieci (EFS+)</w:t>
      </w:r>
    </w:p>
    <w:p w14:paraId="10FBA4F2" w14:textId="77777777" w:rsidR="00552B4C" w:rsidRPr="00A52E73" w:rsidRDefault="00552B4C" w:rsidP="002B5007">
      <w:pPr>
        <w:pStyle w:val="paragraph"/>
        <w:spacing w:beforeAutospacing="0" w:after="200" w:afterAutospacing="0" w:line="360" w:lineRule="auto"/>
        <w:textAlignment w:val="baseline"/>
        <w:rPr>
          <w:rStyle w:val="normaltextrun"/>
          <w:rFonts w:asciiTheme="minorHAnsi" w:hAnsiTheme="minorHAnsi" w:cs="Calibri"/>
          <w:b/>
        </w:rPr>
      </w:pPr>
      <w:r w:rsidRPr="00A52E73">
        <w:rPr>
          <w:rStyle w:val="normaltextrun"/>
          <w:rFonts w:asciiTheme="minorHAnsi" w:hAnsiTheme="minorHAnsi" w:cs="Calibri"/>
          <w:b/>
        </w:rPr>
        <w:t>Priorytet 7 – Fundusze Europejskie na rzecz partnerskiego Pomorza Zachodniego</w:t>
      </w:r>
    </w:p>
    <w:p w14:paraId="20F386BF" w14:textId="77777777" w:rsidR="00552B4C" w:rsidRPr="001C0BFA" w:rsidRDefault="00552B4C" w:rsidP="002B5007">
      <w:pPr>
        <w:pStyle w:val="paragraph"/>
        <w:spacing w:beforeAutospacing="0" w:after="200" w:afterAutospacing="0" w:line="360" w:lineRule="auto"/>
        <w:textAlignment w:val="baseline"/>
        <w:rPr>
          <w:rStyle w:val="normaltextrun"/>
          <w:rFonts w:asciiTheme="minorHAnsi" w:hAnsiTheme="minorHAnsi" w:cs="Calibri"/>
        </w:rPr>
      </w:pPr>
      <w:r w:rsidRPr="001C0BFA">
        <w:rPr>
          <w:rStyle w:val="normaltextrun"/>
          <w:rFonts w:asciiTheme="minorHAnsi" w:hAnsiTheme="minorHAnsi" w:cs="Calibri"/>
        </w:rPr>
        <w:t>(i) Wspieranie zintegrowanego i sprzyjającego włączeniu społecznemu rozwoju społecznego, gospodarczego i środowiskowego, kultury, dziedzictwa naturalnego, zrównoważonej turystyki i bezpieczeństwa na obszarach miejskich</w:t>
      </w:r>
    </w:p>
    <w:p w14:paraId="39851505" w14:textId="77777777" w:rsidR="00552B4C" w:rsidRPr="001C0BFA" w:rsidRDefault="00552B4C" w:rsidP="002B5007">
      <w:pPr>
        <w:rPr>
          <w:rStyle w:val="normaltextrun"/>
          <w:rFonts w:ascii="Times New Roman" w:eastAsia="Times New Roman" w:hAnsi="Times New Roman" w:cs="Calibri"/>
          <w:szCs w:val="24"/>
          <w:lang w:eastAsia="pl-PL"/>
        </w:rPr>
      </w:pPr>
      <w:r w:rsidRPr="001C0BFA">
        <w:rPr>
          <w:rStyle w:val="normaltextrun"/>
          <w:rFonts w:eastAsia="Times New Roman" w:cs="Calibri"/>
          <w:szCs w:val="24"/>
          <w:lang w:eastAsia="pl-PL"/>
        </w:rPr>
        <w:t>Dodatkowo w programie przewidziano dwa priorytety pomocy technicznej, które zapewnić mają płynne przejście z okresu 2014-2020 do okresu 2021-2027, przygotowanie do perspektywy finansowej po 2027r. oraz wzmocnienie potencjału instytucjonalnego przez zmniejszenie obciążeń administracyjnych i poprawę jakości świadczonych usług.</w:t>
      </w:r>
    </w:p>
    <w:p w14:paraId="41842D2B" w14:textId="4DF2B49D" w:rsidR="00552B4C" w:rsidRPr="001C0BFA" w:rsidRDefault="00552B4C" w:rsidP="002B5007">
      <w:pPr>
        <w:rPr>
          <w:rFonts w:cstheme="minorHAnsi"/>
          <w:szCs w:val="24"/>
        </w:rPr>
      </w:pPr>
      <w:r w:rsidRPr="001C0BFA">
        <w:rPr>
          <w:rFonts w:cstheme="minorHAnsi"/>
          <w:szCs w:val="24"/>
        </w:rPr>
        <w:t xml:space="preserve">Zgodnie z wymaganiami Ustawy z dnia 3 października 2008r. </w:t>
      </w:r>
      <w:r w:rsidRPr="001C0BFA">
        <w:rPr>
          <w:rFonts w:cstheme="minorHAnsi"/>
          <w:i/>
          <w:iCs/>
          <w:szCs w:val="24"/>
        </w:rPr>
        <w:t>o udostępnianiu informacji o środowisku i jego ochronie, udziale społeczeństwa w ochronie środowiska oraz o ocenach oddziaływania na środowisko</w:t>
      </w:r>
      <w:r w:rsidRPr="001C0BFA">
        <w:rPr>
          <w:rFonts w:cstheme="minorHAnsi"/>
          <w:szCs w:val="24"/>
        </w:rPr>
        <w:t xml:space="preserve">, dyrektyw Parlamentu Europejskiego i Rady nr 2001/42/WE z 27 czerwca 2001r. </w:t>
      </w:r>
      <w:r w:rsidRPr="001C0BFA">
        <w:rPr>
          <w:rFonts w:cstheme="minorHAnsi"/>
          <w:i/>
          <w:iCs/>
          <w:szCs w:val="24"/>
        </w:rPr>
        <w:t>w sprawie oceny wpływu niektórych planów i programów na środowisko</w:t>
      </w:r>
      <w:r w:rsidRPr="001C0BFA">
        <w:rPr>
          <w:rFonts w:cstheme="minorHAnsi"/>
          <w:szCs w:val="24"/>
        </w:rPr>
        <w:t>, oraz nr 2011/92/UE z 13 grudnia 2011r</w:t>
      </w:r>
      <w:r w:rsidRPr="001C0BFA">
        <w:rPr>
          <w:rFonts w:cstheme="minorHAnsi"/>
          <w:i/>
          <w:iCs/>
          <w:szCs w:val="24"/>
        </w:rPr>
        <w:t>. w sprawie oceny skutków wywieranych przez niektóre przedsięwzięcia publiczne i prywatne na środowisko</w:t>
      </w:r>
      <w:r w:rsidRPr="001C0BFA">
        <w:rPr>
          <w:rFonts w:cstheme="minorHAnsi"/>
          <w:szCs w:val="24"/>
        </w:rPr>
        <w:t xml:space="preserve">, projekt </w:t>
      </w:r>
      <w:r w:rsidR="00D4052B">
        <w:rPr>
          <w:rFonts w:cstheme="minorHAnsi"/>
          <w:szCs w:val="24"/>
        </w:rPr>
        <w:t>FEPZ</w:t>
      </w:r>
      <w:r w:rsidRPr="001C0BFA">
        <w:rPr>
          <w:rFonts w:cstheme="minorHAnsi"/>
          <w:szCs w:val="24"/>
        </w:rPr>
        <w:t xml:space="preserve"> 2021-2027 wymaga przeprowadzenia strategicznej oceny oddziaływania na środowisko. </w:t>
      </w:r>
    </w:p>
    <w:p w14:paraId="06C5A7FC" w14:textId="0C12D74F" w:rsidR="00552B4C" w:rsidRPr="001C0BFA" w:rsidRDefault="00552B4C" w:rsidP="002B5007">
      <w:pPr>
        <w:rPr>
          <w:rFonts w:cstheme="minorHAnsi"/>
          <w:szCs w:val="24"/>
        </w:rPr>
      </w:pPr>
      <w:r w:rsidRPr="001C0BFA">
        <w:rPr>
          <w:rFonts w:cstheme="minorHAnsi"/>
          <w:szCs w:val="24"/>
        </w:rPr>
        <w:t xml:space="preserve">Zgodnie z tymi wymaganiami została wykonana Prognoza oddziaływania na środowisko, będąca elementem wspierającym proces decyzyjny dla realizacji inwestycji ingerujących w stan środowiska, a wynikających z programu </w:t>
      </w:r>
      <w:r w:rsidR="00D4052B">
        <w:rPr>
          <w:rFonts w:cstheme="minorHAnsi"/>
          <w:szCs w:val="24"/>
        </w:rPr>
        <w:t>FEPZ</w:t>
      </w:r>
      <w:r w:rsidRPr="001C0BFA">
        <w:rPr>
          <w:rFonts w:cstheme="minorHAnsi"/>
          <w:szCs w:val="24"/>
        </w:rPr>
        <w:t xml:space="preserve"> 2021-2027. </w:t>
      </w:r>
    </w:p>
    <w:p w14:paraId="67CA2E75" w14:textId="77777777" w:rsidR="00552B4C" w:rsidRPr="001C0BFA" w:rsidRDefault="00552B4C" w:rsidP="002B5007">
      <w:pPr>
        <w:rPr>
          <w:rFonts w:cstheme="minorHAnsi"/>
          <w:szCs w:val="24"/>
        </w:rPr>
      </w:pPr>
      <w:r w:rsidRPr="001C0BFA">
        <w:rPr>
          <w:rFonts w:cstheme="minorHAnsi"/>
          <w:szCs w:val="24"/>
        </w:rPr>
        <w:t>Celem Prognozy jest identyfikacja najbardziej prawdopodobnych skutków środowiskowych,</w:t>
      </w:r>
      <w:r w:rsidRPr="001C0BFA">
        <w:rPr>
          <w:szCs w:val="24"/>
          <w:lang w:eastAsia="pl-PL"/>
        </w:rPr>
        <w:t xml:space="preserve"> </w:t>
      </w:r>
      <w:r w:rsidRPr="001C0BFA">
        <w:rPr>
          <w:rFonts w:cstheme="minorHAnsi"/>
          <w:szCs w:val="24"/>
        </w:rPr>
        <w:t>jakie może wywołać realizacja zamierzeń ujętych w analizowanych dokumentach.</w:t>
      </w:r>
    </w:p>
    <w:p w14:paraId="52653C62" w14:textId="77777777" w:rsidR="00552B4C" w:rsidRPr="001C0BFA" w:rsidRDefault="00552B4C" w:rsidP="002B5007">
      <w:pPr>
        <w:rPr>
          <w:rFonts w:cstheme="minorHAnsi"/>
          <w:szCs w:val="24"/>
        </w:rPr>
      </w:pPr>
      <w:r w:rsidRPr="001C0BFA">
        <w:rPr>
          <w:rFonts w:cstheme="minorHAnsi"/>
          <w:szCs w:val="24"/>
        </w:rPr>
        <w:t xml:space="preserve">Dokonano </w:t>
      </w:r>
      <w:r w:rsidRPr="001C0BFA">
        <w:rPr>
          <w:rFonts w:cstheme="minorHAnsi"/>
          <w:b/>
          <w:szCs w:val="24"/>
        </w:rPr>
        <w:t>oceny stanu środowiska</w:t>
      </w:r>
      <w:r w:rsidRPr="001C0BFA">
        <w:rPr>
          <w:rFonts w:cstheme="minorHAnsi"/>
          <w:szCs w:val="24"/>
        </w:rPr>
        <w:t xml:space="preserve"> dla obszaru województwa zachodniopomorskiego oraz analizy możliwości wystąpienia oddziaływań na poszczególne elementy środowiska, w tym oddziaływań skumulowanych i transgranicznych. W Prognozie zaproponowano także rozwiązania mające na celu zapobieganie, ograniczanie lub kompensację przyrodniczą negatywnych oddziaływań na środowisko, mogących być rezultatem realizacji projektowanego dokumentu, w szczególności na cele i przedmiot ochrony obszaru NATURA 2000 oraz na integralność tego obszaru.</w:t>
      </w:r>
    </w:p>
    <w:p w14:paraId="10CA5B70" w14:textId="2BBE2FFE" w:rsidR="00552B4C" w:rsidRPr="001C0BFA" w:rsidRDefault="00D41923" w:rsidP="002B5007">
      <w:pPr>
        <w:rPr>
          <w:rFonts w:cstheme="minorHAnsi"/>
          <w:szCs w:val="24"/>
        </w:rPr>
      </w:pPr>
      <w:r>
        <w:rPr>
          <w:rFonts w:cstheme="minorHAnsi"/>
          <w:b/>
          <w:szCs w:val="24"/>
        </w:rPr>
        <w:lastRenderedPageBreak/>
        <w:t>Przeprowadzona</w:t>
      </w:r>
      <w:r w:rsidRPr="001C0BFA">
        <w:rPr>
          <w:rFonts w:cstheme="minorHAnsi"/>
          <w:b/>
          <w:szCs w:val="24"/>
        </w:rPr>
        <w:t xml:space="preserve"> </w:t>
      </w:r>
      <w:r w:rsidR="00552B4C" w:rsidRPr="001C0BFA">
        <w:rPr>
          <w:rFonts w:cstheme="minorHAnsi"/>
          <w:b/>
          <w:szCs w:val="24"/>
        </w:rPr>
        <w:t>analiza zawartości</w:t>
      </w:r>
      <w:r w:rsidR="00552B4C" w:rsidRPr="001C0BFA">
        <w:rPr>
          <w:rFonts w:cstheme="minorHAnsi"/>
          <w:szCs w:val="24"/>
        </w:rPr>
        <w:t xml:space="preserve"> projektu </w:t>
      </w:r>
      <w:r w:rsidR="00D4052B">
        <w:rPr>
          <w:rFonts w:cstheme="minorHAnsi"/>
          <w:szCs w:val="24"/>
        </w:rPr>
        <w:t>FEPZ</w:t>
      </w:r>
      <w:r w:rsidR="00552B4C" w:rsidRPr="001C0BFA">
        <w:rPr>
          <w:rFonts w:cstheme="minorHAnsi"/>
          <w:szCs w:val="24"/>
        </w:rPr>
        <w:t xml:space="preserve"> 2021-2027 </w:t>
      </w:r>
      <w:r>
        <w:rPr>
          <w:rFonts w:cstheme="minorHAnsi"/>
          <w:szCs w:val="24"/>
        </w:rPr>
        <w:t>z dokumentami strategicznymi i politykami wykazała, że jest on zgodny z przyjętymi w nich celami i zakresem pod względem oddziaływania na środowisko.</w:t>
      </w:r>
      <w:r w:rsidR="00552B4C" w:rsidRPr="001C0BFA">
        <w:rPr>
          <w:rFonts w:cstheme="minorHAnsi"/>
          <w:szCs w:val="24"/>
        </w:rPr>
        <w:t xml:space="preserve"> Analizie poddano dokumenty wyznaczające cele, związane z </w:t>
      </w:r>
      <w:r w:rsidR="00D4052B">
        <w:rPr>
          <w:rFonts w:cstheme="minorHAnsi"/>
          <w:szCs w:val="24"/>
        </w:rPr>
        <w:t>FEPZ</w:t>
      </w:r>
      <w:r w:rsidR="00552B4C" w:rsidRPr="001C0BFA">
        <w:rPr>
          <w:rFonts w:cstheme="minorHAnsi"/>
          <w:szCs w:val="24"/>
        </w:rPr>
        <w:t xml:space="preserve"> 2021-2027</w:t>
      </w:r>
      <w:r w:rsidR="00D4052B">
        <w:rPr>
          <w:rFonts w:cstheme="minorHAnsi"/>
          <w:szCs w:val="24"/>
        </w:rPr>
        <w:t xml:space="preserve"> </w:t>
      </w:r>
      <w:r w:rsidR="00552B4C" w:rsidRPr="001C0BFA">
        <w:rPr>
          <w:rFonts w:cstheme="minorHAnsi"/>
          <w:szCs w:val="24"/>
        </w:rPr>
        <w:t>określone na poziomie międzynarodowym, w tym zwłaszcza Unii Europejskiej, poziomie krajowym i regionalnymi. Projekt Programu wskazuje na powiązanie z dokumentami strategicznymi europejskimi, krajowymi i regionalnymi, w tym w szczególności Strategią na rzecz odpowiedzialnego rozwoju do roku 2020 (z perspektywą do 2030r.), Krajową strategią rozwoju regionalnego 2030</w:t>
      </w:r>
      <w:r>
        <w:rPr>
          <w:rFonts w:cstheme="minorHAnsi"/>
          <w:szCs w:val="24"/>
        </w:rPr>
        <w:t>,</w:t>
      </w:r>
      <w:r w:rsidR="00552B4C" w:rsidRPr="001C0BFA">
        <w:rPr>
          <w:rFonts w:cstheme="minorHAnsi"/>
          <w:szCs w:val="24"/>
        </w:rPr>
        <w:t xml:space="preserve"> Strategią Rozwoju Województwa Zachodniopomorskiego </w:t>
      </w:r>
      <w:r w:rsidR="00552B4C" w:rsidRPr="001C0BFA">
        <w:rPr>
          <w:szCs w:val="24"/>
        </w:rPr>
        <w:t>do roku 2030.</w:t>
      </w:r>
    </w:p>
    <w:p w14:paraId="3E229761" w14:textId="2BB6DD1A" w:rsidR="00552B4C" w:rsidRPr="001C0BFA" w:rsidRDefault="00552B4C" w:rsidP="002B5007">
      <w:pPr>
        <w:rPr>
          <w:rFonts w:cstheme="minorHAnsi"/>
          <w:szCs w:val="24"/>
        </w:rPr>
      </w:pPr>
      <w:r w:rsidRPr="001C0BFA">
        <w:rPr>
          <w:rFonts w:cstheme="minorHAnsi"/>
          <w:szCs w:val="24"/>
        </w:rPr>
        <w:t xml:space="preserve">Przeprowadzona analiza wskazuje m.in., że zapisy projektu </w:t>
      </w:r>
      <w:r w:rsidR="00D4052B">
        <w:rPr>
          <w:rFonts w:cstheme="minorHAnsi"/>
          <w:szCs w:val="24"/>
        </w:rPr>
        <w:t>FEPZ</w:t>
      </w:r>
      <w:r w:rsidRPr="001C0BFA">
        <w:rPr>
          <w:rFonts w:cstheme="minorHAnsi"/>
          <w:szCs w:val="24"/>
        </w:rPr>
        <w:t xml:space="preserve"> 2021-2027 nawiązują do celów analizowanych dokumentów zarówno w zakresie przedsiębiorczości, życia i zdrowia społeczeństwa, ograniczenia emisji gazów cieplarnianych, jak też i w zakresie ograniczenia emisji zanieczyszczeń do środowiska (w tym powietrza) i poprawy jego jakości. Nie zidentyfikowano w </w:t>
      </w:r>
      <w:r w:rsidR="00D4052B">
        <w:rPr>
          <w:rFonts w:cstheme="minorHAnsi"/>
          <w:szCs w:val="24"/>
        </w:rPr>
        <w:t>FEPZ</w:t>
      </w:r>
      <w:r w:rsidRPr="001C0BFA">
        <w:rPr>
          <w:rFonts w:cstheme="minorHAnsi"/>
          <w:szCs w:val="24"/>
        </w:rPr>
        <w:t xml:space="preserve"> 2021 – 2027 obszarów sprzecznych z celami ochrony środowiska analizowanych dokumentów strategicznych, a realizacja szeregu przedsięwzięć objętych Programem, mogących znacząco oddziaływać na środowisko, wymagać będzie analiz szczegółowych w ramach procedury ocen oddziaływania na środowisko.</w:t>
      </w:r>
    </w:p>
    <w:p w14:paraId="501626D9" w14:textId="77777777" w:rsidR="00552B4C" w:rsidRPr="001C0BFA" w:rsidRDefault="00552B4C" w:rsidP="002B5007">
      <w:pPr>
        <w:rPr>
          <w:rFonts w:cstheme="minorHAnsi"/>
          <w:szCs w:val="24"/>
        </w:rPr>
      </w:pPr>
      <w:r w:rsidRPr="001C0BFA">
        <w:rPr>
          <w:rFonts w:cstheme="minorHAnsi"/>
          <w:szCs w:val="24"/>
        </w:rPr>
        <w:t xml:space="preserve">Dokonano </w:t>
      </w:r>
      <w:r w:rsidRPr="001C0BFA">
        <w:rPr>
          <w:rFonts w:cstheme="minorHAnsi"/>
          <w:b/>
          <w:bCs/>
          <w:szCs w:val="24"/>
        </w:rPr>
        <w:t>oceny stanu bieżącego</w:t>
      </w:r>
      <w:r w:rsidRPr="001C0BFA">
        <w:rPr>
          <w:rFonts w:cstheme="minorHAnsi"/>
          <w:szCs w:val="24"/>
        </w:rPr>
        <w:t xml:space="preserve"> na obszarze województwa zachodniopomorskiego, z</w:t>
      </w:r>
      <w:r>
        <w:rPr>
          <w:rFonts w:cstheme="minorHAnsi"/>
          <w:szCs w:val="24"/>
        </w:rPr>
        <w:t> </w:t>
      </w:r>
      <w:r w:rsidRPr="001C0BFA">
        <w:rPr>
          <w:rFonts w:cstheme="minorHAnsi"/>
          <w:szCs w:val="24"/>
        </w:rPr>
        <w:t xml:space="preserve">uwzględnieniem różnorodności biologicznej, obszarów chronionych, w tym obszarów Natura 2000, cennych siedlisk przyrodniczych i korytarzy ekologicznych, jakości i zasobów wód, powietrza, klimatu, powierzchni ziemi, gospodarki odpadami oraz wodno-ściekowej, krajobrazu, zasobów naturalnych, a także zdrowia i jakości życia ludzi oraz zabytków i dóbr materialnych. </w:t>
      </w:r>
    </w:p>
    <w:p w14:paraId="7CDD3F06" w14:textId="7B95144C" w:rsidR="00552B4C" w:rsidRPr="001C0BFA" w:rsidRDefault="00552B4C" w:rsidP="002B5007">
      <w:pPr>
        <w:rPr>
          <w:szCs w:val="24"/>
        </w:rPr>
      </w:pPr>
      <w:r w:rsidRPr="001C0BFA">
        <w:rPr>
          <w:szCs w:val="24"/>
        </w:rPr>
        <w:t>Z</w:t>
      </w:r>
      <w:r w:rsidR="00D4052B">
        <w:rPr>
          <w:szCs w:val="24"/>
        </w:rPr>
        <w:t xml:space="preserve"> </w:t>
      </w:r>
      <w:r w:rsidRPr="001C0BFA">
        <w:rPr>
          <w:szCs w:val="24"/>
        </w:rPr>
        <w:t xml:space="preserve">analizy wynika, iż województwo zachodniopomorskie charakteryzuje się wysokim bogactwem walorów przyrodniczych i krajobrazowych, co wynika z położenia geograficznego regionu, zasobów biologicznych, hydrologicznych, a także rzeźby terenu. Lesistość województwa wynosi </w:t>
      </w:r>
      <w:r>
        <w:rPr>
          <w:szCs w:val="24"/>
        </w:rPr>
        <w:t xml:space="preserve">ponad </w:t>
      </w:r>
      <w:r w:rsidRPr="001C0BFA">
        <w:rPr>
          <w:szCs w:val="24"/>
        </w:rPr>
        <w:t>35%. Lasy stanowią bogactwo zarówno pod względem przyrodniczym jak również ekonomicznym. Odgrywają niezwykle istotną rolę w</w:t>
      </w:r>
      <w:r>
        <w:rPr>
          <w:szCs w:val="24"/>
        </w:rPr>
        <w:t> </w:t>
      </w:r>
      <w:r w:rsidRPr="001C0BFA">
        <w:rPr>
          <w:szCs w:val="24"/>
        </w:rPr>
        <w:t xml:space="preserve">kształtowaniu klimatu, stosunków wodnych, warunków glebowych oraz zachowania oraz są jednym z ważniejszych składników krajobrazu ekologicznego. Największą lesistością </w:t>
      </w:r>
      <w:r w:rsidRPr="001C0BFA">
        <w:rPr>
          <w:szCs w:val="24"/>
        </w:rPr>
        <w:lastRenderedPageBreak/>
        <w:t>cechują się wschodnie oraz południowe części województwa, w których zlokalizowane są największe kompleksy leśne: Różnorodność krajobrazów oraz ekosystemów występujących na Pomorzu Zachodnim wpływa na znaczne zróżnicowanie gatunkowe roślin, zwierząt oraz siedlisk przyrodniczych. Charakterystycznym elementem krajobrazu Pomorza Zachodniego są długie i szerokie piaszczyste plaże, wydmy oraz jeziora przybrzeżne a także krajobraz młodoglacjalnych pojezierzy z jeziorami rynnowymi, morenowymi, oczkami polodowcowymi, torfowiskami i mokradłami. Ponadto w krajobrazie regionu istotną rolę odgrywają rzeki - przede wszystkim Odra i jej rozległe ujście, a także rzeki przymorskie i w rejonie pojezierzy. Wody powierzchniowe wraz z wewnętrznymi wodami morskimi zajmują łącznie ponad 5% powierzchni obszaru województwa.</w:t>
      </w:r>
    </w:p>
    <w:p w14:paraId="4EC7D479" w14:textId="77777777" w:rsidR="00552B4C" w:rsidRPr="001C0BFA" w:rsidRDefault="00552B4C" w:rsidP="002B5007">
      <w:pPr>
        <w:rPr>
          <w:szCs w:val="24"/>
        </w:rPr>
      </w:pPr>
      <w:r w:rsidRPr="001C0BFA">
        <w:rPr>
          <w:szCs w:val="24"/>
        </w:rPr>
        <w:t>Zgodnie z zapisami Programu Ochrony Środowiska województwa zachodniopomorskiego 2030 zidentyfikowano następujące zagrożenia dla ekosystemów:</w:t>
      </w:r>
    </w:p>
    <w:p w14:paraId="632EF335" w14:textId="77777777" w:rsidR="00552B4C" w:rsidRPr="001C0BFA" w:rsidRDefault="00552B4C" w:rsidP="002B5007">
      <w:pPr>
        <w:pStyle w:val="Akapitzlist"/>
        <w:numPr>
          <w:ilvl w:val="0"/>
          <w:numId w:val="7"/>
        </w:numPr>
        <w:rPr>
          <w:szCs w:val="24"/>
        </w:rPr>
      </w:pPr>
      <w:r w:rsidRPr="001C0BFA">
        <w:rPr>
          <w:szCs w:val="24"/>
        </w:rPr>
        <w:t>rosnąca presja na zasoby przyrodnicze, leśne i krajobrazowe wynikająca z presji urbanistycznej - postępujące rozlewanie się zabudowy poza tereny zurbanizowane oraz przekształcanie funkcji terenów wiejskich wiąże się z zagrożeniami dla ekosystemów siedlisk półnaturalnych, a na terenach podmokłych stanowi zagrożenie dla cennych siedlisk zależnych od wód;</w:t>
      </w:r>
    </w:p>
    <w:p w14:paraId="1B351C83" w14:textId="14FAEEC7" w:rsidR="00552B4C" w:rsidRPr="001C0BFA" w:rsidRDefault="00552B4C" w:rsidP="002B5007">
      <w:pPr>
        <w:pStyle w:val="Akapitzlist"/>
        <w:numPr>
          <w:ilvl w:val="0"/>
          <w:numId w:val="7"/>
        </w:numPr>
        <w:rPr>
          <w:szCs w:val="24"/>
        </w:rPr>
      </w:pPr>
      <w:r w:rsidRPr="001C0BFA">
        <w:rPr>
          <w:szCs w:val="24"/>
        </w:rPr>
        <w:t>presja turystyczna -</w:t>
      </w:r>
      <w:r w:rsidR="00D4052B">
        <w:rPr>
          <w:szCs w:val="24"/>
        </w:rPr>
        <w:t xml:space="preserve"> </w:t>
      </w:r>
      <w:r w:rsidRPr="001C0BFA">
        <w:rPr>
          <w:szCs w:val="24"/>
        </w:rPr>
        <w:t>brak ogólnodostępnej infrastruktury pozwalającej na wykorzystanie potencjału turystycznego bez uszczerbku dla cennych elementów środowiska przyrodniczego; niedostosowanie istniejącego systemu odbioru ścieków i odpadów w</w:t>
      </w:r>
      <w:r>
        <w:rPr>
          <w:szCs w:val="24"/>
        </w:rPr>
        <w:t> </w:t>
      </w:r>
      <w:r w:rsidRPr="001C0BFA">
        <w:rPr>
          <w:szCs w:val="24"/>
        </w:rPr>
        <w:t>okresie wzmożonego ruchu turystycznego;</w:t>
      </w:r>
    </w:p>
    <w:p w14:paraId="5F93826A" w14:textId="77777777" w:rsidR="00552B4C" w:rsidRPr="001C0BFA" w:rsidRDefault="00552B4C" w:rsidP="002B5007">
      <w:pPr>
        <w:pStyle w:val="Akapitzlist"/>
        <w:numPr>
          <w:ilvl w:val="0"/>
          <w:numId w:val="7"/>
        </w:numPr>
        <w:rPr>
          <w:szCs w:val="24"/>
        </w:rPr>
      </w:pPr>
      <w:r w:rsidRPr="001C0BFA">
        <w:rPr>
          <w:szCs w:val="24"/>
        </w:rPr>
        <w:t>prowadzenie gospodarki rolnej niezgodnie z zasadami Kodeksu Dobrych Praktyk w</w:t>
      </w:r>
      <w:r>
        <w:rPr>
          <w:szCs w:val="24"/>
        </w:rPr>
        <w:t> </w:t>
      </w:r>
      <w:r w:rsidRPr="001C0BFA">
        <w:rPr>
          <w:szCs w:val="24"/>
        </w:rPr>
        <w:t>Rolnictwie oraz zmiana sposobu użytkowania gruntów, zaniechanie tradycyjnego użytkowania rolniczego, wprowadzanie wielkopowierzchniowych upraw monokulturowych lub odłogowanie gruntów rolnych (sukcesja wtórna) - może przyczyniać do spadku różnorodności biologicznej ekosystemów i stopniowej degradacji siedlisk charakterystycznych dla krajobrazów wiejskich;</w:t>
      </w:r>
    </w:p>
    <w:p w14:paraId="38FEF885" w14:textId="77777777" w:rsidR="00552B4C" w:rsidRPr="001C0BFA" w:rsidRDefault="00552B4C" w:rsidP="002B5007">
      <w:pPr>
        <w:pStyle w:val="Akapitzlist"/>
        <w:numPr>
          <w:ilvl w:val="0"/>
          <w:numId w:val="7"/>
        </w:numPr>
        <w:rPr>
          <w:szCs w:val="24"/>
        </w:rPr>
      </w:pPr>
      <w:r w:rsidRPr="001C0BFA">
        <w:rPr>
          <w:szCs w:val="24"/>
        </w:rPr>
        <w:t>działania naruszające naturalne warunki hydrologiczne, związane z melioracjami oraz inwestycjami z zakresu ochrony przeciwpowodziowej - zagrożenie w szczególności dla ekosystemów terenów podmokłych (bagna, torfowiska, starorzecza) prowadząc do ich stopniowego osuszania;</w:t>
      </w:r>
    </w:p>
    <w:p w14:paraId="2890E241" w14:textId="77777777" w:rsidR="00552B4C" w:rsidRPr="001C0BFA" w:rsidRDefault="00552B4C" w:rsidP="002B5007">
      <w:pPr>
        <w:pStyle w:val="Akapitzlist"/>
        <w:numPr>
          <w:ilvl w:val="0"/>
          <w:numId w:val="7"/>
        </w:numPr>
        <w:rPr>
          <w:szCs w:val="24"/>
        </w:rPr>
      </w:pPr>
      <w:r w:rsidRPr="001C0BFA">
        <w:rPr>
          <w:szCs w:val="24"/>
        </w:rPr>
        <w:lastRenderedPageBreak/>
        <w:t>zjawiska naturalne związane ze zmianami klimatu – ekstremalne temperatury, susze, bezśnieżne zimy;</w:t>
      </w:r>
    </w:p>
    <w:p w14:paraId="5944AC95" w14:textId="77777777" w:rsidR="00552B4C" w:rsidRPr="001C0BFA" w:rsidRDefault="00552B4C" w:rsidP="002B5007">
      <w:pPr>
        <w:pStyle w:val="Akapitzlist"/>
        <w:numPr>
          <w:ilvl w:val="0"/>
          <w:numId w:val="7"/>
        </w:numPr>
        <w:rPr>
          <w:szCs w:val="24"/>
        </w:rPr>
      </w:pPr>
      <w:r w:rsidRPr="001C0BFA">
        <w:rPr>
          <w:szCs w:val="24"/>
        </w:rPr>
        <w:t>postępująca ekspansja gatunków obcych, w tym gatunków inwazyjnych, zagrażających rodzimym gatunkom i siedliskom przyrodniczym.</w:t>
      </w:r>
    </w:p>
    <w:p w14:paraId="3A9DA938" w14:textId="77777777" w:rsidR="00552B4C" w:rsidRPr="001C0BFA" w:rsidRDefault="00552B4C" w:rsidP="002B5007">
      <w:pPr>
        <w:pStyle w:val="Akapitzlist"/>
        <w:ind w:left="0"/>
        <w:rPr>
          <w:szCs w:val="24"/>
        </w:rPr>
      </w:pPr>
      <w:r w:rsidRPr="001C0BFA">
        <w:rPr>
          <w:szCs w:val="24"/>
        </w:rPr>
        <w:t xml:space="preserve">Ponadto zagrożenia dla gatunków i siedlisk przyrodniczych w regionie, zidentyfikowane zostały także w dokumentach planistycznych sporządzanych dla poszczególnych form ochrony przyrody (plany i projekty planów ochrony oraz zadań ochronnych dla parków narodowych, plany zadań ochronnych/plany ochrony i ich projekty dla obszarów Natura 2000, plany ochrony dla parków krajobrazowych). Wskazano także potrzebę kontynuowania działań edukacyjnych w odniesieniu do przedmiotów ochrony objętych ochroną prawną wraz z zaangażowaniem mieszkańców. Dotyczy to kilku aspektów – świadomości wartości przyrodniczych znajdujących się w najbliższej okolicy i regionie oraz obowiązujących zakazów oraz ograniczeń. </w:t>
      </w:r>
    </w:p>
    <w:p w14:paraId="1B62F5B0" w14:textId="3A43DB05" w:rsidR="00552B4C" w:rsidRPr="001C0BFA" w:rsidRDefault="00552B4C" w:rsidP="002B5007">
      <w:pPr>
        <w:rPr>
          <w:szCs w:val="24"/>
        </w:rPr>
      </w:pPr>
      <w:r w:rsidRPr="001C0BFA">
        <w:rPr>
          <w:szCs w:val="24"/>
        </w:rPr>
        <w:t>W granicach województwa występują 2 parki narodowe: Woliński Park Narodowy i</w:t>
      </w:r>
      <w:r>
        <w:rPr>
          <w:szCs w:val="24"/>
        </w:rPr>
        <w:t> </w:t>
      </w:r>
      <w:r w:rsidRPr="001C0BFA">
        <w:rPr>
          <w:szCs w:val="24"/>
        </w:rPr>
        <w:t xml:space="preserve">Drawieński Park Narodowy - forma ochrony przyrody o najwyższej randze ochronnej. Pokrywają one </w:t>
      </w:r>
      <w:r>
        <w:rPr>
          <w:szCs w:val="24"/>
        </w:rPr>
        <w:t xml:space="preserve">ponad </w:t>
      </w:r>
      <w:r w:rsidRPr="001C0BFA">
        <w:rPr>
          <w:szCs w:val="24"/>
        </w:rPr>
        <w:t>0,</w:t>
      </w:r>
      <w:r w:rsidR="004110A4">
        <w:rPr>
          <w:szCs w:val="24"/>
        </w:rPr>
        <w:t>6</w:t>
      </w:r>
      <w:r w:rsidRPr="001C0BFA">
        <w:rPr>
          <w:szCs w:val="24"/>
        </w:rPr>
        <w:t>% powierzchni województwa</w:t>
      </w:r>
      <w:r>
        <w:rPr>
          <w:szCs w:val="24"/>
        </w:rPr>
        <w:t>.</w:t>
      </w:r>
      <w:r w:rsidR="006E38B9">
        <w:rPr>
          <w:szCs w:val="24"/>
        </w:rPr>
        <w:t xml:space="preserve"> </w:t>
      </w:r>
      <w:r w:rsidRPr="001C0BFA">
        <w:rPr>
          <w:szCs w:val="24"/>
        </w:rPr>
        <w:t>Na obszarze województwa zachodniopomorskiego obecnie utworzono 86 obszarów Natura 2000</w:t>
      </w:r>
      <w:r>
        <w:rPr>
          <w:szCs w:val="24"/>
        </w:rPr>
        <w:t>.</w:t>
      </w:r>
    </w:p>
    <w:p w14:paraId="3E782B6B" w14:textId="358448E9" w:rsidR="00552B4C" w:rsidRPr="001C0BFA" w:rsidRDefault="00552B4C" w:rsidP="002B5007">
      <w:pPr>
        <w:rPr>
          <w:szCs w:val="24"/>
        </w:rPr>
      </w:pPr>
      <w:r w:rsidRPr="001C0BFA">
        <w:rPr>
          <w:szCs w:val="24"/>
        </w:rPr>
        <w:t>Na obszarze województwa zachodniopomorskiego zlokalizowane są liczne obszar</w:t>
      </w:r>
      <w:r w:rsidR="004110A4">
        <w:rPr>
          <w:szCs w:val="24"/>
        </w:rPr>
        <w:t>y</w:t>
      </w:r>
      <w:r w:rsidRPr="001C0BFA">
        <w:rPr>
          <w:szCs w:val="24"/>
        </w:rPr>
        <w:t xml:space="preserve"> prawnie chronion</w:t>
      </w:r>
      <w:r w:rsidR="004110A4">
        <w:rPr>
          <w:szCs w:val="24"/>
        </w:rPr>
        <w:t>e</w:t>
      </w:r>
      <w:r w:rsidRPr="001C0BFA">
        <w:rPr>
          <w:szCs w:val="24"/>
        </w:rPr>
        <w:t>: 7 parków krajobrazowych,</w:t>
      </w:r>
      <w:r w:rsidR="006E38B9">
        <w:rPr>
          <w:szCs w:val="24"/>
        </w:rPr>
        <w:t xml:space="preserve"> </w:t>
      </w:r>
      <w:r w:rsidRPr="001C0BFA">
        <w:rPr>
          <w:szCs w:val="24"/>
        </w:rPr>
        <w:t xml:space="preserve">125 rezerwatów przyrody, 43 zespoły przyrodniczo-krajobrazowe, 22 obszary chronionego krajobrazu, 624 </w:t>
      </w:r>
      <w:r w:rsidR="004110A4">
        <w:rPr>
          <w:szCs w:val="24"/>
        </w:rPr>
        <w:t>u</w:t>
      </w:r>
      <w:r w:rsidRPr="001C0BFA">
        <w:rPr>
          <w:szCs w:val="24"/>
        </w:rPr>
        <w:t>żytki ekologiczne, 2 383 pomniki przyrody, 9 stanowisk dokumentacyjnych</w:t>
      </w:r>
      <w:r>
        <w:rPr>
          <w:szCs w:val="24"/>
        </w:rPr>
        <w:t>.</w:t>
      </w:r>
      <w:r w:rsidRPr="001C0BFA">
        <w:rPr>
          <w:szCs w:val="24"/>
        </w:rPr>
        <w:t xml:space="preserve"> </w:t>
      </w:r>
    </w:p>
    <w:p w14:paraId="2326707B" w14:textId="67438BC5" w:rsidR="00552B4C" w:rsidRPr="001C0BFA" w:rsidRDefault="00552B4C" w:rsidP="002B5007">
      <w:pPr>
        <w:rPr>
          <w:szCs w:val="24"/>
        </w:rPr>
      </w:pPr>
      <w:r w:rsidRPr="001C0BFA">
        <w:rPr>
          <w:szCs w:val="24"/>
        </w:rPr>
        <w:t>Według stanu na koniec 2021 r. województwo zachodniopomorskie zamieszk</w:t>
      </w:r>
      <w:r w:rsidR="004110A4">
        <w:rPr>
          <w:szCs w:val="24"/>
        </w:rPr>
        <w:t>iwało</w:t>
      </w:r>
      <w:r w:rsidRPr="001C0BFA">
        <w:rPr>
          <w:szCs w:val="24"/>
        </w:rPr>
        <w:t xml:space="preserve"> 1 682 003 mieszkańców. Od wielu lat odnotowuje się ujemny wskaźnik przyrostu naturalnego. Problem wyludniania się województwa potęguje ujemne saldo migracji wewnętrznych</w:t>
      </w:r>
      <w:r>
        <w:rPr>
          <w:szCs w:val="24"/>
        </w:rPr>
        <w:t>.</w:t>
      </w:r>
      <w:r w:rsidRPr="001C0BFA">
        <w:rPr>
          <w:szCs w:val="24"/>
        </w:rPr>
        <w:t xml:space="preserve"> Migracje zagraniczne utrzymują się na poziomie dodatnim</w:t>
      </w:r>
      <w:r w:rsidR="00CC4BEF">
        <w:rPr>
          <w:szCs w:val="24"/>
        </w:rPr>
        <w:t>, a w ostatnim okresie nasilają się w związku ze zmianami w sytuacji geopolitycznej Europy</w:t>
      </w:r>
      <w:r w:rsidRPr="001C0BFA">
        <w:rPr>
          <w:szCs w:val="24"/>
        </w:rPr>
        <w:t>. Z</w:t>
      </w:r>
      <w:r>
        <w:rPr>
          <w:szCs w:val="24"/>
        </w:rPr>
        <w:t> </w:t>
      </w:r>
      <w:r w:rsidRPr="001C0BFA">
        <w:rPr>
          <w:szCs w:val="24"/>
        </w:rPr>
        <w:t>prognoz demograficznych wynika, że tempo wyludniania się regionu będzie wzrastać, tym samym w perspektywie najbliższych 30 lat liczba mieszkańców województwa zmaleje o</w:t>
      </w:r>
      <w:r>
        <w:rPr>
          <w:szCs w:val="24"/>
        </w:rPr>
        <w:t> </w:t>
      </w:r>
      <w:r w:rsidRPr="001C0BFA">
        <w:rPr>
          <w:szCs w:val="24"/>
        </w:rPr>
        <w:t xml:space="preserve">ponad 13,5%. </w:t>
      </w:r>
      <w:r w:rsidR="00CC4BEF">
        <w:rPr>
          <w:szCs w:val="24"/>
        </w:rPr>
        <w:t xml:space="preserve">Trend ten może zostać zahamowany w związku z napływem ludności z Ukrainy. </w:t>
      </w:r>
    </w:p>
    <w:p w14:paraId="14B5D289" w14:textId="77777777" w:rsidR="00552B4C" w:rsidRPr="001C0BFA" w:rsidRDefault="00552B4C" w:rsidP="002B5007">
      <w:pPr>
        <w:rPr>
          <w:szCs w:val="24"/>
        </w:rPr>
      </w:pPr>
      <w:r w:rsidRPr="001C0BFA">
        <w:rPr>
          <w:szCs w:val="24"/>
        </w:rPr>
        <w:t xml:space="preserve">W województwie zachodniopomorskim infrastruktura komunalna w obszarze gospodarki wodno-ściekowej z roku na rok ulega sukcesywnej poprawie. Województwo zachodniopomorskie charakteryzuje się wysokim wskaźnikiem zwodociągowania w skali Polski. W 2020 roku wskaźnik ten dla województwa wynosił </w:t>
      </w:r>
      <w:r>
        <w:rPr>
          <w:szCs w:val="24"/>
        </w:rPr>
        <w:t xml:space="preserve">ponad </w:t>
      </w:r>
      <w:r w:rsidRPr="001C0BFA">
        <w:rPr>
          <w:szCs w:val="24"/>
        </w:rPr>
        <w:t xml:space="preserve">96%, z kolei dla Polski </w:t>
      </w:r>
      <w:r>
        <w:rPr>
          <w:szCs w:val="24"/>
        </w:rPr>
        <w:t xml:space="preserve">ponad </w:t>
      </w:r>
      <w:r w:rsidRPr="001C0BFA">
        <w:rPr>
          <w:szCs w:val="24"/>
        </w:rPr>
        <w:t>92%, co lokuje województwo na czwartym miejscu w kraju pod względem stopnia zwodociągowania.</w:t>
      </w:r>
    </w:p>
    <w:p w14:paraId="1E5A9FEC" w14:textId="77777777" w:rsidR="00552B4C" w:rsidRPr="001C0BFA" w:rsidRDefault="00552B4C" w:rsidP="002B5007">
      <w:pPr>
        <w:rPr>
          <w:szCs w:val="24"/>
        </w:rPr>
      </w:pPr>
      <w:r w:rsidRPr="001C0BFA">
        <w:rPr>
          <w:szCs w:val="24"/>
        </w:rPr>
        <w:t>Analiza danych przedstawionych w rocznych raportach w zakresie ocen jakości powietrza, dokonywanych w ramach Państwowego Monitoringu Środowiska, pozwala stwierdzić, że jakość powietrza atmosferycznego w województwie zachodniopomorskim na przestrzeni ostatnich lat ulegała niewielkiej, jednak widocznej, poprawie.</w:t>
      </w:r>
    </w:p>
    <w:p w14:paraId="15B5E585" w14:textId="77777777" w:rsidR="00552B4C" w:rsidRPr="001C0BFA" w:rsidRDefault="00552B4C" w:rsidP="002B5007">
      <w:pPr>
        <w:rPr>
          <w:szCs w:val="24"/>
        </w:rPr>
      </w:pPr>
      <w:r w:rsidRPr="001C0BFA">
        <w:rPr>
          <w:szCs w:val="24"/>
        </w:rPr>
        <w:t xml:space="preserve">W województwie zachodniopomorskim degradacja powierzchni ziemi związana jest z presją antropogeniczną powodującą zniszczenie gleby i wprowadzeniem zmian podłoża geologicznego w wyniku zabudowy, eksploatacją kopalin i składowaniem odpadów. Największe zagrożenie degradacji powierzchni terenu występuje w strefie nadmorskiej i jest efektem intensywnego zagospodarowania rekreacyjno-turystycznego i melioracji polderów wraz z rozwojem miast portowych (sztuczne podwyższanie poziomu terenu, budowa basenów portowych, przekopywanie lub zasypywanie kanałów). Tego typu degradacje antropogeniczne mają charakter stały i postępujący. </w:t>
      </w:r>
    </w:p>
    <w:p w14:paraId="7E32EF69" w14:textId="1931C26B" w:rsidR="00552B4C" w:rsidRPr="001C0BFA" w:rsidRDefault="00552B4C" w:rsidP="002B5007">
      <w:pPr>
        <w:rPr>
          <w:szCs w:val="24"/>
        </w:rPr>
      </w:pPr>
      <w:r w:rsidRPr="001C0BFA">
        <w:rPr>
          <w:szCs w:val="24"/>
        </w:rPr>
        <w:t>Z zagrożeń naturalnych na obszarze województwa zachodniopomorskiego istotne są zjawisko abrazji brzegów morskich oraz ruchy masowe. Nasilające się w ostatnich dziesięcioleciach silne sztormy oraz stały wzrost poziomu morza powoduje intensyfikację procesu niszczenie jego brzegów natomiast w strefie moren czołowych i spiętrzonych, w</w:t>
      </w:r>
      <w:r w:rsidR="00D4052B">
        <w:rPr>
          <w:szCs w:val="24"/>
        </w:rPr>
        <w:t xml:space="preserve"> </w:t>
      </w:r>
      <w:r w:rsidRPr="001C0BFA">
        <w:rPr>
          <w:szCs w:val="24"/>
        </w:rPr>
        <w:t>szczególności na brzegach przecinających ją dolin rzecznych (Odry, Iny, Regi, Parsęty) i</w:t>
      </w:r>
      <w:r>
        <w:rPr>
          <w:szCs w:val="24"/>
        </w:rPr>
        <w:t> </w:t>
      </w:r>
      <w:r w:rsidRPr="001C0BFA">
        <w:rPr>
          <w:szCs w:val="24"/>
        </w:rPr>
        <w:t xml:space="preserve">jezior rynnowych występują ruchy masowe. Na obszarze województwa wydzielono 873 obszary predysponowane do wystąpienia zagrożeń osuwiskowych, obejmujące </w:t>
      </w:r>
      <w:r>
        <w:rPr>
          <w:szCs w:val="24"/>
        </w:rPr>
        <w:t xml:space="preserve">pond </w:t>
      </w:r>
      <w:r w:rsidRPr="001C0BFA">
        <w:rPr>
          <w:szCs w:val="24"/>
        </w:rPr>
        <w:t>2% jego powierzchni.</w:t>
      </w:r>
    </w:p>
    <w:p w14:paraId="03179605" w14:textId="77777777" w:rsidR="00552B4C" w:rsidRPr="001C0BFA" w:rsidRDefault="00552B4C" w:rsidP="002B5007">
      <w:pPr>
        <w:rPr>
          <w:szCs w:val="24"/>
        </w:rPr>
      </w:pPr>
      <w:r w:rsidRPr="001C0BFA">
        <w:rPr>
          <w:szCs w:val="24"/>
        </w:rPr>
        <w:t>W kontekście zmian klimatu (z uwzględnieniem zjawisk ekstremalnych) oraz potencjału w</w:t>
      </w:r>
      <w:r>
        <w:rPr>
          <w:szCs w:val="24"/>
        </w:rPr>
        <w:t> </w:t>
      </w:r>
      <w:r w:rsidRPr="001C0BFA">
        <w:rPr>
          <w:szCs w:val="24"/>
        </w:rPr>
        <w:t xml:space="preserve">zakresie rozwoju energetyki, województwo zachodniopomorskie charakteryzuje się stosunkowo dużą liczbą elektrowni wiatrowych, zlokalizowanych w szczególności w pasie wybrzeża Morza Bałtyckiego. </w:t>
      </w:r>
    </w:p>
    <w:p w14:paraId="3AE2EF7F" w14:textId="77777777" w:rsidR="00552B4C" w:rsidRPr="001C0BFA" w:rsidRDefault="00552B4C" w:rsidP="002B5007">
      <w:pPr>
        <w:rPr>
          <w:szCs w:val="24"/>
        </w:rPr>
      </w:pPr>
      <w:r w:rsidRPr="001C0BFA">
        <w:rPr>
          <w:szCs w:val="24"/>
        </w:rPr>
        <w:t>Zasoby surowców naturalnych na obszarze województwa zachodniopomorskiego charakteryzują się różnorodnością i zróżnicowaną ich wielkością. Województwo zachodniopomorskie posiada zasoby wód podziemnych zaliczonych do kopalin (solanek, wód leczniczych i wód termalnych). Eksploatowanych jest 7 złóż wód podziemnych z 10 złóż.</w:t>
      </w:r>
    </w:p>
    <w:p w14:paraId="2F0A9F07" w14:textId="77777777" w:rsidR="00552B4C" w:rsidRPr="001C0BFA" w:rsidRDefault="00552B4C" w:rsidP="002B5007">
      <w:pPr>
        <w:rPr>
          <w:szCs w:val="24"/>
        </w:rPr>
      </w:pPr>
      <w:r w:rsidRPr="001C0BFA">
        <w:rPr>
          <w:szCs w:val="24"/>
        </w:rPr>
        <w:t>Na obszarze województwa licznie występują zasoby surowców skalnych. Istotnym problemem jest nielegalna eksploatacja głównie piasków i żwirów - skala eksploatacji kruszyw naturalnych piaskowo-żwirowych bez wymaganej koncesji.</w:t>
      </w:r>
    </w:p>
    <w:p w14:paraId="45838963" w14:textId="77777777" w:rsidR="00552B4C" w:rsidRPr="001C0BFA" w:rsidRDefault="00552B4C" w:rsidP="002B5007">
      <w:pPr>
        <w:rPr>
          <w:szCs w:val="24"/>
        </w:rPr>
      </w:pPr>
      <w:r w:rsidRPr="001C0BFA">
        <w:rPr>
          <w:szCs w:val="24"/>
        </w:rPr>
        <w:t>Spośród złóż surowców energetycznych zidentyfikowanych w granicach województwa zachodniopomorskiego można wymienić gaz azotowy, gaz ziemny, ropa naftowa (udział województwa w wydobyciu krajowym stanowi 10% gazu ziemnego i 36,5% ropy naftowej).</w:t>
      </w:r>
    </w:p>
    <w:p w14:paraId="623A7D7E" w14:textId="77777777" w:rsidR="00552B4C" w:rsidRPr="001C0BFA" w:rsidRDefault="00552B4C" w:rsidP="002B5007">
      <w:pPr>
        <w:rPr>
          <w:szCs w:val="24"/>
        </w:rPr>
      </w:pPr>
      <w:r w:rsidRPr="001C0BFA">
        <w:rPr>
          <w:szCs w:val="24"/>
        </w:rPr>
        <w:t>Proces unieszkodliwiania odpadów i ich zagospodarowania wymaga kompleksowego odejścia. Aktualnie podejście gospodarki obiegu zamkniętego a także zmniejszanie się kubatury i ilości miejsc składowisk odpadów komunalnych wymusza zmianę podejścia do sposobu unieszkodliwienia odpadami. Aktualnie na terenie województwa zachodniopomorskiego dostępnych jest 18 czynnych składowisk odpadów, dla porównania w</w:t>
      </w:r>
      <w:r>
        <w:rPr>
          <w:szCs w:val="24"/>
        </w:rPr>
        <w:t> </w:t>
      </w:r>
      <w:r w:rsidRPr="001C0BFA">
        <w:rPr>
          <w:szCs w:val="24"/>
        </w:rPr>
        <w:t xml:space="preserve">2010 funkcjonowało ich 13. Aktualna powierzchnia czynnych składowisk, na których unieszkodliwiane są odpady komunalne na koniec 2020 r. wynosiła </w:t>
      </w:r>
      <w:r>
        <w:rPr>
          <w:szCs w:val="24"/>
        </w:rPr>
        <w:t xml:space="preserve">ok. </w:t>
      </w:r>
      <w:r w:rsidRPr="001C0BFA">
        <w:rPr>
          <w:szCs w:val="24"/>
        </w:rPr>
        <w:t>161</w:t>
      </w:r>
      <w:r>
        <w:rPr>
          <w:szCs w:val="24"/>
        </w:rPr>
        <w:t xml:space="preserve"> </w:t>
      </w:r>
      <w:r w:rsidRPr="001C0BFA">
        <w:rPr>
          <w:szCs w:val="24"/>
        </w:rPr>
        <w:t>ha i zmniejszyła się w stosunku do 2010 r. o 32%. Problemem są również dzikie wysypiska odpadów. Pozytywnym aspektem jest, iż corocznie spada ich ilość.</w:t>
      </w:r>
    </w:p>
    <w:p w14:paraId="78ED4581" w14:textId="77777777" w:rsidR="00552B4C" w:rsidRDefault="00552B4C" w:rsidP="002B5007">
      <w:pPr>
        <w:rPr>
          <w:szCs w:val="24"/>
        </w:rPr>
      </w:pPr>
      <w:r w:rsidRPr="001C0BFA">
        <w:rPr>
          <w:szCs w:val="24"/>
        </w:rPr>
        <w:t>W wyniku działań związanych z ochroną zabytków i opieką nad zabytkami na terenie województwa zachodniopomorskiego wydzielono 30 zespołów tzw. Obszary Krajobrazowo-Kulturowe. W rejestrze zabytków województwa zachodniopomorskiego znajdują się 4 404 obiekty nieruchome</w:t>
      </w:r>
      <w:r>
        <w:rPr>
          <w:szCs w:val="24"/>
        </w:rPr>
        <w:t xml:space="preserve">, </w:t>
      </w:r>
      <w:r w:rsidRPr="001C0BFA">
        <w:rPr>
          <w:szCs w:val="24"/>
        </w:rPr>
        <w:t>2 231 obiektów ruchomych</w:t>
      </w:r>
      <w:r>
        <w:rPr>
          <w:szCs w:val="24"/>
        </w:rPr>
        <w:t>,</w:t>
      </w:r>
      <w:r w:rsidRPr="001C0BFA">
        <w:rPr>
          <w:szCs w:val="24"/>
        </w:rPr>
        <w:t xml:space="preserve"> 370 obiektów archeologicznych</w:t>
      </w:r>
      <w:r>
        <w:rPr>
          <w:szCs w:val="24"/>
        </w:rPr>
        <w:t xml:space="preserve"> (</w:t>
      </w:r>
      <w:r w:rsidRPr="001C0BFA">
        <w:rPr>
          <w:szCs w:val="24"/>
        </w:rPr>
        <w:t>według stanu na dzień 11.01.2022 r.</w:t>
      </w:r>
      <w:r>
        <w:rPr>
          <w:szCs w:val="24"/>
        </w:rPr>
        <w:t>)</w:t>
      </w:r>
    </w:p>
    <w:p w14:paraId="419053EF" w14:textId="77777777" w:rsidR="00552B4C" w:rsidRPr="001C0BFA" w:rsidRDefault="00552B4C" w:rsidP="002B5007">
      <w:pPr>
        <w:rPr>
          <w:szCs w:val="24"/>
        </w:rPr>
      </w:pPr>
      <w:r w:rsidRPr="001C0BFA">
        <w:rPr>
          <w:szCs w:val="24"/>
        </w:rPr>
        <w:t xml:space="preserve">Na obszarze województwa zachodniopomorskiego nie ma obiekt dziedzictwa kulturowego wpisywanego na Listę Światowego Dziedzictwa UNESCO. </w:t>
      </w:r>
    </w:p>
    <w:p w14:paraId="58F0CB38" w14:textId="2555FDBA" w:rsidR="00552B4C" w:rsidRPr="001C0BFA" w:rsidRDefault="00552B4C" w:rsidP="002B5007">
      <w:pPr>
        <w:rPr>
          <w:szCs w:val="24"/>
        </w:rPr>
      </w:pPr>
      <w:r w:rsidRPr="001C0BFA">
        <w:rPr>
          <w:szCs w:val="24"/>
        </w:rPr>
        <w:t>W kolejnym kroku analiz w</w:t>
      </w:r>
      <w:r w:rsidR="00D4052B">
        <w:rPr>
          <w:szCs w:val="24"/>
        </w:rPr>
        <w:t xml:space="preserve"> </w:t>
      </w:r>
      <w:r w:rsidRPr="001C0BFA">
        <w:rPr>
          <w:szCs w:val="24"/>
        </w:rPr>
        <w:t xml:space="preserve">ramach przeprowadzonej Prognozy </w:t>
      </w:r>
      <w:r w:rsidRPr="001C0BFA">
        <w:rPr>
          <w:b/>
          <w:szCs w:val="24"/>
        </w:rPr>
        <w:t>dokonano ocen</w:t>
      </w:r>
      <w:r w:rsidR="004110A4">
        <w:rPr>
          <w:b/>
          <w:szCs w:val="24"/>
        </w:rPr>
        <w:t>y</w:t>
      </w:r>
      <w:r w:rsidRPr="001C0BFA">
        <w:rPr>
          <w:b/>
          <w:szCs w:val="24"/>
        </w:rPr>
        <w:t xml:space="preserve"> skutków </w:t>
      </w:r>
      <w:r w:rsidRPr="001C0BFA">
        <w:rPr>
          <w:szCs w:val="24"/>
        </w:rPr>
        <w:t xml:space="preserve">realizacji projektu </w:t>
      </w:r>
      <w:r w:rsidR="00D4052B">
        <w:rPr>
          <w:szCs w:val="24"/>
        </w:rPr>
        <w:t>FEPZ</w:t>
      </w:r>
      <w:r w:rsidRPr="001C0BFA">
        <w:rPr>
          <w:szCs w:val="24"/>
        </w:rPr>
        <w:t xml:space="preserve"> 2021-2027 z uwzględnieniem oddziaływania na poszczególne elementy środowiska. Wskazano najistotniejsze znaczące oddziaływania wynikające z realizacji poszczególnych celów szczegółowych </w:t>
      </w:r>
      <w:r w:rsidR="00D4052B">
        <w:rPr>
          <w:szCs w:val="24"/>
        </w:rPr>
        <w:t>FEPZ</w:t>
      </w:r>
      <w:r w:rsidRPr="001C0BFA">
        <w:rPr>
          <w:szCs w:val="24"/>
        </w:rPr>
        <w:t xml:space="preserve"> 2021-2027. </w:t>
      </w:r>
    </w:p>
    <w:p w14:paraId="28B1038E" w14:textId="1B49E00D" w:rsidR="00552B4C" w:rsidRPr="001C0BFA" w:rsidRDefault="00552B4C" w:rsidP="002B5007">
      <w:pPr>
        <w:rPr>
          <w:szCs w:val="24"/>
        </w:rPr>
      </w:pPr>
      <w:r w:rsidRPr="001C0BFA">
        <w:rPr>
          <w:szCs w:val="24"/>
        </w:rPr>
        <w:t xml:space="preserve">Dla zapewnienia czytelności oceny środowiskowych skutków realizacji przedsięwzięć w ramach projektu Programu </w:t>
      </w:r>
      <w:r w:rsidR="00D4052B">
        <w:rPr>
          <w:szCs w:val="24"/>
        </w:rPr>
        <w:t>FEPZ</w:t>
      </w:r>
      <w:r w:rsidRPr="001C0BFA">
        <w:rPr>
          <w:szCs w:val="24"/>
        </w:rPr>
        <w:t xml:space="preserve"> 2021-2027 przedstawiono zestawienia ilustrujące wpływ typów przedsięwzięć na poszczególne komponenty środowiska. </w:t>
      </w:r>
    </w:p>
    <w:p w14:paraId="29E21AC1" w14:textId="6EF39764" w:rsidR="00552B4C" w:rsidRPr="001C0BFA" w:rsidRDefault="00552B4C" w:rsidP="002B5007">
      <w:pPr>
        <w:rPr>
          <w:szCs w:val="24"/>
        </w:rPr>
      </w:pPr>
      <w:r w:rsidRPr="001C0BFA">
        <w:rPr>
          <w:rFonts w:cstheme="minorHAnsi"/>
          <w:szCs w:val="24"/>
        </w:rPr>
        <w:t xml:space="preserve">Projekt Programu </w:t>
      </w:r>
      <w:r w:rsidR="00D4052B">
        <w:rPr>
          <w:rFonts w:cstheme="minorHAnsi"/>
          <w:szCs w:val="24"/>
        </w:rPr>
        <w:t>FEPZ</w:t>
      </w:r>
      <w:r w:rsidRPr="001C0BFA">
        <w:rPr>
          <w:rFonts w:cstheme="minorHAnsi"/>
          <w:szCs w:val="24"/>
        </w:rPr>
        <w:t xml:space="preserve"> 2021-2027 zakłada prowadzenie działań dla poprawy środowiska</w:t>
      </w:r>
      <w:r w:rsidR="004110A4">
        <w:rPr>
          <w:rFonts w:cstheme="minorHAnsi"/>
          <w:szCs w:val="24"/>
        </w:rPr>
        <w:t xml:space="preserve"> </w:t>
      </w:r>
      <w:r w:rsidRPr="001C0BFA">
        <w:rPr>
          <w:rFonts w:cstheme="minorHAnsi"/>
          <w:szCs w:val="24"/>
        </w:rPr>
        <w:t>poprzez:</w:t>
      </w:r>
    </w:p>
    <w:p w14:paraId="6229327B" w14:textId="1203DAD5" w:rsidR="00552B4C" w:rsidRPr="001C0BFA" w:rsidRDefault="00552B4C" w:rsidP="002B5007">
      <w:pPr>
        <w:numPr>
          <w:ilvl w:val="0"/>
          <w:numId w:val="20"/>
        </w:numPr>
        <w:ind w:left="714" w:hanging="357"/>
        <w:rPr>
          <w:szCs w:val="24"/>
        </w:rPr>
      </w:pPr>
      <w:r w:rsidRPr="001C0BFA">
        <w:rPr>
          <w:szCs w:val="24"/>
        </w:rPr>
        <w:t>redukcj</w:t>
      </w:r>
      <w:r w:rsidR="004110A4">
        <w:rPr>
          <w:szCs w:val="24"/>
        </w:rPr>
        <w:t>ę</w:t>
      </w:r>
      <w:r w:rsidRPr="001C0BFA">
        <w:rPr>
          <w:szCs w:val="24"/>
        </w:rPr>
        <w:t xml:space="preserve"> emisji gazów cieplarnianych,</w:t>
      </w:r>
    </w:p>
    <w:p w14:paraId="618286C0" w14:textId="77777777" w:rsidR="00552B4C" w:rsidRPr="001C0BFA" w:rsidRDefault="00552B4C" w:rsidP="002B5007">
      <w:pPr>
        <w:numPr>
          <w:ilvl w:val="0"/>
          <w:numId w:val="20"/>
        </w:numPr>
        <w:ind w:left="714" w:hanging="357"/>
        <w:rPr>
          <w:szCs w:val="24"/>
        </w:rPr>
      </w:pPr>
      <w:r w:rsidRPr="001C0BFA">
        <w:rPr>
          <w:szCs w:val="24"/>
        </w:rPr>
        <w:t>ograniczanie emisji zanieczyszczeń do środowiska naturalnego,</w:t>
      </w:r>
    </w:p>
    <w:p w14:paraId="67786D6E" w14:textId="77777777" w:rsidR="00552B4C" w:rsidRPr="001C0BFA" w:rsidRDefault="00552B4C" w:rsidP="002B5007">
      <w:pPr>
        <w:numPr>
          <w:ilvl w:val="0"/>
          <w:numId w:val="20"/>
        </w:numPr>
        <w:ind w:left="714" w:hanging="357"/>
        <w:rPr>
          <w:szCs w:val="24"/>
        </w:rPr>
      </w:pPr>
      <w:r w:rsidRPr="001C0BFA">
        <w:rPr>
          <w:szCs w:val="24"/>
        </w:rPr>
        <w:t>ograniczenie zużycia energii,</w:t>
      </w:r>
    </w:p>
    <w:p w14:paraId="120B1491" w14:textId="77777777" w:rsidR="00552B4C" w:rsidRPr="001C0BFA" w:rsidRDefault="00552B4C" w:rsidP="002B5007">
      <w:pPr>
        <w:numPr>
          <w:ilvl w:val="0"/>
          <w:numId w:val="20"/>
        </w:numPr>
        <w:ind w:left="714" w:hanging="357"/>
        <w:rPr>
          <w:szCs w:val="24"/>
        </w:rPr>
      </w:pPr>
      <w:r w:rsidRPr="001C0BFA">
        <w:rPr>
          <w:szCs w:val="24"/>
        </w:rPr>
        <w:t>rozwój OZE,</w:t>
      </w:r>
    </w:p>
    <w:p w14:paraId="4E20BEF7" w14:textId="77777777" w:rsidR="00552B4C" w:rsidRPr="001C0BFA" w:rsidRDefault="00552B4C" w:rsidP="002B5007">
      <w:pPr>
        <w:numPr>
          <w:ilvl w:val="0"/>
          <w:numId w:val="20"/>
        </w:numPr>
        <w:ind w:left="714" w:hanging="357"/>
        <w:rPr>
          <w:szCs w:val="24"/>
        </w:rPr>
      </w:pPr>
      <w:r w:rsidRPr="001C0BFA">
        <w:rPr>
          <w:szCs w:val="24"/>
        </w:rPr>
        <w:t>kompleksowe działania na rzecz poprawy stanu i ochrony siedlisk przyrodniczych oraz ochrony gatunków stanowiących zasoby przyrodnicze województwa zachodniopomorskiego,</w:t>
      </w:r>
    </w:p>
    <w:p w14:paraId="594ADDB9" w14:textId="77777777" w:rsidR="00552B4C" w:rsidRPr="001C0BFA" w:rsidRDefault="00552B4C" w:rsidP="002B5007">
      <w:pPr>
        <w:numPr>
          <w:ilvl w:val="0"/>
          <w:numId w:val="20"/>
        </w:numPr>
        <w:ind w:left="714" w:hanging="357"/>
        <w:rPr>
          <w:szCs w:val="24"/>
        </w:rPr>
      </w:pPr>
      <w:r w:rsidRPr="001C0BFA">
        <w:rPr>
          <w:szCs w:val="24"/>
        </w:rPr>
        <w:t>zapobieganie niekorzystnym zjawiskom i procesom, wynikających ze zmian klimatu,</w:t>
      </w:r>
    </w:p>
    <w:p w14:paraId="2828F3CD" w14:textId="77777777" w:rsidR="00552B4C" w:rsidRPr="001C0BFA" w:rsidRDefault="00552B4C" w:rsidP="002B5007">
      <w:pPr>
        <w:numPr>
          <w:ilvl w:val="0"/>
          <w:numId w:val="20"/>
        </w:numPr>
        <w:ind w:left="714" w:hanging="357"/>
        <w:rPr>
          <w:szCs w:val="24"/>
        </w:rPr>
      </w:pPr>
      <w:r w:rsidRPr="001C0BFA">
        <w:rPr>
          <w:szCs w:val="24"/>
        </w:rPr>
        <w:t>poprawę dostępu do zasobów wodnych o dobrej jakości, a jednocześnie racjonalizacja ich wykorzystania,</w:t>
      </w:r>
    </w:p>
    <w:p w14:paraId="461DC109" w14:textId="77777777" w:rsidR="00552B4C" w:rsidRPr="001C0BFA" w:rsidRDefault="00552B4C" w:rsidP="002B5007">
      <w:pPr>
        <w:numPr>
          <w:ilvl w:val="0"/>
          <w:numId w:val="20"/>
        </w:numPr>
        <w:ind w:left="714" w:hanging="357"/>
        <w:rPr>
          <w:szCs w:val="24"/>
        </w:rPr>
      </w:pPr>
      <w:r w:rsidRPr="001C0BFA">
        <w:rPr>
          <w:szCs w:val="24"/>
        </w:rPr>
        <w:t>rozwój zielonych technologii oraz transformacja do zielonej gospodarki (green economy),</w:t>
      </w:r>
    </w:p>
    <w:p w14:paraId="7E834DA2" w14:textId="77777777" w:rsidR="00552B4C" w:rsidRPr="001C0BFA" w:rsidRDefault="00552B4C" w:rsidP="002B5007">
      <w:pPr>
        <w:numPr>
          <w:ilvl w:val="0"/>
          <w:numId w:val="20"/>
        </w:numPr>
        <w:ind w:left="714" w:hanging="357"/>
        <w:rPr>
          <w:szCs w:val="24"/>
        </w:rPr>
      </w:pPr>
      <w:r w:rsidRPr="001C0BFA">
        <w:rPr>
          <w:szCs w:val="24"/>
        </w:rPr>
        <w:t>rozwój gospodarki obiegu zamkniętego i racjonalizacja wykorzystania zasobów naturalnych,</w:t>
      </w:r>
    </w:p>
    <w:p w14:paraId="0E46381D" w14:textId="77777777" w:rsidR="00552B4C" w:rsidRPr="001C0BFA" w:rsidRDefault="00552B4C" w:rsidP="002B5007">
      <w:pPr>
        <w:numPr>
          <w:ilvl w:val="0"/>
          <w:numId w:val="20"/>
        </w:numPr>
        <w:ind w:left="714" w:hanging="357"/>
        <w:rPr>
          <w:szCs w:val="24"/>
        </w:rPr>
      </w:pPr>
      <w:r w:rsidRPr="001C0BFA">
        <w:rPr>
          <w:szCs w:val="24"/>
        </w:rPr>
        <w:t>zmniejszenie hałasu,</w:t>
      </w:r>
    </w:p>
    <w:p w14:paraId="36E3788B" w14:textId="77777777" w:rsidR="00552B4C" w:rsidRPr="001C0BFA" w:rsidRDefault="00552B4C" w:rsidP="002B5007">
      <w:pPr>
        <w:numPr>
          <w:ilvl w:val="0"/>
          <w:numId w:val="20"/>
        </w:numPr>
        <w:ind w:left="714" w:hanging="357"/>
        <w:rPr>
          <w:szCs w:val="24"/>
        </w:rPr>
      </w:pPr>
      <w:r w:rsidRPr="001C0BFA">
        <w:rPr>
          <w:szCs w:val="24"/>
        </w:rPr>
        <w:t>poprawę jakości powietrza,</w:t>
      </w:r>
    </w:p>
    <w:p w14:paraId="4F943553" w14:textId="77777777" w:rsidR="00552B4C" w:rsidRPr="001C0BFA" w:rsidRDefault="00552B4C" w:rsidP="002B5007">
      <w:pPr>
        <w:numPr>
          <w:ilvl w:val="0"/>
          <w:numId w:val="20"/>
        </w:numPr>
        <w:ind w:left="714" w:hanging="357"/>
        <w:rPr>
          <w:szCs w:val="24"/>
        </w:rPr>
      </w:pPr>
      <w:r w:rsidRPr="001C0BFA">
        <w:rPr>
          <w:szCs w:val="24"/>
        </w:rPr>
        <w:t>poprawę jakości infrastruktury wodno-ściekowej.</w:t>
      </w:r>
    </w:p>
    <w:p w14:paraId="03CEA046" w14:textId="5DF3956F" w:rsidR="00552B4C" w:rsidRPr="001C0BFA" w:rsidRDefault="00552B4C" w:rsidP="002B5007">
      <w:pPr>
        <w:rPr>
          <w:szCs w:val="24"/>
        </w:rPr>
      </w:pPr>
      <w:r w:rsidRPr="001C0BFA">
        <w:rPr>
          <w:szCs w:val="24"/>
        </w:rPr>
        <w:t xml:space="preserve">Realizacja Programu </w:t>
      </w:r>
      <w:r w:rsidR="00D4052B">
        <w:rPr>
          <w:szCs w:val="24"/>
        </w:rPr>
        <w:t>FEPZ</w:t>
      </w:r>
      <w:r w:rsidRPr="001C0BFA">
        <w:rPr>
          <w:szCs w:val="24"/>
        </w:rPr>
        <w:t xml:space="preserve"> 2021-2027 pozytywnie wpływać będzie też na zdrowie i jakość życia mieszkańców poprzez:</w:t>
      </w:r>
    </w:p>
    <w:p w14:paraId="28E75F38" w14:textId="77777777" w:rsidR="00552B4C" w:rsidRPr="001C0BFA" w:rsidRDefault="00552B4C" w:rsidP="002B5007">
      <w:pPr>
        <w:numPr>
          <w:ilvl w:val="0"/>
          <w:numId w:val="21"/>
        </w:numPr>
        <w:rPr>
          <w:rFonts w:cstheme="minorHAnsi"/>
          <w:szCs w:val="24"/>
        </w:rPr>
      </w:pPr>
      <w:r w:rsidRPr="001C0BFA">
        <w:rPr>
          <w:rFonts w:cstheme="minorHAnsi"/>
          <w:szCs w:val="24"/>
        </w:rPr>
        <w:t>rozwój elektronicznych usług (e-usług) obejmujących takie obszary jak: turystyka, sport, rolnictwo, ochrona środowiska, komunikacja i organizacja transportu oraz mobilność,</w:t>
      </w:r>
    </w:p>
    <w:p w14:paraId="4F3CAD40" w14:textId="77777777" w:rsidR="00552B4C" w:rsidRPr="001C0BFA" w:rsidRDefault="00552B4C" w:rsidP="002B5007">
      <w:pPr>
        <w:numPr>
          <w:ilvl w:val="0"/>
          <w:numId w:val="21"/>
        </w:numPr>
        <w:rPr>
          <w:szCs w:val="24"/>
        </w:rPr>
      </w:pPr>
      <w:r w:rsidRPr="001C0BFA">
        <w:rPr>
          <w:szCs w:val="24"/>
        </w:rPr>
        <w:t>rozwój zasobów cyfrowych dla obywateli i przedsiębiorstw,</w:t>
      </w:r>
    </w:p>
    <w:p w14:paraId="65CF5C25" w14:textId="77777777" w:rsidR="00552B4C" w:rsidRPr="001C0BFA" w:rsidRDefault="00552B4C" w:rsidP="002B5007">
      <w:pPr>
        <w:numPr>
          <w:ilvl w:val="0"/>
          <w:numId w:val="21"/>
        </w:numPr>
        <w:rPr>
          <w:szCs w:val="24"/>
        </w:rPr>
      </w:pPr>
      <w:r w:rsidRPr="001C0BFA">
        <w:rPr>
          <w:szCs w:val="24"/>
        </w:rPr>
        <w:t>rozwój zasobów rynku pracy poprzez aktywizację zawodową, podnoszenie kwalifikacji i kompetencji osób pracujących, w tym posiadających niestabilną pozycję na rynku pracy, odchodzących z rolnictwa oraz ubogich pracujących,</w:t>
      </w:r>
    </w:p>
    <w:p w14:paraId="5F0EE6DC" w14:textId="77777777" w:rsidR="00552B4C" w:rsidRPr="001C0BFA" w:rsidRDefault="00552B4C" w:rsidP="002B5007">
      <w:pPr>
        <w:numPr>
          <w:ilvl w:val="0"/>
          <w:numId w:val="21"/>
        </w:numPr>
        <w:rPr>
          <w:szCs w:val="24"/>
        </w:rPr>
      </w:pPr>
      <w:r w:rsidRPr="001C0BFA">
        <w:rPr>
          <w:szCs w:val="24"/>
        </w:rPr>
        <w:t>podniesienie jakości i dostępności do podmiotów świadczących usługi społeczne,</w:t>
      </w:r>
    </w:p>
    <w:p w14:paraId="59BB6395" w14:textId="77777777" w:rsidR="00552B4C" w:rsidRPr="001C0BFA" w:rsidRDefault="00552B4C" w:rsidP="002B5007">
      <w:pPr>
        <w:numPr>
          <w:ilvl w:val="0"/>
          <w:numId w:val="21"/>
        </w:numPr>
        <w:rPr>
          <w:szCs w:val="24"/>
        </w:rPr>
      </w:pPr>
      <w:r w:rsidRPr="001C0BFA">
        <w:rPr>
          <w:szCs w:val="24"/>
        </w:rPr>
        <w:t>wsparcie integracji społeczno-gospodarczej,</w:t>
      </w:r>
    </w:p>
    <w:p w14:paraId="04E826EC" w14:textId="77777777" w:rsidR="00552B4C" w:rsidRPr="001C0BFA" w:rsidRDefault="00552B4C" w:rsidP="002B5007">
      <w:pPr>
        <w:numPr>
          <w:ilvl w:val="0"/>
          <w:numId w:val="21"/>
        </w:numPr>
        <w:rPr>
          <w:szCs w:val="24"/>
        </w:rPr>
      </w:pPr>
      <w:r w:rsidRPr="001C0BFA">
        <w:rPr>
          <w:szCs w:val="24"/>
        </w:rPr>
        <w:t>poprawa dostępności do usług medycznych, w tym rozwój jakości świadczenia tych usług poprzez ulepszenie warunków funkcjonowania, rozwój infrastruktury i</w:t>
      </w:r>
      <w:r>
        <w:rPr>
          <w:szCs w:val="24"/>
        </w:rPr>
        <w:t> </w:t>
      </w:r>
      <w:r w:rsidRPr="001C0BFA">
        <w:rPr>
          <w:szCs w:val="24"/>
        </w:rPr>
        <w:t>wyposażenia placówek medycznych,</w:t>
      </w:r>
    </w:p>
    <w:p w14:paraId="5929CC67" w14:textId="77777777" w:rsidR="00552B4C" w:rsidRPr="001C0BFA" w:rsidRDefault="00552B4C" w:rsidP="002B5007">
      <w:pPr>
        <w:numPr>
          <w:ilvl w:val="0"/>
          <w:numId w:val="21"/>
        </w:numPr>
        <w:ind w:left="714" w:hanging="357"/>
        <w:rPr>
          <w:szCs w:val="24"/>
        </w:rPr>
      </w:pPr>
      <w:r w:rsidRPr="001C0BFA">
        <w:rPr>
          <w:szCs w:val="24"/>
        </w:rPr>
        <w:t>rozwój zrównoważonej turystyki i rozszerzenie oferty spędzania wolnego czasu,</w:t>
      </w:r>
    </w:p>
    <w:p w14:paraId="33936CC0" w14:textId="77777777" w:rsidR="00552B4C" w:rsidRPr="001C0BFA" w:rsidRDefault="00552B4C" w:rsidP="002B5007">
      <w:pPr>
        <w:numPr>
          <w:ilvl w:val="0"/>
          <w:numId w:val="21"/>
        </w:numPr>
        <w:ind w:left="714" w:hanging="357"/>
        <w:rPr>
          <w:szCs w:val="24"/>
        </w:rPr>
      </w:pPr>
      <w:r w:rsidRPr="001C0BFA">
        <w:rPr>
          <w:szCs w:val="24"/>
        </w:rPr>
        <w:t>poprawę stanu zdrowia ludzi (np. poprzez redukcję emisji zanieczyszczeń),</w:t>
      </w:r>
    </w:p>
    <w:p w14:paraId="39BFD9B7" w14:textId="77777777" w:rsidR="00552B4C" w:rsidRPr="001C0BFA" w:rsidRDefault="00552B4C" w:rsidP="002B5007">
      <w:pPr>
        <w:numPr>
          <w:ilvl w:val="0"/>
          <w:numId w:val="21"/>
        </w:numPr>
        <w:ind w:left="714" w:hanging="357"/>
        <w:rPr>
          <w:szCs w:val="24"/>
        </w:rPr>
      </w:pPr>
      <w:r w:rsidRPr="001C0BFA">
        <w:rPr>
          <w:szCs w:val="24"/>
        </w:rPr>
        <w:t>wzrost poczucia bezpieczeństwa, ładu i równowagi społecznej mieszkańców.</w:t>
      </w:r>
    </w:p>
    <w:p w14:paraId="101024C4" w14:textId="77777777" w:rsidR="00552B4C" w:rsidRPr="001C0BFA" w:rsidRDefault="00552B4C" w:rsidP="002B5007">
      <w:pPr>
        <w:rPr>
          <w:szCs w:val="24"/>
        </w:rPr>
      </w:pPr>
      <w:r w:rsidRPr="001C0BFA">
        <w:rPr>
          <w:szCs w:val="24"/>
        </w:rPr>
        <w:t xml:space="preserve">Potencjalny pozytywny wpływ na środowisko realizacji działań w ramach poszczególnych celów szczegółowych wystąpi poprzez: </w:t>
      </w:r>
    </w:p>
    <w:p w14:paraId="565F1A2A" w14:textId="77777777" w:rsidR="00552B4C" w:rsidRPr="001C0BFA" w:rsidRDefault="00552B4C" w:rsidP="002B5007">
      <w:pPr>
        <w:numPr>
          <w:ilvl w:val="0"/>
          <w:numId w:val="22"/>
        </w:numPr>
        <w:ind w:left="714" w:hanging="357"/>
        <w:rPr>
          <w:szCs w:val="24"/>
        </w:rPr>
      </w:pPr>
      <w:r w:rsidRPr="001C0BFA">
        <w:rPr>
          <w:szCs w:val="24"/>
        </w:rPr>
        <w:t>wprowadzanie rozwiązań z zakresu obiegu zamkniętego,</w:t>
      </w:r>
    </w:p>
    <w:p w14:paraId="197BA87C" w14:textId="77777777" w:rsidR="00552B4C" w:rsidRPr="001C0BFA" w:rsidRDefault="00552B4C" w:rsidP="002B5007">
      <w:pPr>
        <w:numPr>
          <w:ilvl w:val="0"/>
          <w:numId w:val="22"/>
        </w:numPr>
        <w:ind w:left="714" w:hanging="357"/>
        <w:rPr>
          <w:szCs w:val="24"/>
        </w:rPr>
      </w:pPr>
      <w:r w:rsidRPr="001C0BFA">
        <w:rPr>
          <w:szCs w:val="24"/>
        </w:rPr>
        <w:t xml:space="preserve">wytwarzanie energii z odnawialnych źródeł, </w:t>
      </w:r>
    </w:p>
    <w:p w14:paraId="37FB4DC0" w14:textId="77777777" w:rsidR="00552B4C" w:rsidRPr="001C0BFA" w:rsidRDefault="00552B4C" w:rsidP="002B5007">
      <w:pPr>
        <w:numPr>
          <w:ilvl w:val="0"/>
          <w:numId w:val="22"/>
        </w:numPr>
        <w:ind w:left="714" w:hanging="357"/>
        <w:rPr>
          <w:szCs w:val="24"/>
        </w:rPr>
      </w:pPr>
      <w:r w:rsidRPr="001C0BFA">
        <w:rPr>
          <w:szCs w:val="24"/>
        </w:rPr>
        <w:t>przystosowanie do zmian klimatu w kontekście ochrony przed negatywnymi skutkami zmian klimatu, jak i tworzenie lub podnoszenie ich odporności do obecnej i przyszłej zmienności klimatu,</w:t>
      </w:r>
    </w:p>
    <w:p w14:paraId="3EE29B23" w14:textId="77777777" w:rsidR="00552B4C" w:rsidRPr="001C0BFA" w:rsidRDefault="00552B4C" w:rsidP="002B5007">
      <w:pPr>
        <w:numPr>
          <w:ilvl w:val="0"/>
          <w:numId w:val="22"/>
        </w:numPr>
        <w:ind w:left="714" w:hanging="357"/>
        <w:rPr>
          <w:szCs w:val="24"/>
        </w:rPr>
      </w:pPr>
      <w:r w:rsidRPr="001C0BFA">
        <w:rPr>
          <w:szCs w:val="24"/>
        </w:rPr>
        <w:t>podniesienie standardów usług leczniczych,</w:t>
      </w:r>
    </w:p>
    <w:p w14:paraId="16666622" w14:textId="77777777" w:rsidR="00552B4C" w:rsidRPr="001C0BFA" w:rsidRDefault="00552B4C" w:rsidP="002B5007">
      <w:pPr>
        <w:numPr>
          <w:ilvl w:val="0"/>
          <w:numId w:val="22"/>
        </w:numPr>
        <w:ind w:left="714" w:hanging="357"/>
        <w:rPr>
          <w:szCs w:val="24"/>
        </w:rPr>
      </w:pPr>
      <w:r w:rsidRPr="001C0BFA">
        <w:rPr>
          <w:szCs w:val="24"/>
        </w:rPr>
        <w:t xml:space="preserve">podniesienie poziomu życia i oczekiwań względem jakości życia, w tym stanu środowiska. </w:t>
      </w:r>
    </w:p>
    <w:p w14:paraId="7168E6B6" w14:textId="77777777" w:rsidR="00552B4C" w:rsidRPr="001C0BFA" w:rsidRDefault="00552B4C" w:rsidP="002B5007">
      <w:pPr>
        <w:rPr>
          <w:szCs w:val="24"/>
        </w:rPr>
      </w:pPr>
      <w:r w:rsidRPr="001C0BFA">
        <w:rPr>
          <w:szCs w:val="24"/>
        </w:rPr>
        <w:t xml:space="preserve">Działania o charakterze pośrednim będą w przeważającej części miały charakter pozytywny bądź neutralny, gdyż większość tych działań ma wymiar naukowy, techniczny, organizacyjny, finansowy i handlowy, których celem jest opracowanie i wdrożenie nowych lub istotnie ulepszonych produktów i procesów. Można spodziewać się także, że w rezultacie działań edukacyjnych i projektów aktywizujących lokalne społeczności, stan wiedzy i świadomość ekologiczna społeczeństw poprawi się, a wymiernym skutkiem tego będzie większa troska o stan wszystkich komponentów środowiska. </w:t>
      </w:r>
    </w:p>
    <w:p w14:paraId="6067D571" w14:textId="38EEC877" w:rsidR="00552B4C" w:rsidRPr="001C0BFA" w:rsidRDefault="00552B4C" w:rsidP="002B5007">
      <w:pPr>
        <w:rPr>
          <w:szCs w:val="24"/>
        </w:rPr>
      </w:pPr>
      <w:r w:rsidRPr="001C0BFA">
        <w:rPr>
          <w:szCs w:val="24"/>
        </w:rPr>
        <w:t>Negatywne oddziaływanie będzie występowało gł</w:t>
      </w:r>
      <w:r w:rsidR="004110A4">
        <w:rPr>
          <w:szCs w:val="24"/>
        </w:rPr>
        <w:t>ó</w:t>
      </w:r>
      <w:r w:rsidRPr="001C0BFA">
        <w:rPr>
          <w:szCs w:val="24"/>
        </w:rPr>
        <w:t xml:space="preserve">wnie na etapie realizacji nowych przedsięwzięć inwestycyjnych, produkcyjnych i wdrożeniowych i w większości będzie miało charakter krótkookresowy. </w:t>
      </w:r>
    </w:p>
    <w:p w14:paraId="0A743D86" w14:textId="7D20512A" w:rsidR="00552B4C" w:rsidRPr="001C0BFA" w:rsidRDefault="003B455A" w:rsidP="002B5007">
      <w:pPr>
        <w:rPr>
          <w:rFonts w:cstheme="minorHAnsi"/>
          <w:b/>
          <w:i/>
          <w:szCs w:val="24"/>
        </w:rPr>
      </w:pPr>
      <w:r w:rsidRPr="003B455A">
        <w:rPr>
          <w:szCs w:val="24"/>
        </w:rPr>
        <w:t xml:space="preserve">W obszarze Priorytetu 2. </w:t>
      </w:r>
      <w:r w:rsidRPr="002B5007">
        <w:rPr>
          <w:b/>
          <w:i/>
          <w:szCs w:val="24"/>
        </w:rPr>
        <w:t>FUNDUSZE EUROPEJSKIE NA RZECZ ZIELONEGO POMORZA ZACHODNIEGO</w:t>
      </w:r>
      <w:r w:rsidRPr="003B455A">
        <w:rPr>
          <w:szCs w:val="24"/>
        </w:rPr>
        <w:t>, w wyniku realizacji zaplanowanych działań upatruje się głównie pozytywnego, długoterminowego oddziaływania na środowisko, w tym na różnorodność biologiczną, rośliny, zwierzęta, obszary chronione, w tym obszary Natura 2000</w:t>
      </w:r>
      <w:r>
        <w:rPr>
          <w:szCs w:val="24"/>
        </w:rPr>
        <w:t xml:space="preserve">. </w:t>
      </w:r>
      <w:r w:rsidR="00552B4C" w:rsidRPr="001C0BFA">
        <w:rPr>
          <w:szCs w:val="24"/>
        </w:rPr>
        <w:t xml:space="preserve">Potencjalnym znaczącym negatywnym oddziaływaniem bezpośrednim o charakterze tymczasowym i średnioterminowym będą charakteryzowały się inwestycje skupione w ramach Priorytetu </w:t>
      </w:r>
      <w:r w:rsidR="00552B4C" w:rsidRPr="001C0BFA">
        <w:rPr>
          <w:rFonts w:eastAsia="Times New Roman" w:cs="Calibri"/>
          <w:szCs w:val="24"/>
        </w:rPr>
        <w:t>2.</w:t>
      </w:r>
      <w:r w:rsidR="00552B4C" w:rsidRPr="001C0BFA">
        <w:rPr>
          <w:rFonts w:eastAsia="Times New Roman" w:cs="Calibri"/>
          <w:b/>
          <w:i/>
          <w:szCs w:val="24"/>
        </w:rPr>
        <w:t xml:space="preserve"> FUNDUSZE EUROPEJSKIE NA RZECZ ZIELONEGO POMORZA ZACHODNIEGO</w:t>
      </w:r>
      <w:r w:rsidR="00552B4C" w:rsidRPr="001C0BFA">
        <w:rPr>
          <w:szCs w:val="24"/>
        </w:rPr>
        <w:t xml:space="preserve">, a w szczególności działania w ramach celów </w:t>
      </w:r>
      <w:r w:rsidR="00552B4C" w:rsidRPr="001C0BFA">
        <w:rPr>
          <w:i/>
          <w:szCs w:val="24"/>
        </w:rPr>
        <w:t xml:space="preserve">cs (i): Wspieranie efektywności energetycznej i redukcji emisji gazów cieplarnianych; (cs (ii): Wspieranie energii odnawialnej zgodnie z dyrektywą (UE) 2018/2001, w tym określonymi w niej kryteriami zrównoważonego rozwoju, cs (iv): Wspieranie przystosowania się do zmian klimatu i zapobiegania ryzyku związanemu z klęskami żywiołowymi i katastrofami, a także odporności, z uwzględnieniem podejścia ekosystemowego, cs (v): Wspieranie dostępu do wody oraz zrównoważonej gospodarki wodnej; cs (vi) Wspieranie transformacji w kierunku gospodarki o obiegu zamkniętym i gospodarki zasobooszczędnej, cs vii): Wzmacnianie ochrony i zachowania przyrody, różnorodności biologicznej oraz zielonej infrastruktury, w tym na obszarach miejskich, oraz ograniczanie wszelkich rodzajów zanieczyszczenia, </w:t>
      </w:r>
      <w:r w:rsidR="00552B4C" w:rsidRPr="001C0BFA">
        <w:rPr>
          <w:szCs w:val="24"/>
        </w:rPr>
        <w:t>a</w:t>
      </w:r>
      <w:r w:rsidR="00552B4C">
        <w:rPr>
          <w:szCs w:val="24"/>
        </w:rPr>
        <w:t> </w:t>
      </w:r>
      <w:r w:rsidR="00552B4C" w:rsidRPr="001C0BFA">
        <w:rPr>
          <w:szCs w:val="24"/>
        </w:rPr>
        <w:t>także</w:t>
      </w:r>
      <w:r w:rsidR="00552B4C" w:rsidRPr="001C0BFA">
        <w:rPr>
          <w:i/>
          <w:szCs w:val="24"/>
        </w:rPr>
        <w:t xml:space="preserve"> </w:t>
      </w:r>
      <w:r w:rsidR="00552B4C" w:rsidRPr="001C0BFA">
        <w:rPr>
          <w:rFonts w:cstheme="minorHAnsi"/>
          <w:szCs w:val="24"/>
        </w:rPr>
        <w:t xml:space="preserve">w ramach Priorytetu 3. </w:t>
      </w:r>
      <w:r w:rsidR="00552B4C" w:rsidRPr="001C0BFA">
        <w:rPr>
          <w:rFonts w:cstheme="minorHAnsi"/>
          <w:b/>
          <w:i/>
          <w:szCs w:val="24"/>
        </w:rPr>
        <w:t xml:space="preserve">FUNDUSZE EUROPEJSKIE NA RZECZ MOBILNEGO POMORZA ZACHODNIEGO </w:t>
      </w:r>
      <w:r w:rsidR="00552B4C" w:rsidRPr="001C0BFA">
        <w:rPr>
          <w:rFonts w:cstheme="minorHAnsi"/>
          <w:szCs w:val="24"/>
        </w:rPr>
        <w:t>w ramach celu szczegółowego</w:t>
      </w:r>
      <w:r w:rsidR="00552B4C" w:rsidRPr="001C0BFA">
        <w:rPr>
          <w:rFonts w:cstheme="minorHAnsi"/>
          <w:i/>
          <w:szCs w:val="24"/>
        </w:rPr>
        <w:t xml:space="preserve"> cs (viii): Wspieranie zrównoważonej multimodalnej mobilności miejskiej jako elementu transformacji w kierunku gospodarki zeroemisyjnej</w:t>
      </w:r>
      <w:r w:rsidR="00552B4C" w:rsidRPr="001C0BFA">
        <w:rPr>
          <w:i/>
          <w:szCs w:val="24"/>
        </w:rPr>
        <w:t xml:space="preserve">. </w:t>
      </w:r>
      <w:r w:rsidR="00552B4C" w:rsidRPr="001C0BFA">
        <w:rPr>
          <w:szCs w:val="24"/>
        </w:rPr>
        <w:t xml:space="preserve">Potencjalnym negatywnym oddziaływaniem na środowisko będą charakteryzowały się działania związane są z inwestycjami w infrastrukturę komunikacyjną, zwłaszcza na obszarach miejskich. Realizacja tych działań powodowała będzie krótkoterminowe negatywne odziaływania na etapie budowy obejmujące zniszczenia szaty roślinnej, siedlisk przyrodniczych, płoszenie zwierząt w granicy terenu inwestycji lub w bliskiej odległości w związku z zanieczyszczeniem hałasem i światłem, czy pogorszenie powierzchni ziemi. W chwili zakończenia inwestycji (budowy, przebudowy, modernizacji), przewiduje się, że oddziaływania krótkoterminowe ustąpią, a stan poszczególnych komponentów środowiska (np. powierzchni ziemi) zostanie przywrócony do pierwotnego. </w:t>
      </w:r>
    </w:p>
    <w:p w14:paraId="2868FF9E" w14:textId="77777777" w:rsidR="00552B4C" w:rsidRPr="001C0BFA" w:rsidRDefault="00552B4C" w:rsidP="002B5007">
      <w:pPr>
        <w:rPr>
          <w:szCs w:val="24"/>
        </w:rPr>
      </w:pPr>
      <w:r w:rsidRPr="001C0BFA">
        <w:rPr>
          <w:szCs w:val="24"/>
        </w:rPr>
        <w:t>Dla działań długoterminowych bezpośrednio oddziaływujących na stan środowiska, czy to na etapie realizacji, czy to w późniejszej perspektywie w trakcie funkcjonowania (oddziaływania pośrednie) zaplanowano odpowiednie działania prewencyjne i minimalizujące.</w:t>
      </w:r>
    </w:p>
    <w:p w14:paraId="5F23243E" w14:textId="77777777" w:rsidR="00552B4C" w:rsidRPr="001C0BFA" w:rsidRDefault="00552B4C" w:rsidP="002B5007">
      <w:pPr>
        <w:rPr>
          <w:szCs w:val="24"/>
          <w:highlight w:val="yellow"/>
        </w:rPr>
      </w:pPr>
      <w:r w:rsidRPr="001C0BFA">
        <w:rPr>
          <w:szCs w:val="24"/>
        </w:rPr>
        <w:t xml:space="preserve">Potencjalnego negatywnego oddziaływania można również spodziewać się w wyniku realizacji działań w ramach celu szczegółowego </w:t>
      </w:r>
      <w:r w:rsidRPr="001C0BFA">
        <w:rPr>
          <w:rFonts w:eastAsia="Times New Roman" w:cstheme="minorHAnsi"/>
          <w:i/>
          <w:szCs w:val="24"/>
        </w:rPr>
        <w:t>cs (ii</w:t>
      </w:r>
      <w:r w:rsidRPr="001C0BFA">
        <w:rPr>
          <w:rFonts w:eastAsia="Times New Roman" w:cstheme="minorHAnsi"/>
          <w:szCs w:val="24"/>
        </w:rPr>
        <w:t xml:space="preserve">): </w:t>
      </w:r>
      <w:r w:rsidRPr="001C0BFA">
        <w:rPr>
          <w:rFonts w:eastAsia="Times New Roman" w:cstheme="minorHAnsi"/>
          <w:i/>
          <w:szCs w:val="24"/>
        </w:rPr>
        <w:t xml:space="preserve">Rozwój i udoskonalanie zrównoważonej, odpornej na zmiany klimatu, inteligentnej i intermodalnej mobilności na poziomie krajowym, regionalnym i lokalnym, w tym poprawę dostępu do TEN-T oraz mobilności transgranicznej </w:t>
      </w:r>
      <w:r w:rsidRPr="001C0BFA">
        <w:rPr>
          <w:rFonts w:eastAsia="Times New Roman" w:cstheme="minorHAnsi"/>
          <w:szCs w:val="24"/>
        </w:rPr>
        <w:t xml:space="preserve">(Priorytet 4. </w:t>
      </w:r>
      <w:r w:rsidRPr="001C0BFA">
        <w:rPr>
          <w:rFonts w:eastAsia="Times New Roman" w:cstheme="minorHAnsi"/>
          <w:b/>
          <w:i/>
          <w:szCs w:val="24"/>
        </w:rPr>
        <w:t>FUNDUSZE EUROPEJSKIE NA RZECZ POŁĄCZONEGO POMORZA ZACHODNIEGO</w:t>
      </w:r>
      <w:r w:rsidRPr="001C0BFA">
        <w:rPr>
          <w:rFonts w:eastAsia="Times New Roman" w:cstheme="minorHAnsi"/>
          <w:szCs w:val="24"/>
        </w:rPr>
        <w:t xml:space="preserve">) obejmującego inwestycje związane z budową </w:t>
      </w:r>
      <w:r w:rsidRPr="001C0BFA">
        <w:rPr>
          <w:rFonts w:eastAsia="Times New Roman" w:cstheme="minorHAnsi"/>
          <w:noProof/>
          <w:szCs w:val="24"/>
        </w:rPr>
        <w:t>obwodnic dróg wojewódzkich oraz budową lub modernizacją dróg gminnych i powiatowych.</w:t>
      </w:r>
      <w:r w:rsidRPr="001C0BFA">
        <w:rPr>
          <w:rFonts w:eastAsia="Times New Roman" w:cstheme="minorHAnsi"/>
          <w:szCs w:val="24"/>
        </w:rPr>
        <w:t xml:space="preserve"> </w:t>
      </w:r>
      <w:r w:rsidRPr="001C0BFA">
        <w:rPr>
          <w:rFonts w:eastAsia="Times New Roman" w:cstheme="minorHAnsi"/>
          <w:noProof/>
          <w:szCs w:val="24"/>
        </w:rPr>
        <w:t>Potencjalne negatywne odziaływanie na bioróżnorodność roślin i zwierząt, a także ich siedliska może nastąpić głównie w fazie realizacji inwestycji i może wiązać się z zajęciem areału siedliska pod pas drogowy lub inną infrastrukturę transportową, wycinką drzew i krzewów, zniszczeniem lub przeobrażeniem siedlisk przyrodniczych, wykopami przemieszczaniem dużych ilości mas ziemnych, składowaniem materiałów i odpadów budowlanych, wzmożoną emisją zanieczyszczeń i hałasu, płoszeniem i wzrostem śmiertelności zwierząt. Zanieczyszczenie środowiska wodno-glebowego oraz naruszenie reżimu wodnego może spowodować pogorszenie jakości siedlisk przyrodniczych bądź ich zniszczenie. W kontekście oddziaływań długoterminowych należy wskazać, że linie komunikacyjne mogą stanowić dogodną drogę do rozprzestrzeniania się gatunków obcych, w tym także inwazyjnych. Wszelkie zaburzenia w już istniejących układach biologicznych zlokalizowanych w sąsiedztwie drogi, mogą ten proces przyspieszać lub ułatwiać. Potecnjalne negatywne i długoterminowe oddziaływanie wiązać może się ze wzrostem ryzyka kolizji pojazdów ze zwierzętami oraz wystąpieneim efektu barierowego, związanego z fragmentacją siedlisk, w tym pogorszenie stanu i funkcjanlności korytarzy migracyjnych, utratą intergralności korytarzy ekologicznych, jak też wystąpić mogą negatywne oddziaływania na obszary chronione oraz przedmioty ochrony.</w:t>
      </w:r>
    </w:p>
    <w:p w14:paraId="6232422D" w14:textId="77777777" w:rsidR="00552B4C" w:rsidRPr="001C0BFA" w:rsidRDefault="00552B4C" w:rsidP="002B5007">
      <w:pPr>
        <w:rPr>
          <w:rFonts w:eastAsia="Times New Roman" w:cstheme="minorHAnsi"/>
          <w:szCs w:val="24"/>
        </w:rPr>
      </w:pPr>
      <w:r w:rsidRPr="001C0BFA">
        <w:rPr>
          <w:szCs w:val="24"/>
        </w:rPr>
        <w:t xml:space="preserve">Potencjalnego, choć w znacząco mniejszym zakresie, oddziaływania na środowisko można również spodziewać się w wyniku realizacji działań w ramach </w:t>
      </w:r>
      <w:r w:rsidRPr="001C0BFA">
        <w:rPr>
          <w:rFonts w:eastAsia="Times New Roman" w:cstheme="minorHAnsi"/>
          <w:szCs w:val="24"/>
        </w:rPr>
        <w:t xml:space="preserve">Priorytetu 5. </w:t>
      </w:r>
      <w:r w:rsidRPr="001C0BFA">
        <w:rPr>
          <w:rFonts w:eastAsia="Times New Roman" w:cstheme="minorHAnsi"/>
          <w:b/>
          <w:bCs/>
          <w:i/>
          <w:szCs w:val="24"/>
        </w:rPr>
        <w:t>FUNDUSZE EUROPEJSKIE NA RZECZ PRZYJAZNEGO MIESZKANKOM I MIESZKAŃCOM POMORZA ZACHODNIEGO</w:t>
      </w:r>
      <w:r w:rsidRPr="001C0BFA">
        <w:rPr>
          <w:rFonts w:eastAsia="Times New Roman" w:cstheme="minorHAnsi"/>
          <w:szCs w:val="24"/>
        </w:rPr>
        <w:t>. Potencjalne negatywne oddziaływanie może wynikać z prowadzonych prac budowlanych w ramach projektów obejmujących: budowę (tylko w uzasadnionych sytuacjach), przebudowę, rozbudowę i funkcjonalne dostosowanie szkół i placówek oświatowych (</w:t>
      </w:r>
      <w:r w:rsidRPr="001C0BFA">
        <w:rPr>
          <w:rFonts w:eastAsia="Times New Roman" w:cstheme="minorHAnsi"/>
          <w:i/>
          <w:szCs w:val="24"/>
        </w:rPr>
        <w:t>cs (ii):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w:t>
      </w:r>
      <w:r w:rsidRPr="001C0BFA">
        <w:rPr>
          <w:rFonts w:eastAsia="Times New Roman" w:cstheme="minorHAnsi"/>
          <w:szCs w:val="24"/>
        </w:rPr>
        <w:t>); budowę, rozbudowę hosteli, schronisk (</w:t>
      </w:r>
      <w:r w:rsidRPr="001C0BFA">
        <w:rPr>
          <w:rFonts w:eastAsia="Times New Roman" w:cstheme="minorHAnsi"/>
          <w:i/>
          <w:szCs w:val="24"/>
        </w:rPr>
        <w:t>cs</w:t>
      </w:r>
      <w:r>
        <w:rPr>
          <w:rFonts w:eastAsia="Times New Roman" w:cstheme="minorHAnsi"/>
          <w:i/>
          <w:szCs w:val="24"/>
        </w:rPr>
        <w:t> </w:t>
      </w:r>
      <w:r w:rsidRPr="001C0BFA">
        <w:rPr>
          <w:rFonts w:eastAsia="Times New Roman" w:cstheme="minorHAnsi"/>
          <w:i/>
          <w:szCs w:val="24"/>
        </w:rPr>
        <w:t>(iv): Wspieranie integracji społeczno-gospodarczej obywateli państw trzecich, w tym migrantów, dzięki zintegrowanym działaniom obejmującym usługi mieszkaniowe i usługi społeczne</w:t>
      </w:r>
      <w:r w:rsidRPr="001C0BFA">
        <w:rPr>
          <w:rFonts w:eastAsia="Times New Roman" w:cstheme="minorHAnsi"/>
          <w:szCs w:val="24"/>
        </w:rPr>
        <w:t>); budowę (w wyjątkowych, uzasadnionych przypadkach), przebudowę, modernizację obiektów ochrony zdrowia (</w:t>
      </w:r>
      <w:r w:rsidRPr="001C0BFA">
        <w:rPr>
          <w:rFonts w:eastAsia="Times New Roman" w:cstheme="minorHAnsi"/>
          <w:i/>
          <w:szCs w:val="24"/>
        </w:rPr>
        <w:t>cs (v): Zapewnianie równego dostępu do opieki zdrowotnej i wspieranie odporności systemów opieki zdrowotnej, w tym podstawowej opieki zdrowotnej, oraz wspieranie przechodzenia od opieki instytucjonalnej do opieki rodzinnej i</w:t>
      </w:r>
      <w:r>
        <w:rPr>
          <w:rFonts w:eastAsia="Times New Roman" w:cstheme="minorHAnsi"/>
          <w:i/>
          <w:szCs w:val="24"/>
        </w:rPr>
        <w:t> </w:t>
      </w:r>
      <w:r w:rsidRPr="001C0BFA">
        <w:rPr>
          <w:rFonts w:eastAsia="Times New Roman" w:cstheme="minorHAnsi"/>
          <w:i/>
          <w:szCs w:val="24"/>
        </w:rPr>
        <w:t xml:space="preserve">środowiskowej); </w:t>
      </w:r>
      <w:r w:rsidRPr="001C0BFA">
        <w:rPr>
          <w:rFonts w:eastAsia="Times New Roman" w:cstheme="minorHAnsi"/>
          <w:szCs w:val="24"/>
        </w:rPr>
        <w:t>budowę, rozbudowę i modernizację obiektów instytucji kultury, budowę i</w:t>
      </w:r>
      <w:r>
        <w:rPr>
          <w:rFonts w:eastAsia="Times New Roman" w:cstheme="minorHAnsi"/>
          <w:szCs w:val="24"/>
        </w:rPr>
        <w:t> </w:t>
      </w:r>
      <w:r w:rsidRPr="001C0BFA">
        <w:rPr>
          <w:rFonts w:eastAsia="Times New Roman" w:cstheme="minorHAnsi"/>
          <w:szCs w:val="24"/>
        </w:rPr>
        <w:t>rozbudowę infrastruktury poprawiającej dostępność obiektów i atrakcji turystycznych (m.in. parkingi, ciągi komunikacyjne i infrastruktura dla osób z niepełnosprawnościami) oraz zagospodarowanie ich bezpośredniego otoczenia (</w:t>
      </w:r>
      <w:r w:rsidRPr="001C0BFA">
        <w:rPr>
          <w:rFonts w:eastAsia="Times New Roman" w:cstheme="minorHAnsi"/>
          <w:i/>
          <w:szCs w:val="24"/>
        </w:rPr>
        <w:t>cs (vi): Wzmocnienie roli kultury i turystyki w rozwoju gospodarczym, włączeniu społecznym i innowacjach społecznych</w:t>
      </w:r>
      <w:r w:rsidRPr="001C0BFA">
        <w:rPr>
          <w:rFonts w:eastAsia="Times New Roman" w:cstheme="minorHAnsi"/>
          <w:szCs w:val="24"/>
        </w:rPr>
        <w:t>). Oddziaływania te jednak będą miały charakter lokalny i krótkoterminowy.</w:t>
      </w:r>
    </w:p>
    <w:p w14:paraId="3D21A884" w14:textId="66440D92" w:rsidR="00552B4C" w:rsidRPr="001C0BFA" w:rsidRDefault="00C92FFB" w:rsidP="002B5007">
      <w:pPr>
        <w:rPr>
          <w:szCs w:val="24"/>
        </w:rPr>
      </w:pPr>
      <w:r>
        <w:rPr>
          <w:szCs w:val="24"/>
        </w:rPr>
        <w:t>Ocena środowiskowa d</w:t>
      </w:r>
      <w:r w:rsidR="00552B4C" w:rsidRPr="001C0BFA">
        <w:rPr>
          <w:szCs w:val="24"/>
        </w:rPr>
        <w:t>ziała</w:t>
      </w:r>
      <w:r>
        <w:rPr>
          <w:szCs w:val="24"/>
        </w:rPr>
        <w:t>ń</w:t>
      </w:r>
      <w:r w:rsidR="00552B4C" w:rsidRPr="001C0BFA">
        <w:rPr>
          <w:szCs w:val="24"/>
        </w:rPr>
        <w:t xml:space="preserve"> inwestycyjn</w:t>
      </w:r>
      <w:r>
        <w:rPr>
          <w:szCs w:val="24"/>
        </w:rPr>
        <w:t>ych</w:t>
      </w:r>
      <w:r w:rsidR="00552B4C" w:rsidRPr="001C0BFA">
        <w:rPr>
          <w:szCs w:val="24"/>
        </w:rPr>
        <w:t xml:space="preserve"> prowadzon</w:t>
      </w:r>
      <w:r>
        <w:rPr>
          <w:szCs w:val="24"/>
        </w:rPr>
        <w:t>ych</w:t>
      </w:r>
      <w:r w:rsidR="00552B4C" w:rsidRPr="001C0BFA">
        <w:rPr>
          <w:szCs w:val="24"/>
        </w:rPr>
        <w:t xml:space="preserve"> w ramach Programu </w:t>
      </w:r>
      <w:r w:rsidR="00D4052B">
        <w:rPr>
          <w:szCs w:val="24"/>
        </w:rPr>
        <w:t>FEPZ</w:t>
      </w:r>
      <w:r w:rsidR="00552B4C" w:rsidRPr="001C0BFA">
        <w:rPr>
          <w:szCs w:val="24"/>
        </w:rPr>
        <w:t xml:space="preserve"> 2021-2027</w:t>
      </w:r>
      <w:r w:rsidR="00552B4C" w:rsidRPr="001C0BFA">
        <w:rPr>
          <w:rFonts w:eastAsia="Times New Roman" w:cstheme="minorHAnsi"/>
          <w:szCs w:val="24"/>
        </w:rPr>
        <w:t xml:space="preserve"> </w:t>
      </w:r>
      <w:r>
        <w:rPr>
          <w:szCs w:val="24"/>
        </w:rPr>
        <w:t xml:space="preserve">uwzględnia </w:t>
      </w:r>
      <w:r w:rsidRPr="001C0BFA">
        <w:rPr>
          <w:szCs w:val="24"/>
        </w:rPr>
        <w:t>cząstkową</w:t>
      </w:r>
      <w:r w:rsidR="00552B4C" w:rsidRPr="001C0BFA">
        <w:rPr>
          <w:szCs w:val="24"/>
        </w:rPr>
        <w:t xml:space="preserve"> ocen</w:t>
      </w:r>
      <w:r>
        <w:rPr>
          <w:szCs w:val="24"/>
        </w:rPr>
        <w:t>ę</w:t>
      </w:r>
      <w:r w:rsidR="00552B4C" w:rsidRPr="001C0BFA">
        <w:rPr>
          <w:szCs w:val="24"/>
        </w:rPr>
        <w:t xml:space="preserve"> oddziaływań </w:t>
      </w:r>
      <w:r>
        <w:rPr>
          <w:szCs w:val="24"/>
        </w:rPr>
        <w:t xml:space="preserve">realizowanych w ramach </w:t>
      </w:r>
      <w:r w:rsidR="00552B4C" w:rsidRPr="001C0BFA">
        <w:rPr>
          <w:szCs w:val="24"/>
        </w:rPr>
        <w:t xml:space="preserve">przewidzianych do realizacji </w:t>
      </w:r>
      <w:r>
        <w:rPr>
          <w:szCs w:val="24"/>
        </w:rPr>
        <w:t>celów</w:t>
      </w:r>
      <w:r w:rsidR="00552B4C" w:rsidRPr="001C0BFA">
        <w:rPr>
          <w:szCs w:val="24"/>
        </w:rPr>
        <w:t xml:space="preserve"> Programu, jak i z oceny możliwości kumulacji tych oddziaływań z oddziaływaniami wynikającymi z planowanymi do realizacji w najbliższych latach innymi dokumentami strategicznymi, planami i programami na obszarze województwa zachodniopomorskiego. Kumulacja negatywnych oddziaływań Programu </w:t>
      </w:r>
      <w:r w:rsidR="00D4052B">
        <w:rPr>
          <w:szCs w:val="24"/>
        </w:rPr>
        <w:t>FEPZ</w:t>
      </w:r>
      <w:r w:rsidR="00552B4C" w:rsidRPr="001C0BFA">
        <w:rPr>
          <w:szCs w:val="24"/>
        </w:rPr>
        <w:t xml:space="preserve"> 2021-2027 z oddziaływaniami ze strony innych strategii może wystąpić w dwóch skalach: </w:t>
      </w:r>
    </w:p>
    <w:p w14:paraId="4F4AA692" w14:textId="77777777" w:rsidR="00552B4C" w:rsidRPr="001C0BFA" w:rsidRDefault="00552B4C" w:rsidP="002B5007">
      <w:pPr>
        <w:numPr>
          <w:ilvl w:val="0"/>
          <w:numId w:val="52"/>
        </w:numPr>
        <w:rPr>
          <w:szCs w:val="24"/>
        </w:rPr>
      </w:pPr>
      <w:r w:rsidRPr="001C0BFA">
        <w:rPr>
          <w:szCs w:val="24"/>
        </w:rPr>
        <w:t>skala bezpośrednich oddziaływań wynikających z realizacji działań inwestycyjnych w chwili, gdy realizowane byłby one w tym samym miejscu i w tym samym czasie; oddziaływania te będą miały charakter oddziaływań krótkoterminowych i przemijających,</w:t>
      </w:r>
    </w:p>
    <w:p w14:paraId="7DE507FA" w14:textId="77777777" w:rsidR="00552B4C" w:rsidRPr="001C0BFA" w:rsidRDefault="00552B4C" w:rsidP="002B5007">
      <w:pPr>
        <w:numPr>
          <w:ilvl w:val="0"/>
          <w:numId w:val="52"/>
        </w:numPr>
        <w:rPr>
          <w:szCs w:val="24"/>
        </w:rPr>
      </w:pPr>
      <w:r w:rsidRPr="001C0BFA">
        <w:rPr>
          <w:szCs w:val="24"/>
        </w:rPr>
        <w:t xml:space="preserve">skala oddziaływań na poziomie skutków realizacji Programu. </w:t>
      </w:r>
    </w:p>
    <w:p w14:paraId="566FF2F6" w14:textId="0356D23D" w:rsidR="00552B4C" w:rsidRPr="001C0BFA" w:rsidRDefault="00552B4C" w:rsidP="002B5007">
      <w:pPr>
        <w:rPr>
          <w:szCs w:val="24"/>
        </w:rPr>
      </w:pPr>
      <w:r w:rsidRPr="001C0BFA">
        <w:rPr>
          <w:szCs w:val="24"/>
        </w:rPr>
        <w:t xml:space="preserve">Przewidziane do realizacji działania zabezpieczające pozwolą na znaczące ograniczenie powstawania skumulowanych oddziaływań w trakcie </w:t>
      </w:r>
      <w:r w:rsidRPr="001C0BFA">
        <w:rPr>
          <w:bCs/>
          <w:szCs w:val="24"/>
        </w:rPr>
        <w:t>r</w:t>
      </w:r>
      <w:r w:rsidRPr="001C0BFA">
        <w:rPr>
          <w:szCs w:val="24"/>
        </w:rPr>
        <w:t xml:space="preserve">ealizacji Programu </w:t>
      </w:r>
      <w:r w:rsidR="00D4052B">
        <w:rPr>
          <w:szCs w:val="24"/>
        </w:rPr>
        <w:t>FEPZ</w:t>
      </w:r>
      <w:r w:rsidRPr="001C0BFA">
        <w:rPr>
          <w:szCs w:val="24"/>
        </w:rPr>
        <w:t xml:space="preserve"> 2021-2027.</w:t>
      </w:r>
    </w:p>
    <w:p w14:paraId="1FC8ABD9" w14:textId="77777777" w:rsidR="00552B4C" w:rsidRPr="001C0BFA" w:rsidRDefault="00552B4C" w:rsidP="002B5007">
      <w:pPr>
        <w:rPr>
          <w:szCs w:val="24"/>
        </w:rPr>
      </w:pPr>
      <w:r w:rsidRPr="001C0BFA">
        <w:rPr>
          <w:szCs w:val="24"/>
        </w:rPr>
        <w:t>W przypadku niestosowania działań zabezpieczających oddziaływania skumulowane mogą przejawiać się przede wszystkim:</w:t>
      </w:r>
    </w:p>
    <w:p w14:paraId="70756D8F" w14:textId="77777777" w:rsidR="00552B4C" w:rsidRPr="001C0BFA" w:rsidRDefault="00552B4C" w:rsidP="002B5007">
      <w:pPr>
        <w:pStyle w:val="Akapitzlist"/>
        <w:numPr>
          <w:ilvl w:val="0"/>
          <w:numId w:val="51"/>
        </w:numPr>
        <w:rPr>
          <w:szCs w:val="24"/>
        </w:rPr>
      </w:pPr>
      <w:r w:rsidRPr="001C0BFA">
        <w:rPr>
          <w:szCs w:val="24"/>
        </w:rPr>
        <w:t>zmniejszeniem areału biologicznego oraz zaburzeniem ciągłości korytarzy ekologicznych,</w:t>
      </w:r>
    </w:p>
    <w:p w14:paraId="63F8FCF6" w14:textId="77777777" w:rsidR="00552B4C" w:rsidRPr="001C0BFA" w:rsidRDefault="00552B4C" w:rsidP="002B5007">
      <w:pPr>
        <w:pStyle w:val="Akapitzlist"/>
        <w:numPr>
          <w:ilvl w:val="0"/>
          <w:numId w:val="51"/>
        </w:numPr>
        <w:rPr>
          <w:szCs w:val="24"/>
        </w:rPr>
      </w:pPr>
      <w:r w:rsidRPr="001C0BFA">
        <w:rPr>
          <w:szCs w:val="24"/>
        </w:rPr>
        <w:t>zubożeniem zasobów naturalnych,</w:t>
      </w:r>
    </w:p>
    <w:p w14:paraId="620D4680" w14:textId="77777777" w:rsidR="00552B4C" w:rsidRPr="001C0BFA" w:rsidRDefault="00552B4C" w:rsidP="002B5007">
      <w:pPr>
        <w:pStyle w:val="Akapitzlist"/>
        <w:numPr>
          <w:ilvl w:val="0"/>
          <w:numId w:val="51"/>
        </w:numPr>
        <w:rPr>
          <w:szCs w:val="24"/>
        </w:rPr>
      </w:pPr>
      <w:r w:rsidRPr="001C0BFA">
        <w:rPr>
          <w:szCs w:val="24"/>
        </w:rPr>
        <w:t xml:space="preserve">lokalną emisją zanieczyszczeń do wód, gruntów i powietrza, </w:t>
      </w:r>
    </w:p>
    <w:p w14:paraId="3256943D" w14:textId="77777777" w:rsidR="00552B4C" w:rsidRPr="001C0BFA" w:rsidRDefault="00552B4C" w:rsidP="002B5007">
      <w:pPr>
        <w:pStyle w:val="Akapitzlist"/>
        <w:numPr>
          <w:ilvl w:val="0"/>
          <w:numId w:val="51"/>
        </w:numPr>
        <w:rPr>
          <w:szCs w:val="24"/>
        </w:rPr>
      </w:pPr>
      <w:r w:rsidRPr="001C0BFA">
        <w:rPr>
          <w:szCs w:val="24"/>
        </w:rPr>
        <w:t>negatywnymi zmianami w krajobrazie i naruszeniem ładu przestrzennego,</w:t>
      </w:r>
    </w:p>
    <w:p w14:paraId="3E81A5AD" w14:textId="77777777" w:rsidR="00552B4C" w:rsidRPr="001C0BFA" w:rsidRDefault="00552B4C" w:rsidP="002B5007">
      <w:pPr>
        <w:pStyle w:val="Akapitzlist"/>
        <w:numPr>
          <w:ilvl w:val="0"/>
          <w:numId w:val="51"/>
        </w:numPr>
        <w:rPr>
          <w:szCs w:val="24"/>
        </w:rPr>
      </w:pPr>
      <w:r w:rsidRPr="001C0BFA">
        <w:rPr>
          <w:szCs w:val="24"/>
        </w:rPr>
        <w:t>negatywnym wpływem na stan zabytków i dóbr materialnych,</w:t>
      </w:r>
    </w:p>
    <w:p w14:paraId="0EBDBC8F" w14:textId="77777777" w:rsidR="00552B4C" w:rsidRPr="001C0BFA" w:rsidRDefault="00552B4C" w:rsidP="002B5007">
      <w:pPr>
        <w:pStyle w:val="Akapitzlist"/>
        <w:numPr>
          <w:ilvl w:val="0"/>
          <w:numId w:val="51"/>
        </w:numPr>
        <w:rPr>
          <w:szCs w:val="24"/>
        </w:rPr>
      </w:pPr>
      <w:r w:rsidRPr="001C0BFA">
        <w:rPr>
          <w:szCs w:val="24"/>
        </w:rPr>
        <w:t xml:space="preserve">negatywnym wpływem na zdrowie i samopoczucie ludzi - głównie na etapie budowy w przypadku projektów inwestycyjnych. </w:t>
      </w:r>
    </w:p>
    <w:p w14:paraId="1FF78435" w14:textId="157B442B" w:rsidR="00552B4C" w:rsidRPr="001C0BFA" w:rsidRDefault="00552B4C" w:rsidP="002B5007">
      <w:pPr>
        <w:rPr>
          <w:rFonts w:eastAsia="Calibri" w:cs="Calibri"/>
          <w:szCs w:val="24"/>
          <w:lang w:eastAsia="pl-PL"/>
        </w:rPr>
      </w:pPr>
      <w:r w:rsidRPr="001C0BFA">
        <w:rPr>
          <w:rFonts w:eastAsia="Calibri" w:cs="Calibri"/>
          <w:szCs w:val="24"/>
          <w:lang w:eastAsia="pl-PL"/>
        </w:rPr>
        <w:t xml:space="preserve">W ramach prac nad Prognozą, ocenie poddano także </w:t>
      </w:r>
      <w:r w:rsidRPr="001C0BFA">
        <w:rPr>
          <w:rFonts w:eastAsia="Calibri" w:cs="Calibri"/>
          <w:b/>
          <w:bCs/>
          <w:szCs w:val="24"/>
          <w:lang w:eastAsia="pl-PL"/>
        </w:rPr>
        <w:t>możliwość wystąpienia znaczących oddziaływań na środowisko w aspekcie transgranicznym,</w:t>
      </w:r>
      <w:r w:rsidRPr="001C0BFA">
        <w:rPr>
          <w:rFonts w:eastAsia="Calibri" w:cs="Calibri"/>
          <w:szCs w:val="24"/>
          <w:lang w:eastAsia="pl-PL"/>
        </w:rPr>
        <w:t xml:space="preserve"> roz</w:t>
      </w:r>
      <w:r>
        <w:rPr>
          <w:rFonts w:eastAsia="Calibri" w:cs="Calibri"/>
          <w:szCs w:val="24"/>
          <w:lang w:eastAsia="pl-PL"/>
        </w:rPr>
        <w:t xml:space="preserve">umiane jako znaczące negatywne </w:t>
      </w:r>
      <w:r w:rsidRPr="001C0BFA">
        <w:rPr>
          <w:rFonts w:eastAsia="Calibri" w:cs="Calibri"/>
          <w:szCs w:val="24"/>
          <w:lang w:eastAsia="pl-PL"/>
        </w:rPr>
        <w:t xml:space="preserve">oddziaływanie przedsięwzięć planowanych do realizacji w ramach </w:t>
      </w:r>
      <w:r w:rsidR="00D4052B">
        <w:rPr>
          <w:rFonts w:eastAsia="Calibri" w:cs="Calibri"/>
          <w:szCs w:val="24"/>
          <w:lang w:eastAsia="pl-PL"/>
        </w:rPr>
        <w:t>FEPZ</w:t>
      </w:r>
      <w:r w:rsidRPr="001C0BFA">
        <w:rPr>
          <w:rFonts w:eastAsia="Calibri" w:cs="Calibri"/>
          <w:szCs w:val="24"/>
          <w:lang w:eastAsia="pl-PL"/>
        </w:rPr>
        <w:t xml:space="preserve"> 2021-2027 na kraje sąsiednie. </w:t>
      </w:r>
    </w:p>
    <w:p w14:paraId="759798F4" w14:textId="62B62ECE" w:rsidR="00552B4C" w:rsidRPr="001C0BFA" w:rsidRDefault="00552B4C" w:rsidP="002B5007">
      <w:pPr>
        <w:rPr>
          <w:szCs w:val="24"/>
        </w:rPr>
      </w:pPr>
      <w:r w:rsidRPr="001C0BFA">
        <w:rPr>
          <w:szCs w:val="24"/>
        </w:rPr>
        <w:t xml:space="preserve">Przedsięwzięcia zaplanowane w </w:t>
      </w:r>
      <w:r w:rsidR="00D4052B">
        <w:rPr>
          <w:szCs w:val="24"/>
        </w:rPr>
        <w:t>FEPZ</w:t>
      </w:r>
      <w:r w:rsidRPr="001C0BFA">
        <w:rPr>
          <w:szCs w:val="24"/>
        </w:rPr>
        <w:t xml:space="preserve"> 2021 – 2027 w zależności od rodzaju planowanych przedsięwzięć oraz ich skali będą charakteryzowały się różnym stopniem oddziaływania. Żadne z planowanych przedsięwzięć nie jest z założenia przedsięwzięciem transgranicznym, międzyregionalnym, czy transnarodowym.</w:t>
      </w:r>
    </w:p>
    <w:p w14:paraId="53D3AF37" w14:textId="77777777" w:rsidR="00552B4C" w:rsidRPr="001C0BFA" w:rsidRDefault="00552B4C" w:rsidP="002B5007">
      <w:pPr>
        <w:rPr>
          <w:szCs w:val="24"/>
        </w:rPr>
      </w:pPr>
      <w:r w:rsidRPr="001C0BFA">
        <w:rPr>
          <w:szCs w:val="24"/>
        </w:rPr>
        <w:t>Ewentualnym źródłem potencjalnych negatywnych oddziaływań transgranicznych mogą być przedsięwzięcia, realizowane bezpośrednio na lub przy granicy państwa, a także działania realizowane na ciekach czy zlewniach transgranicznych, w tym w szczególności inwestycje związane z budową, rozbudową lub modernizacją infrastruktury technicznej, pod warunkiem, iż w toku analiz stwierdzono by, iż przedsięwzięcia te powodują wystąpienie mierzalnych w skutkach oddziaływań o zasięgu wykraczającym poza teren kraju.</w:t>
      </w:r>
    </w:p>
    <w:p w14:paraId="7AF5C471" w14:textId="77777777" w:rsidR="00552B4C" w:rsidRPr="001C0BFA" w:rsidRDefault="00552B4C" w:rsidP="002B5007">
      <w:pPr>
        <w:rPr>
          <w:rFonts w:eastAsia="Calibri" w:cs="Calibri"/>
          <w:szCs w:val="24"/>
          <w:highlight w:val="yellow"/>
          <w:lang w:eastAsia="pl-PL"/>
        </w:rPr>
      </w:pPr>
      <w:r w:rsidRPr="001C0BFA">
        <w:rPr>
          <w:szCs w:val="24"/>
        </w:rPr>
        <w:t>Bardziej szczegółowa analiza oddziaływania transgranicznego będzie dotyczyła jedynie pojedynczych, konkretnych przedsięwzięć i będzie możliwa do przeprowadzenia na etapie oceny (raportu) oddziaływania na środowisko, dla inwestycji zdefiniowanych w ujęciu miejsca i skali.</w:t>
      </w:r>
    </w:p>
    <w:p w14:paraId="417E1FBB" w14:textId="4D4412E5" w:rsidR="00552B4C" w:rsidRPr="001C0BFA" w:rsidRDefault="00552B4C" w:rsidP="002B5007">
      <w:pPr>
        <w:rPr>
          <w:szCs w:val="24"/>
        </w:rPr>
      </w:pPr>
      <w:r w:rsidRPr="001C0BFA">
        <w:rPr>
          <w:szCs w:val="24"/>
        </w:rPr>
        <w:t xml:space="preserve">W przypadku całości analizowanego </w:t>
      </w:r>
      <w:r w:rsidRPr="001C0BFA">
        <w:rPr>
          <w:iCs/>
          <w:szCs w:val="24"/>
        </w:rPr>
        <w:t>Programu</w:t>
      </w:r>
      <w:r w:rsidRPr="001C0BFA">
        <w:rPr>
          <w:szCs w:val="24"/>
        </w:rPr>
        <w:t xml:space="preserve"> </w:t>
      </w:r>
      <w:r w:rsidR="00D4052B">
        <w:rPr>
          <w:szCs w:val="24"/>
        </w:rPr>
        <w:t>FEPZ</w:t>
      </w:r>
      <w:r w:rsidRPr="001C0BFA">
        <w:rPr>
          <w:szCs w:val="24"/>
        </w:rPr>
        <w:t xml:space="preserve"> 2021-2027, brak jest podstaw do jednoznacznej identyfikacji ryzyka wystąpienia znaczących negatywnych oddziaływań na kraje sąsiadujące, które zgodnie z artykułem 104 ustawy OOŚ, implikowałyby konieczność przeprowadzenia dla niego tzw. postępowania w sprawie transgranicznego oddziaływania na środowisko.</w:t>
      </w:r>
    </w:p>
    <w:p w14:paraId="1E942C5E" w14:textId="77777777" w:rsidR="00552B4C" w:rsidRPr="001C0BFA" w:rsidRDefault="00552B4C" w:rsidP="002B5007">
      <w:pPr>
        <w:rPr>
          <w:szCs w:val="24"/>
        </w:rPr>
      </w:pPr>
      <w:r w:rsidRPr="001C0BFA">
        <w:rPr>
          <w:szCs w:val="24"/>
        </w:rPr>
        <w:t xml:space="preserve">Dla działań długoterminowych bezpośrednio oddziaływujących w stan środowiska, czy to na etapie realizacji, czy to w późniejszej perspektywie w trakcie funkcjonowania (oddziaływania pośrednie), </w:t>
      </w:r>
      <w:r w:rsidRPr="001C0BFA">
        <w:rPr>
          <w:bCs/>
          <w:szCs w:val="24"/>
        </w:rPr>
        <w:t xml:space="preserve">w szczególności na cele i przedmiot ochrony obszaru Natura 2000 oraz na integralność tego obszaru, zaproponowano rozwiązania mające na celu </w:t>
      </w:r>
      <w:r w:rsidRPr="001C0BFA">
        <w:rPr>
          <w:b/>
          <w:bCs/>
          <w:szCs w:val="24"/>
        </w:rPr>
        <w:t>zapobieganie, ograniczanie lub kompensację przyrodniczą.</w:t>
      </w:r>
      <w:r w:rsidRPr="001C0BFA">
        <w:rPr>
          <w:bCs/>
          <w:szCs w:val="24"/>
        </w:rPr>
        <w:t xml:space="preserve"> Do przedstawionych działań minimalizujących </w:t>
      </w:r>
      <w:r w:rsidRPr="001C0BFA">
        <w:rPr>
          <w:szCs w:val="24"/>
        </w:rPr>
        <w:t>zaliczyć można zarówno środki techniczne i nietechniczne wykluczające lub ograniczające szkodliwość wpływu inwestycji na przedmioty ochrony u źródła powstawania ewentualnego wpływu negatywnego</w:t>
      </w:r>
      <w:r w:rsidRPr="001C0BFA">
        <w:rPr>
          <w:rFonts w:cstheme="minorHAnsi"/>
          <w:szCs w:val="24"/>
        </w:rPr>
        <w:t xml:space="preserve"> na poszczególne komponenty środowiska, w sposób szczególny uwzględniając obszary Natura 2000</w:t>
      </w:r>
      <w:r w:rsidRPr="001C0BFA">
        <w:rPr>
          <w:szCs w:val="24"/>
        </w:rPr>
        <w:t xml:space="preserve">, które szczegółowo przedstawiono w prognozie. </w:t>
      </w:r>
    </w:p>
    <w:p w14:paraId="3576C70C" w14:textId="77777777" w:rsidR="00552B4C" w:rsidRPr="001C0BFA" w:rsidRDefault="00552B4C" w:rsidP="002B5007">
      <w:pPr>
        <w:rPr>
          <w:rFonts w:eastAsia="Calibri" w:cs="Calibri"/>
          <w:b/>
          <w:bCs/>
          <w:szCs w:val="24"/>
          <w:lang w:eastAsia="pl-PL"/>
        </w:rPr>
      </w:pPr>
      <w:r w:rsidRPr="001C0BFA">
        <w:rPr>
          <w:rFonts w:eastAsia="Calibri" w:cs="Calibri"/>
          <w:szCs w:val="24"/>
          <w:lang w:eastAsia="pl-PL"/>
        </w:rPr>
        <w:t>Jednym z elementów prowadzonych analiz w ramach opracowywanej Prognozy była</w:t>
      </w:r>
      <w:r w:rsidRPr="001C0BFA">
        <w:rPr>
          <w:rFonts w:eastAsia="Calibri" w:cs="Calibri"/>
          <w:b/>
          <w:bCs/>
          <w:szCs w:val="24"/>
          <w:lang w:eastAsia="pl-PL"/>
        </w:rPr>
        <w:t xml:space="preserve"> analiza wariantowa. </w:t>
      </w:r>
    </w:p>
    <w:p w14:paraId="28BEFA57" w14:textId="55A518B3" w:rsidR="00552B4C" w:rsidRPr="001C0BFA" w:rsidRDefault="00552B4C" w:rsidP="002B5007">
      <w:pPr>
        <w:rPr>
          <w:rFonts w:eastAsia="Calibri" w:cs="Calibri"/>
          <w:szCs w:val="24"/>
          <w:lang w:eastAsia="pl-PL"/>
        </w:rPr>
      </w:pPr>
      <w:r w:rsidRPr="001C0BFA">
        <w:rPr>
          <w:rFonts w:eastAsia="Calibri" w:cs="Calibri"/>
          <w:szCs w:val="24"/>
          <w:lang w:eastAsia="pl-PL"/>
        </w:rPr>
        <w:t xml:space="preserve">Analizie poddano zarówno wariant „0” polegający na odstąpieniu od realizacji całego programu </w:t>
      </w:r>
      <w:r w:rsidR="00D4052B">
        <w:rPr>
          <w:rFonts w:eastAsia="Calibri" w:cs="Calibri"/>
          <w:szCs w:val="24"/>
          <w:lang w:eastAsia="pl-PL"/>
        </w:rPr>
        <w:t>FEPZ</w:t>
      </w:r>
      <w:r w:rsidRPr="001C0BFA">
        <w:rPr>
          <w:rFonts w:eastAsia="Calibri" w:cs="Calibri"/>
          <w:szCs w:val="24"/>
          <w:lang w:eastAsia="pl-PL"/>
        </w:rPr>
        <w:t xml:space="preserve"> 2021-2027. </w:t>
      </w:r>
    </w:p>
    <w:p w14:paraId="4196B36C" w14:textId="68826745" w:rsidR="00552B4C" w:rsidRPr="001C0BFA" w:rsidRDefault="00552B4C" w:rsidP="002B5007">
      <w:pPr>
        <w:rPr>
          <w:rFonts w:eastAsia="Calibri" w:cs="Calibri"/>
          <w:szCs w:val="24"/>
          <w:lang w:eastAsia="pl-PL"/>
        </w:rPr>
      </w:pPr>
      <w:r w:rsidRPr="001C0BFA">
        <w:rPr>
          <w:rFonts w:eastAsia="Calibri" w:cs="Calibri"/>
          <w:szCs w:val="24"/>
          <w:lang w:eastAsia="pl-PL"/>
        </w:rPr>
        <w:t xml:space="preserve">Brak realizacji Projektu </w:t>
      </w:r>
      <w:r w:rsidR="00D4052B">
        <w:rPr>
          <w:rFonts w:eastAsia="Calibri" w:cs="Calibri"/>
          <w:szCs w:val="24"/>
          <w:lang w:eastAsia="pl-PL"/>
        </w:rPr>
        <w:t>FEPZ</w:t>
      </w:r>
      <w:r w:rsidRPr="001C0BFA">
        <w:rPr>
          <w:rFonts w:eastAsia="Calibri" w:cs="Calibri"/>
          <w:szCs w:val="24"/>
          <w:lang w:eastAsia="pl-PL"/>
        </w:rPr>
        <w:t xml:space="preserve"> 2021-2027 może spowodować zaniechanie lub ograniczenie realizacji działań istotnych z punktu widzenia ochrony przyrody i ochrony środowiska, w tym w odniesieniu do różnorodności biologicznej, roślin, zwierząt, obszarów chronionych i obszarów Natura 2000. Niektóre z działań mogą być realizowane, ale w tempie, na jakie pozwalają dostępne środki. Ponieważ środki te są ograniczone, Program wpłynie na ich szybsze osiągniecie, a w niektórych przypadkach pozwoli na zrealizowanie działań, które nie zostałyby wykonane w przypadku braku realizacji Programu.</w:t>
      </w:r>
    </w:p>
    <w:p w14:paraId="4D6E0B94" w14:textId="1DD1120C" w:rsidR="00552B4C" w:rsidRPr="001C0BFA" w:rsidRDefault="00552B4C" w:rsidP="002B5007">
      <w:pPr>
        <w:rPr>
          <w:szCs w:val="24"/>
        </w:rPr>
      </w:pPr>
      <w:r w:rsidRPr="001C0BFA">
        <w:rPr>
          <w:szCs w:val="24"/>
        </w:rPr>
        <w:t xml:space="preserve">W związku z powyższym, zrezygnowanie z przyjęcia Projektu </w:t>
      </w:r>
      <w:r w:rsidR="00D4052B">
        <w:rPr>
          <w:szCs w:val="24"/>
        </w:rPr>
        <w:t>FEPZ</w:t>
      </w:r>
      <w:r w:rsidRPr="001C0BFA">
        <w:rPr>
          <w:szCs w:val="24"/>
        </w:rPr>
        <w:t xml:space="preserve"> 2021-2027 nie spowoduje poprawy lub zmniejszenia oddziaływania stanu obecnego na jakość środowiska. Negatywne skutki braku realizacji Projektu </w:t>
      </w:r>
      <w:r w:rsidR="00D4052B">
        <w:rPr>
          <w:szCs w:val="24"/>
        </w:rPr>
        <w:t>FEPZ</w:t>
      </w:r>
      <w:r w:rsidRPr="001C0BFA">
        <w:rPr>
          <w:szCs w:val="24"/>
        </w:rPr>
        <w:t xml:space="preserve"> 2021-2027 mogą nasuwać wniosek, że korzystnym z punktu środowiskowego, społecznego i gospodarczego jest wariant doprowadzenia do realizacji Projektu.</w:t>
      </w:r>
    </w:p>
    <w:p w14:paraId="11BF0256" w14:textId="498253FB" w:rsidR="00552B4C" w:rsidRPr="001C0BFA" w:rsidRDefault="00552B4C" w:rsidP="002B5007">
      <w:pPr>
        <w:rPr>
          <w:szCs w:val="24"/>
        </w:rPr>
      </w:pPr>
      <w:r w:rsidRPr="001C0BFA">
        <w:rPr>
          <w:rFonts w:eastAsia="Calibri" w:cs="Calibri"/>
          <w:szCs w:val="24"/>
          <w:lang w:eastAsia="pl-PL"/>
        </w:rPr>
        <w:t xml:space="preserve">W Prognozie przedstawiono także </w:t>
      </w:r>
      <w:r w:rsidRPr="001C0BFA">
        <w:rPr>
          <w:rFonts w:eastAsia="Calibri" w:cs="Calibri"/>
          <w:b/>
          <w:szCs w:val="24"/>
          <w:lang w:eastAsia="pl-PL"/>
        </w:rPr>
        <w:t>możliwe rozwiązania alternatywne</w:t>
      </w:r>
      <w:r w:rsidRPr="001C0BFA">
        <w:rPr>
          <w:rFonts w:eastAsia="Calibri" w:cs="Calibri"/>
          <w:szCs w:val="24"/>
          <w:lang w:eastAsia="pl-PL"/>
        </w:rPr>
        <w:t xml:space="preserve"> dla rozwiązań przyjętych w projekcie </w:t>
      </w:r>
      <w:r w:rsidR="00D4052B">
        <w:rPr>
          <w:rFonts w:eastAsia="Calibri" w:cs="Calibri"/>
          <w:szCs w:val="24"/>
          <w:lang w:eastAsia="pl-PL"/>
        </w:rPr>
        <w:t>FEPZ</w:t>
      </w:r>
      <w:r w:rsidRPr="001C0BFA">
        <w:rPr>
          <w:rFonts w:eastAsia="Calibri" w:cs="Calibri"/>
          <w:szCs w:val="24"/>
          <w:lang w:eastAsia="pl-PL"/>
        </w:rPr>
        <w:t xml:space="preserve"> 2021-2027. Kryteria wariantów alternatywnych odnoszą się zasadniczo do projektowanych przedsięwzięć w ramach procedury OOŚ i obejmują alternatywne </w:t>
      </w:r>
      <w:r w:rsidRPr="001C0BFA">
        <w:rPr>
          <w:szCs w:val="24"/>
        </w:rPr>
        <w:t>warianty organizacyjne, lokalizacyjne, technologiczne oraz dotycząca terminu realizacji przedsięwzięcia.</w:t>
      </w:r>
    </w:p>
    <w:p w14:paraId="67C9615A" w14:textId="55BE1CD1" w:rsidR="00552B4C" w:rsidRPr="001C0BFA" w:rsidRDefault="00552B4C" w:rsidP="002B5007">
      <w:pPr>
        <w:rPr>
          <w:szCs w:val="24"/>
          <w:highlight w:val="yellow"/>
        </w:rPr>
      </w:pPr>
      <w:r w:rsidRPr="001C0BFA">
        <w:rPr>
          <w:rFonts w:cstheme="minorHAnsi"/>
          <w:szCs w:val="24"/>
        </w:rPr>
        <w:t xml:space="preserve">Projekt </w:t>
      </w:r>
      <w:r w:rsidR="00D4052B">
        <w:rPr>
          <w:rFonts w:cstheme="minorHAnsi"/>
          <w:szCs w:val="24"/>
        </w:rPr>
        <w:t>FEPZ</w:t>
      </w:r>
      <w:r w:rsidRPr="001C0BFA">
        <w:rPr>
          <w:rFonts w:cstheme="minorHAnsi"/>
          <w:szCs w:val="24"/>
        </w:rPr>
        <w:t xml:space="preserve"> 2021-2027 ma charakter dokumentu strategicznego. Dla przeważającej większości celów szczegółowych nie określono konkretnego wskazania lokalizacyjnego, technologicznego i organizacyjnego. W związku z powyższym, szczegółowe rozwiązania alternatywne, o ile to możliwe, powinny zostać uwzględnione na etapie realizacji inwestycji wynikających z dokumentu.</w:t>
      </w:r>
    </w:p>
    <w:p w14:paraId="33A897CE" w14:textId="77777777" w:rsidR="00552B4C" w:rsidRPr="001C0BFA" w:rsidRDefault="00552B4C" w:rsidP="002B5007">
      <w:pPr>
        <w:rPr>
          <w:szCs w:val="24"/>
        </w:rPr>
      </w:pPr>
      <w:r w:rsidRPr="001C0BFA">
        <w:rPr>
          <w:szCs w:val="24"/>
        </w:rPr>
        <w:t xml:space="preserve">Przedstawiono także propozycje dotyczące </w:t>
      </w:r>
      <w:r w:rsidRPr="001C0BFA">
        <w:rPr>
          <w:b/>
          <w:bCs/>
          <w:szCs w:val="24"/>
        </w:rPr>
        <w:t>metod wyboru i realizacji projektów</w:t>
      </w:r>
      <w:r w:rsidRPr="001C0BFA">
        <w:rPr>
          <w:szCs w:val="24"/>
        </w:rPr>
        <w:t>. Jako, że w perspektywie finansowej 2021-2027 szczególnego znaczenia nabierają działania związane ze zrównoważonym rozwojem i wdrażaniem Europejskiego Zielonego Ładu, a także stosowaniem podejścia całościowego, ocena projektów powinna zatem przebiegać pod kątem potencjalnej „poważnej szkody” w odniesieniu do sześciu celów środowiskowych:</w:t>
      </w:r>
    </w:p>
    <w:p w14:paraId="65D49911" w14:textId="77777777" w:rsidR="00552B4C" w:rsidRPr="001C0BFA" w:rsidRDefault="00552B4C" w:rsidP="002B5007">
      <w:pPr>
        <w:pStyle w:val="Akapitzlist"/>
        <w:numPr>
          <w:ilvl w:val="0"/>
          <w:numId w:val="50"/>
        </w:numPr>
        <w:ind w:left="425" w:hanging="425"/>
        <w:rPr>
          <w:szCs w:val="24"/>
        </w:rPr>
      </w:pPr>
      <w:r w:rsidRPr="001C0BFA">
        <w:rPr>
          <w:szCs w:val="24"/>
        </w:rPr>
        <w:t>łagodzenie zmian klimatu;</w:t>
      </w:r>
    </w:p>
    <w:p w14:paraId="28011C36" w14:textId="77777777" w:rsidR="00552B4C" w:rsidRPr="001C0BFA" w:rsidRDefault="00552B4C" w:rsidP="002B5007">
      <w:pPr>
        <w:pStyle w:val="Akapitzlist"/>
        <w:numPr>
          <w:ilvl w:val="0"/>
          <w:numId w:val="50"/>
        </w:numPr>
        <w:ind w:left="425" w:hanging="425"/>
        <w:rPr>
          <w:szCs w:val="24"/>
        </w:rPr>
      </w:pPr>
      <w:r w:rsidRPr="001C0BFA">
        <w:rPr>
          <w:szCs w:val="24"/>
        </w:rPr>
        <w:t>adaptacja do zmian klimatu;</w:t>
      </w:r>
    </w:p>
    <w:p w14:paraId="4DA400D5" w14:textId="77777777" w:rsidR="00552B4C" w:rsidRPr="001C0BFA" w:rsidRDefault="00552B4C" w:rsidP="002B5007">
      <w:pPr>
        <w:pStyle w:val="Akapitzlist"/>
        <w:numPr>
          <w:ilvl w:val="0"/>
          <w:numId w:val="50"/>
        </w:numPr>
        <w:ind w:left="425" w:hanging="425"/>
        <w:rPr>
          <w:szCs w:val="24"/>
        </w:rPr>
      </w:pPr>
      <w:r w:rsidRPr="001C0BFA">
        <w:rPr>
          <w:szCs w:val="24"/>
        </w:rPr>
        <w:t>zrównoważone wykorzystywanie i ochrona zasobów wodnych i morskich;</w:t>
      </w:r>
    </w:p>
    <w:p w14:paraId="27C0D494" w14:textId="77777777" w:rsidR="00552B4C" w:rsidRPr="001C0BFA" w:rsidRDefault="00552B4C" w:rsidP="002B5007">
      <w:pPr>
        <w:pStyle w:val="Akapitzlist"/>
        <w:numPr>
          <w:ilvl w:val="0"/>
          <w:numId w:val="50"/>
        </w:numPr>
        <w:ind w:left="425" w:hanging="425"/>
        <w:rPr>
          <w:szCs w:val="24"/>
        </w:rPr>
      </w:pPr>
      <w:r w:rsidRPr="001C0BFA">
        <w:rPr>
          <w:szCs w:val="24"/>
        </w:rPr>
        <w:t>przejście na gospodarkę o obiegu zamkniętym;</w:t>
      </w:r>
    </w:p>
    <w:p w14:paraId="2BA80C81" w14:textId="77777777" w:rsidR="00552B4C" w:rsidRPr="001C0BFA" w:rsidRDefault="00552B4C" w:rsidP="002B5007">
      <w:pPr>
        <w:pStyle w:val="Akapitzlist"/>
        <w:numPr>
          <w:ilvl w:val="0"/>
          <w:numId w:val="50"/>
        </w:numPr>
        <w:ind w:left="425" w:hanging="425"/>
        <w:rPr>
          <w:szCs w:val="24"/>
        </w:rPr>
      </w:pPr>
      <w:r w:rsidRPr="001C0BFA">
        <w:rPr>
          <w:szCs w:val="24"/>
        </w:rPr>
        <w:t>zapobieganie zanieczyszczeniu i jego kontrola;</w:t>
      </w:r>
    </w:p>
    <w:p w14:paraId="68F4896D" w14:textId="77777777" w:rsidR="00552B4C" w:rsidRPr="001C0BFA" w:rsidRDefault="00552B4C" w:rsidP="002B5007">
      <w:pPr>
        <w:pStyle w:val="Akapitzlist"/>
        <w:numPr>
          <w:ilvl w:val="0"/>
          <w:numId w:val="50"/>
        </w:numPr>
        <w:ind w:left="425" w:hanging="425"/>
        <w:rPr>
          <w:szCs w:val="24"/>
        </w:rPr>
      </w:pPr>
      <w:r w:rsidRPr="001C0BFA">
        <w:rPr>
          <w:szCs w:val="24"/>
        </w:rPr>
        <w:t>ochrona i odbudowa bioróżnorodności i ekosystemów.</w:t>
      </w:r>
    </w:p>
    <w:p w14:paraId="08490F44" w14:textId="79ECBFCF" w:rsidR="00552B4C" w:rsidRPr="001C0BFA" w:rsidRDefault="00552B4C" w:rsidP="002B5007">
      <w:pPr>
        <w:rPr>
          <w:szCs w:val="24"/>
          <w:highlight w:val="yellow"/>
        </w:rPr>
      </w:pPr>
      <w:r w:rsidRPr="001C0BFA">
        <w:rPr>
          <w:szCs w:val="24"/>
        </w:rPr>
        <w:t xml:space="preserve">Proponowane </w:t>
      </w:r>
      <w:r w:rsidRPr="001C0BFA">
        <w:rPr>
          <w:b/>
          <w:szCs w:val="24"/>
        </w:rPr>
        <w:t>zasady monitoringu</w:t>
      </w:r>
      <w:r w:rsidRPr="001C0BFA">
        <w:rPr>
          <w:szCs w:val="24"/>
        </w:rPr>
        <w:t xml:space="preserve"> skutków realizacji postanowień </w:t>
      </w:r>
      <w:r w:rsidR="00D4052B">
        <w:rPr>
          <w:szCs w:val="24"/>
        </w:rPr>
        <w:t>FEPZ</w:t>
      </w:r>
      <w:r w:rsidRPr="001C0BFA">
        <w:rPr>
          <w:szCs w:val="24"/>
        </w:rPr>
        <w:t xml:space="preserve"> 2021-2027 wynikają głównie z zapisów Ustawy z dnia 3 października 2008 r. </w:t>
      </w:r>
      <w:r w:rsidRPr="001C0BFA">
        <w:rPr>
          <w:i/>
          <w:iCs/>
          <w:szCs w:val="24"/>
        </w:rPr>
        <w:t>o udostępnianiu informacji o środowisku i jego ochronie, udziale społeczeństwa w ochronie środowiska oraz o ocenach oddziaływania na środowisko</w:t>
      </w:r>
      <w:r w:rsidRPr="001C0BFA">
        <w:rPr>
          <w:szCs w:val="24"/>
        </w:rPr>
        <w:t xml:space="preserve">. Wskazane jest, aby ocenę wpływu </w:t>
      </w:r>
      <w:r w:rsidR="00D4052B">
        <w:rPr>
          <w:szCs w:val="24"/>
        </w:rPr>
        <w:t>FEPZ</w:t>
      </w:r>
      <w:r w:rsidRPr="001C0BFA">
        <w:rPr>
          <w:szCs w:val="24"/>
        </w:rPr>
        <w:t xml:space="preserve"> 2021-2027 na kwestie zrównoważonego rozwoju prowadzić zarówno przed realizacją Programu (tzw. ewaluacja </w:t>
      </w:r>
      <w:r w:rsidRPr="001C0BFA">
        <w:rPr>
          <w:i/>
          <w:iCs/>
          <w:szCs w:val="24"/>
        </w:rPr>
        <w:t>ex-ante</w:t>
      </w:r>
      <w:r w:rsidRPr="001C0BFA">
        <w:rPr>
          <w:szCs w:val="24"/>
        </w:rPr>
        <w:t xml:space="preserve">), w czasie jego trwania (najlepiej w połowie okresu trwania, tzw. ewaluacja </w:t>
      </w:r>
      <w:r w:rsidRPr="001C0BFA">
        <w:rPr>
          <w:i/>
          <w:iCs/>
          <w:szCs w:val="24"/>
        </w:rPr>
        <w:t>on-going</w:t>
      </w:r>
      <w:r w:rsidRPr="001C0BFA">
        <w:rPr>
          <w:szCs w:val="24"/>
        </w:rPr>
        <w:t xml:space="preserve">) oraz po jego zakończeniu (tzw. ewaluacja </w:t>
      </w:r>
      <w:r w:rsidRPr="001C0BFA">
        <w:rPr>
          <w:i/>
          <w:iCs/>
          <w:szCs w:val="24"/>
        </w:rPr>
        <w:t>ex-post)</w:t>
      </w:r>
      <w:r w:rsidRPr="001C0BFA">
        <w:rPr>
          <w:szCs w:val="24"/>
        </w:rPr>
        <w:t xml:space="preserve">. </w:t>
      </w:r>
      <w:r w:rsidRPr="001C0BFA">
        <w:rPr>
          <w:rFonts w:eastAsia="Calibri" w:cs="Calibri"/>
          <w:szCs w:val="24"/>
          <w:lang w:eastAsia="pl-PL"/>
        </w:rPr>
        <w:t>Proponuje się, aby proces ewaluacji umożliwiał rozpoznanie efektywności i trwałości interwencji publicznej w zakresie wdrażania strategii Zielony Ład, oraz aspektów zrównoważonego podejścia do realizacji projektów.</w:t>
      </w:r>
    </w:p>
    <w:p w14:paraId="752606BD" w14:textId="400710A8" w:rsidR="005F6F32" w:rsidRPr="00552B4C" w:rsidRDefault="008C10DB">
      <w:pPr>
        <w:pStyle w:val="Nagwek1"/>
        <w:rPr>
          <w:caps w:val="0"/>
          <w:sz w:val="32"/>
          <w:szCs w:val="24"/>
          <w:lang w:val="en-US"/>
        </w:rPr>
      </w:pPr>
      <w:bookmarkStart w:id="3" w:name="_Toc104790621"/>
      <w:r w:rsidRPr="00552B4C">
        <w:rPr>
          <w:caps w:val="0"/>
          <w:sz w:val="32"/>
          <w:szCs w:val="24"/>
          <w:lang w:val="en-US"/>
        </w:rPr>
        <w:t>SUMMARY</w:t>
      </w:r>
      <w:bookmarkEnd w:id="3"/>
    </w:p>
    <w:p w14:paraId="66D53FCA" w14:textId="054A655D"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draft programme </w:t>
      </w:r>
      <w:r w:rsidRPr="00B13777">
        <w:rPr>
          <w:rStyle w:val="Uwydatnienie"/>
          <w:lang w:val="en-GB"/>
        </w:rPr>
        <w:t>European Funds</w:t>
      </w:r>
      <w:r w:rsidRPr="00B13777">
        <w:rPr>
          <w:lang w:val="en-GB"/>
        </w:rPr>
        <w:t xml:space="preserve"> </w:t>
      </w:r>
      <w:r w:rsidRPr="00B13777">
        <w:rPr>
          <w:i/>
          <w:lang w:val="en-GB"/>
        </w:rPr>
        <w:t>for Western Pomerania</w:t>
      </w:r>
      <w:r w:rsidRPr="00B13777">
        <w:rPr>
          <w:lang w:val="en-GB"/>
        </w:rPr>
        <w:t xml:space="preserve"> </w:t>
      </w:r>
      <w:r w:rsidRPr="001C0BFA">
        <w:rPr>
          <w:rFonts w:asciiTheme="minorHAnsi" w:hAnsiTheme="minorHAnsi"/>
          <w:i/>
          <w:iCs/>
          <w:lang w:val="en-GB"/>
        </w:rPr>
        <w:t>2021-2027 (</w:t>
      </w:r>
      <w:r w:rsidR="00D4052B">
        <w:rPr>
          <w:rFonts w:asciiTheme="minorHAnsi" w:hAnsiTheme="minorHAnsi"/>
          <w:i/>
          <w:iCs/>
          <w:lang w:val="en-GB"/>
        </w:rPr>
        <w:t>FEPZ</w:t>
      </w:r>
      <w:r w:rsidRPr="001C0BFA">
        <w:rPr>
          <w:rFonts w:asciiTheme="minorHAnsi" w:hAnsiTheme="minorHAnsi"/>
          <w:i/>
          <w:iCs/>
          <w:lang w:val="en-GB"/>
        </w:rPr>
        <w:t xml:space="preserve"> 2021-2027) </w:t>
      </w:r>
      <w:r w:rsidRPr="001C0BFA">
        <w:rPr>
          <w:rFonts w:asciiTheme="minorHAnsi" w:hAnsiTheme="minorHAnsi"/>
          <w:lang w:val="en-GB"/>
        </w:rPr>
        <w:t>is a</w:t>
      </w:r>
      <w:r>
        <w:rPr>
          <w:rFonts w:asciiTheme="minorHAnsi" w:hAnsiTheme="minorHAnsi"/>
          <w:lang w:val="en-GB"/>
        </w:rPr>
        <w:t> </w:t>
      </w:r>
      <w:r w:rsidRPr="001C0BFA">
        <w:rPr>
          <w:rFonts w:asciiTheme="minorHAnsi" w:hAnsiTheme="minorHAnsi"/>
          <w:lang w:val="en-GB"/>
        </w:rPr>
        <w:t xml:space="preserve">strategic document at the regional level, which serves to implement the vision and development objectives of the region, contained in the Development Strategy for </w:t>
      </w:r>
      <w:r>
        <w:rPr>
          <w:rFonts w:asciiTheme="minorHAnsi" w:hAnsiTheme="minorHAnsi"/>
          <w:iCs/>
          <w:lang w:val="en-GB"/>
        </w:rPr>
        <w:t>Zachodniopomorskie</w:t>
      </w:r>
      <w:r w:rsidRPr="001C0BFA">
        <w:rPr>
          <w:rFonts w:asciiTheme="minorHAnsi" w:hAnsiTheme="minorHAnsi"/>
          <w:lang w:val="en-GB"/>
        </w:rPr>
        <w:t xml:space="preserve"> Voivodeship until 2030 and is one of the most important instruments of regional policy. The assumed aim of the Programme's intervention is to support those undertakings which will contribute most at the level of regional cohesion policy to the achievement of the objectives set out in the EU's European Green Deal strategy, whose main objective is to transform the EU into a just and prosperous society living in a modern, resource-efficient and competitive economy achieving zero net greenhouse gas emissions by 2050. </w:t>
      </w:r>
    </w:p>
    <w:p w14:paraId="1DFD164E" w14:textId="77777777" w:rsidR="00552B4C" w:rsidRPr="001C0BFA" w:rsidRDefault="00552B4C" w:rsidP="002B5007">
      <w:pPr>
        <w:pStyle w:val="Default"/>
        <w:numPr>
          <w:ilvl w:val="0"/>
          <w:numId w:val="53"/>
        </w:numPr>
        <w:spacing w:before="100" w:after="200" w:line="360" w:lineRule="auto"/>
        <w:rPr>
          <w:rFonts w:asciiTheme="minorHAnsi" w:hAnsiTheme="minorHAnsi"/>
          <w:lang w:val="en-GB"/>
        </w:rPr>
      </w:pPr>
      <w:r w:rsidRPr="001C0BFA">
        <w:rPr>
          <w:rFonts w:asciiTheme="minorHAnsi" w:hAnsiTheme="minorHAnsi"/>
          <w:lang w:val="en-GB"/>
        </w:rPr>
        <w:t xml:space="preserve">Objective 1: A more competitive and smarter Europe through support for innovative and smart economic transformation and regional digital connectivity; </w:t>
      </w:r>
    </w:p>
    <w:p w14:paraId="114D73B9" w14:textId="77777777" w:rsidR="00552B4C" w:rsidRPr="001C0BFA" w:rsidRDefault="00552B4C" w:rsidP="002B5007">
      <w:pPr>
        <w:pStyle w:val="Default"/>
        <w:numPr>
          <w:ilvl w:val="0"/>
          <w:numId w:val="53"/>
        </w:numPr>
        <w:spacing w:before="100" w:after="200" w:line="360" w:lineRule="auto"/>
        <w:rPr>
          <w:rFonts w:asciiTheme="minorHAnsi" w:hAnsiTheme="minorHAnsi"/>
          <w:lang w:val="en-GB"/>
        </w:rPr>
      </w:pPr>
      <w:r w:rsidRPr="001C0BFA">
        <w:rPr>
          <w:rFonts w:asciiTheme="minorHAnsi" w:hAnsiTheme="minorHAnsi"/>
          <w:lang w:val="en-GB"/>
        </w:rPr>
        <w:t xml:space="preserve">Objective 2: A greener, low-carbon, transition towards a zero-carbon and resilient Europe through promoting a clean and fair energy transformation, green and blue investments, a closed loop economy, climate change mitigation and adaptation, risk prevention and management, and sustainable urban mobility; </w:t>
      </w:r>
    </w:p>
    <w:p w14:paraId="635D3B53" w14:textId="77777777" w:rsidR="00552B4C" w:rsidRPr="001C0BFA" w:rsidRDefault="00552B4C" w:rsidP="002B5007">
      <w:pPr>
        <w:pStyle w:val="Default"/>
        <w:numPr>
          <w:ilvl w:val="0"/>
          <w:numId w:val="53"/>
        </w:numPr>
        <w:spacing w:before="100" w:after="200" w:line="360" w:lineRule="auto"/>
        <w:rPr>
          <w:rFonts w:asciiTheme="minorHAnsi" w:hAnsiTheme="minorHAnsi"/>
          <w:lang w:val="en-GB"/>
        </w:rPr>
      </w:pPr>
      <w:r w:rsidRPr="001C0BFA">
        <w:rPr>
          <w:rFonts w:asciiTheme="minorHAnsi" w:hAnsiTheme="minorHAnsi"/>
          <w:lang w:val="en-GB"/>
        </w:rPr>
        <w:t xml:space="preserve">Objective 3: A better connected Europe through increased mobility; </w:t>
      </w:r>
    </w:p>
    <w:p w14:paraId="0AB9C50F" w14:textId="77777777" w:rsidR="00552B4C" w:rsidRPr="001C0BFA" w:rsidRDefault="00552B4C" w:rsidP="002B5007">
      <w:pPr>
        <w:pStyle w:val="Default"/>
        <w:numPr>
          <w:ilvl w:val="0"/>
          <w:numId w:val="53"/>
        </w:numPr>
        <w:spacing w:before="100" w:after="200" w:line="360" w:lineRule="auto"/>
        <w:rPr>
          <w:rFonts w:asciiTheme="minorHAnsi" w:hAnsiTheme="minorHAnsi"/>
          <w:lang w:val="en-GB"/>
        </w:rPr>
      </w:pPr>
      <w:r w:rsidRPr="001C0BFA">
        <w:rPr>
          <w:rFonts w:asciiTheme="minorHAnsi" w:hAnsiTheme="minorHAnsi"/>
          <w:lang w:val="en-GB"/>
        </w:rPr>
        <w:t>Objective 4</w:t>
      </w:r>
      <w:r>
        <w:rPr>
          <w:rFonts w:asciiTheme="minorHAnsi" w:hAnsiTheme="minorHAnsi"/>
          <w:lang w:val="en-GB"/>
        </w:rPr>
        <w:t>:</w:t>
      </w:r>
      <w:r w:rsidRPr="001C0BFA">
        <w:rPr>
          <w:rFonts w:asciiTheme="minorHAnsi" w:hAnsiTheme="minorHAnsi"/>
          <w:lang w:val="en-GB"/>
        </w:rPr>
        <w:t xml:space="preserve"> A Europe with a stronger social dimension, more inclusive and implementing the European Pillar of Social Rights; </w:t>
      </w:r>
    </w:p>
    <w:p w14:paraId="13C98520" w14:textId="77777777" w:rsidR="00552B4C" w:rsidRPr="001C0BFA" w:rsidRDefault="00552B4C" w:rsidP="002B5007">
      <w:pPr>
        <w:pStyle w:val="Default"/>
        <w:numPr>
          <w:ilvl w:val="0"/>
          <w:numId w:val="53"/>
        </w:numPr>
        <w:spacing w:before="100" w:after="200" w:line="360" w:lineRule="auto"/>
        <w:rPr>
          <w:rFonts w:asciiTheme="minorHAnsi" w:hAnsiTheme="minorHAnsi"/>
          <w:lang w:val="en-GB"/>
        </w:rPr>
      </w:pPr>
      <w:r w:rsidRPr="001C0BFA">
        <w:rPr>
          <w:rFonts w:asciiTheme="minorHAnsi" w:hAnsiTheme="minorHAnsi"/>
          <w:lang w:val="en-GB"/>
        </w:rPr>
        <w:t xml:space="preserve">Objective 5: A Europe closer to its citizens by supporting the balanced and integrated development of all types of territories and local initiatives. </w:t>
      </w:r>
    </w:p>
    <w:p w14:paraId="3504EAB4"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In order to achieve the aforementioned objectives, the following structure of the Programme was adopted, including the following specific objectives: </w:t>
      </w:r>
    </w:p>
    <w:p w14:paraId="18ACB936" w14:textId="77777777" w:rsidR="00552B4C" w:rsidRDefault="00552B4C" w:rsidP="002B5007">
      <w:pPr>
        <w:pStyle w:val="Default"/>
        <w:spacing w:before="100" w:after="200" w:line="360" w:lineRule="auto"/>
        <w:rPr>
          <w:rFonts w:asciiTheme="minorHAnsi" w:hAnsiTheme="minorHAnsi"/>
          <w:b/>
          <w:bCs/>
          <w:lang w:val="en-GB"/>
        </w:rPr>
      </w:pPr>
      <w:r w:rsidRPr="001C0BFA">
        <w:rPr>
          <w:rFonts w:asciiTheme="minorHAnsi" w:hAnsiTheme="minorHAnsi"/>
          <w:b/>
          <w:bCs/>
          <w:lang w:val="en-GB"/>
        </w:rPr>
        <w:t>Priority 1 European Funds for an entrepreneurial West</w:t>
      </w:r>
      <w:r>
        <w:rPr>
          <w:rFonts w:asciiTheme="minorHAnsi" w:hAnsiTheme="minorHAnsi"/>
          <w:b/>
          <w:bCs/>
          <w:lang w:val="en-GB"/>
        </w:rPr>
        <w:t>ern</w:t>
      </w:r>
      <w:r w:rsidRPr="001C0BFA">
        <w:rPr>
          <w:rFonts w:asciiTheme="minorHAnsi" w:hAnsiTheme="minorHAnsi"/>
          <w:b/>
          <w:bCs/>
          <w:lang w:val="en-GB"/>
        </w:rPr>
        <w:t xml:space="preserve"> Pomerania</w:t>
      </w:r>
      <w:r>
        <w:rPr>
          <w:rFonts w:asciiTheme="minorHAnsi" w:hAnsiTheme="minorHAnsi"/>
          <w:b/>
          <w:bCs/>
          <w:lang w:val="en-GB"/>
        </w:rPr>
        <w:t>n</w:t>
      </w:r>
      <w:r w:rsidRPr="001C0BFA">
        <w:rPr>
          <w:rFonts w:asciiTheme="minorHAnsi" w:hAnsiTheme="minorHAnsi"/>
          <w:b/>
          <w:bCs/>
          <w:lang w:val="en-GB"/>
        </w:rPr>
        <w:t xml:space="preserve"> </w:t>
      </w:r>
    </w:p>
    <w:p w14:paraId="3549FA79"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 Developing and strengthening research and innovation capacities and /or deploying advanced technologies </w:t>
      </w:r>
    </w:p>
    <w:p w14:paraId="721AD416"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(ii) Reaping the benefits of digitisation for citizens, businesses, research organisations and public institutions </w:t>
      </w:r>
    </w:p>
    <w:p w14:paraId="0A4751EC"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(iii) Enhancing the sustainable growth and competitiveness of SMEs and job creation in SMEs, including through productive investment </w:t>
      </w:r>
    </w:p>
    <w:p w14:paraId="6D1E7CDC"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b/>
          <w:bCs/>
          <w:lang w:val="en-GB"/>
        </w:rPr>
        <w:t xml:space="preserve">Priority 2 European Funds for a greener Western Pomerania </w:t>
      </w:r>
    </w:p>
    <w:p w14:paraId="45A8F19E"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 Promoting energy efficiency and reduction of greenhouse gas emissions </w:t>
      </w:r>
    </w:p>
    <w:p w14:paraId="7D4A113D"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(ii) Promoting renewable energy in accordance with Directive (EU) 2018/2001, including the sustainability criteria set out therein </w:t>
      </w:r>
    </w:p>
    <w:p w14:paraId="1D843F02"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(iv) Supporting climate change adaptation and disaster risk prevention and resilience, taking into account an ecosystem approach </w:t>
      </w:r>
    </w:p>
    <w:p w14:paraId="7571EE24"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(v) Promoting access to water and sustainable water management </w:t>
      </w:r>
    </w:p>
    <w:p w14:paraId="2EC9C0AF"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(vi) Supporting the transition towards a closed and resource efficient economy </w:t>
      </w:r>
    </w:p>
    <w:p w14:paraId="0CF1B8BE"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(vii) enhancing the protection and conservation of nature, biodiversity and green infrastructure, including in urban areas, and reducing all types of pollution </w:t>
      </w:r>
    </w:p>
    <w:p w14:paraId="30490939"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b/>
          <w:bCs/>
          <w:lang w:val="en-GB"/>
        </w:rPr>
        <w:t xml:space="preserve">Priority 3 - European Funds for a mobile Western Pomerania </w:t>
      </w:r>
    </w:p>
    <w:p w14:paraId="7CF38C05"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(viii) Supporting sustainable multimodal urban mobility as part of the transition towards a</w:t>
      </w:r>
      <w:r>
        <w:rPr>
          <w:rFonts w:asciiTheme="minorHAnsi" w:hAnsiTheme="minorHAnsi"/>
          <w:lang w:val="en-GB"/>
        </w:rPr>
        <w:t> </w:t>
      </w:r>
      <w:r w:rsidRPr="001C0BFA">
        <w:rPr>
          <w:rFonts w:asciiTheme="minorHAnsi" w:hAnsiTheme="minorHAnsi"/>
          <w:lang w:val="en-GB"/>
        </w:rPr>
        <w:t xml:space="preserve">zero-emission economy </w:t>
      </w:r>
    </w:p>
    <w:p w14:paraId="264FA47D"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b/>
          <w:bCs/>
          <w:lang w:val="en-GB"/>
        </w:rPr>
        <w:t>Priority 4 European Funds for a connected West</w:t>
      </w:r>
      <w:r>
        <w:rPr>
          <w:rFonts w:asciiTheme="minorHAnsi" w:hAnsiTheme="minorHAnsi"/>
          <w:b/>
          <w:bCs/>
          <w:lang w:val="en-GB"/>
        </w:rPr>
        <w:t>ern</w:t>
      </w:r>
      <w:r w:rsidRPr="001C0BFA">
        <w:rPr>
          <w:rFonts w:asciiTheme="minorHAnsi" w:hAnsiTheme="minorHAnsi"/>
          <w:b/>
          <w:bCs/>
          <w:lang w:val="en-GB"/>
        </w:rPr>
        <w:t xml:space="preserve"> Pomerania </w:t>
      </w:r>
    </w:p>
    <w:p w14:paraId="58660EE0"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(ii) developing and improving sustainable, climate resilient, smart and intermodal mobility at national, regional and local level, including improved access to TEN-T and cross-border mobility </w:t>
      </w:r>
    </w:p>
    <w:p w14:paraId="5E557B71" w14:textId="77777777" w:rsidR="00552B4C" w:rsidRDefault="00552B4C" w:rsidP="002B5007">
      <w:pPr>
        <w:pStyle w:val="Default"/>
        <w:spacing w:before="100" w:after="200" w:line="360" w:lineRule="auto"/>
        <w:rPr>
          <w:rFonts w:asciiTheme="minorHAnsi" w:hAnsiTheme="minorHAnsi"/>
          <w:b/>
          <w:bCs/>
          <w:lang w:val="en-GB"/>
        </w:rPr>
      </w:pPr>
      <w:r w:rsidRPr="001C0BFA">
        <w:rPr>
          <w:rFonts w:asciiTheme="minorHAnsi" w:hAnsiTheme="minorHAnsi"/>
          <w:b/>
          <w:bCs/>
          <w:lang w:val="en-GB"/>
        </w:rPr>
        <w:t>Priority 5 European Funds for a liveable West</w:t>
      </w:r>
      <w:r>
        <w:rPr>
          <w:rFonts w:asciiTheme="minorHAnsi" w:hAnsiTheme="minorHAnsi"/>
          <w:b/>
          <w:bCs/>
          <w:lang w:val="en-GB"/>
        </w:rPr>
        <w:t>ern</w:t>
      </w:r>
      <w:r w:rsidRPr="001C0BFA">
        <w:rPr>
          <w:rFonts w:asciiTheme="minorHAnsi" w:hAnsiTheme="minorHAnsi"/>
          <w:b/>
          <w:bCs/>
          <w:lang w:val="en-GB"/>
        </w:rPr>
        <w:t xml:space="preserve"> Pomerania </w:t>
      </w:r>
    </w:p>
    <w:p w14:paraId="106D969D"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(ii) Improving equitable access to high quality and inclusive education, training and lifelong learning services through the development of accessible infrastructures, including by promoting resilience in distance and online learning </w:t>
      </w:r>
    </w:p>
    <w:p w14:paraId="5737C27A"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(iii) Promote socio-economic inclusion of marginalised communities, low-income households and disadvantaged groups, including people with special needs, through integrated interventions that include housing and social services. </w:t>
      </w:r>
    </w:p>
    <w:p w14:paraId="112C9A11"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(iv) Supporting the socio-economic integration of third-country nationals, including migrants, through integrated actions encompassing housing and social services </w:t>
      </w:r>
    </w:p>
    <w:p w14:paraId="771F262F"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(v) Ensuring equitable access to health care and supporting the resilience of health systems, including primary health care, and supporting the transition from institutional to family and community-based care </w:t>
      </w:r>
    </w:p>
    <w:p w14:paraId="0108D921"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(vi) Enhancing the role of culture and tourism in economic development, social inclusion and social innovation </w:t>
      </w:r>
    </w:p>
    <w:p w14:paraId="4B7E8ACC"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b/>
          <w:bCs/>
          <w:lang w:val="en-GB"/>
        </w:rPr>
        <w:t xml:space="preserve">Priority 6 European Funds for an active Western Pomerania </w:t>
      </w:r>
    </w:p>
    <w:p w14:paraId="509F9CB6"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(a) Enhancing access to employment and activation policies for all job-seekers, especially young people, notably through the implementation of the Youth Guarantee, the long-term unemployed and disadvantaged groups in the labour market as well as the inactive, and through promoting self-employment and the social economy </w:t>
      </w:r>
    </w:p>
    <w:p w14:paraId="164BC6F0"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(b) Modernise labour market institutions and services to assess and anticipate skill needs and provide timely and tailored assistance and support for matching skills and qualifications with labour market needs and for labour market transitions and mobility </w:t>
      </w:r>
    </w:p>
    <w:p w14:paraId="741BB056"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(d) Supporting adaptation of workers, enterprises and entrepreneurs to change, supporting active and healthy ageing and a healthy and well adapted working environment that takes account of health risks </w:t>
      </w:r>
    </w:p>
    <w:p w14:paraId="6548DA90"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(f) Promoting equal access to and completion of good quality, inclusive education and training, especially for disadvantaged groups, from early childhood education and care through general and vocational education and training to higher education, as well as adult education and learning, including facilitating learning mobility for all and accessibility for people with disabilities </w:t>
      </w:r>
    </w:p>
    <w:p w14:paraId="36F5A1CD"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(g) Promoting lifelong learning, in particular flexible up-skilling and retraining for all, including entrepreneurial skills and digital competences, better anticipation of change and demand for new skills based on labour market needs, facilitating career transitions and support for occupational mobility </w:t>
      </w:r>
    </w:p>
    <w:p w14:paraId="084D0700"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(h) Support active social inclusion to promote equal opportunities, non-discrimination and active participation, and to enhance employability, in particular of disadvantaged groups </w:t>
      </w:r>
    </w:p>
    <w:p w14:paraId="0E123018"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 Supporting the socio-economic integration of third-country nationals, including migrants </w:t>
      </w:r>
    </w:p>
    <w:p w14:paraId="6ACBB8D2"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(k) Increase equitable and timely access to quality, sustainable and affordable services, including services that promote access to housing and person-centred care, including health care; modernise social protection systems, including the promotion of access to social protection, with a particular focus on children and disadvantaged groups; improve accessibility, including for people with disabilities, the efficiency and resilience of health systems and long-term care services </w:t>
      </w:r>
    </w:p>
    <w:p w14:paraId="247E41A8"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(l) Supporting social inclusion of people at risk of poverty or social exclusion, including the most vulnerable, and children (ESF+) </w:t>
      </w:r>
    </w:p>
    <w:p w14:paraId="1AA99D21" w14:textId="77777777" w:rsidR="00552B4C" w:rsidRPr="00A52E73" w:rsidRDefault="00552B4C" w:rsidP="002B5007">
      <w:pPr>
        <w:pStyle w:val="Default"/>
        <w:spacing w:before="100" w:after="200" w:line="360" w:lineRule="auto"/>
        <w:rPr>
          <w:rFonts w:asciiTheme="minorHAnsi" w:hAnsiTheme="minorHAnsi"/>
          <w:b/>
          <w:lang w:val="en-GB"/>
        </w:rPr>
      </w:pPr>
      <w:r w:rsidRPr="00A52E73">
        <w:rPr>
          <w:rFonts w:asciiTheme="minorHAnsi" w:hAnsiTheme="minorHAnsi"/>
          <w:b/>
          <w:lang w:val="en-GB"/>
        </w:rPr>
        <w:t xml:space="preserve">Priority 7 - European Funds for a Partner Western Pomerania </w:t>
      </w:r>
    </w:p>
    <w:p w14:paraId="77FDBF52"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 Promoting integrated and inclusive social, economic and environmental development, culture, natural heritage, sustainable tourism and safety in urban areas </w:t>
      </w:r>
    </w:p>
    <w:p w14:paraId="5CA19FCD"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In addition, the programme foresees two technical assistance priorities to ensure a smooth transition from the period 2014-2020 to the period 2021-2027, to prepare for the financial perspective after 2027 and to strengthen institutional capacity by reducing administrative burdens and improving the quality of services provided. </w:t>
      </w:r>
    </w:p>
    <w:p w14:paraId="3F7C74C8" w14:textId="5491DB4C"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In accordance with the requirements of the Act of 3 October 2008 </w:t>
      </w:r>
      <w:r w:rsidRPr="001C0BFA">
        <w:rPr>
          <w:rFonts w:asciiTheme="minorHAnsi" w:hAnsiTheme="minorHAnsi"/>
          <w:i/>
          <w:iCs/>
          <w:lang w:val="en-GB"/>
        </w:rPr>
        <w:t>on the provision of information on the environment and its protection, public participation in environmental protection and environmental impact assessments</w:t>
      </w:r>
      <w:r w:rsidRPr="001C0BFA">
        <w:rPr>
          <w:rFonts w:asciiTheme="minorHAnsi" w:hAnsiTheme="minorHAnsi"/>
          <w:lang w:val="en-GB"/>
        </w:rPr>
        <w:t xml:space="preserve">, European Parliament and Council Directives 2001/42/EC of 27 June 2001 on the assessment of the </w:t>
      </w:r>
      <w:r w:rsidRPr="001C0BFA">
        <w:rPr>
          <w:rFonts w:asciiTheme="minorHAnsi" w:hAnsiTheme="minorHAnsi"/>
          <w:i/>
          <w:iCs/>
          <w:lang w:val="en-GB"/>
        </w:rPr>
        <w:t>effects of certain plans and programmes on the environment</w:t>
      </w:r>
      <w:r w:rsidRPr="001C0BFA">
        <w:rPr>
          <w:rFonts w:asciiTheme="minorHAnsi" w:hAnsiTheme="minorHAnsi"/>
          <w:lang w:val="en-GB"/>
        </w:rPr>
        <w:t xml:space="preserve">, and 2011/92/EU of 13 December 2011 on the </w:t>
      </w:r>
      <w:r w:rsidRPr="001C0BFA">
        <w:rPr>
          <w:rFonts w:asciiTheme="minorHAnsi" w:hAnsiTheme="minorHAnsi"/>
          <w:i/>
          <w:iCs/>
          <w:lang w:val="en-GB"/>
        </w:rPr>
        <w:t>assessment of the effects of certain public and private projects on the environment</w:t>
      </w:r>
      <w:r w:rsidRPr="001C0BFA">
        <w:rPr>
          <w:rFonts w:asciiTheme="minorHAnsi" w:hAnsiTheme="minorHAnsi"/>
          <w:lang w:val="en-GB"/>
        </w:rPr>
        <w:t xml:space="preserve">, the draft </w:t>
      </w:r>
      <w:r w:rsidR="00D4052B">
        <w:rPr>
          <w:rFonts w:asciiTheme="minorHAnsi" w:hAnsiTheme="minorHAnsi"/>
          <w:lang w:val="en-GB"/>
        </w:rPr>
        <w:t>FEPZ</w:t>
      </w:r>
      <w:r w:rsidRPr="001C0BFA">
        <w:rPr>
          <w:rFonts w:asciiTheme="minorHAnsi" w:hAnsiTheme="minorHAnsi"/>
          <w:lang w:val="en-GB"/>
        </w:rPr>
        <w:t xml:space="preserve"> 2021-2027 requires a strategic environmental assessment. </w:t>
      </w:r>
    </w:p>
    <w:p w14:paraId="2498F96B" w14:textId="09F11E21"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In accordance with these requirements, an Environmental Impact Assessment was prepared, which is an element supporting the decision-making process for the implementation of investments interfering with the state of the environment, and resulting from the </w:t>
      </w:r>
      <w:r w:rsidR="00D4052B">
        <w:rPr>
          <w:rFonts w:asciiTheme="minorHAnsi" w:hAnsiTheme="minorHAnsi"/>
          <w:lang w:val="en-GB"/>
        </w:rPr>
        <w:t>FEPZ</w:t>
      </w:r>
      <w:r w:rsidRPr="001C0BFA">
        <w:rPr>
          <w:rFonts w:asciiTheme="minorHAnsi" w:hAnsiTheme="minorHAnsi"/>
          <w:lang w:val="en-GB"/>
        </w:rPr>
        <w:t xml:space="preserve"> 2021-2027</w:t>
      </w:r>
      <w:r w:rsidRPr="008219EB">
        <w:rPr>
          <w:rFonts w:asciiTheme="minorHAnsi" w:hAnsiTheme="minorHAnsi"/>
          <w:lang w:val="en-GB"/>
        </w:rPr>
        <w:t xml:space="preserve"> </w:t>
      </w:r>
      <w:r>
        <w:rPr>
          <w:rFonts w:asciiTheme="minorHAnsi" w:hAnsiTheme="minorHAnsi"/>
          <w:lang w:val="en-GB"/>
        </w:rPr>
        <w:t>P</w:t>
      </w:r>
      <w:r w:rsidRPr="001C0BFA">
        <w:rPr>
          <w:rFonts w:asciiTheme="minorHAnsi" w:hAnsiTheme="minorHAnsi"/>
          <w:lang w:val="en-GB"/>
        </w:rPr>
        <w:t xml:space="preserve">rogramme. </w:t>
      </w:r>
    </w:p>
    <w:p w14:paraId="1BA552C4"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purpose of the </w:t>
      </w:r>
      <w:r>
        <w:rPr>
          <w:rFonts w:asciiTheme="minorHAnsi" w:hAnsiTheme="minorHAnsi"/>
          <w:lang w:val="en-GB"/>
        </w:rPr>
        <w:t>EIA report</w:t>
      </w:r>
      <w:r w:rsidRPr="001C0BFA">
        <w:rPr>
          <w:rFonts w:asciiTheme="minorHAnsi" w:hAnsiTheme="minorHAnsi"/>
          <w:lang w:val="en-GB"/>
        </w:rPr>
        <w:t xml:space="preserve"> is to identify the most probable environmental effects which may be caused by the implementation of the projects contained in the analysed documents. </w:t>
      </w:r>
    </w:p>
    <w:p w14:paraId="3064FB53"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b/>
          <w:bCs/>
          <w:lang w:val="en-GB"/>
        </w:rPr>
        <w:t xml:space="preserve">An assessment of the condition of the environment </w:t>
      </w:r>
      <w:r w:rsidRPr="001C0BFA">
        <w:rPr>
          <w:rFonts w:asciiTheme="minorHAnsi" w:hAnsiTheme="minorHAnsi"/>
          <w:lang w:val="en-GB"/>
        </w:rPr>
        <w:t xml:space="preserve">in the area of </w:t>
      </w:r>
      <w:r>
        <w:rPr>
          <w:rFonts w:asciiTheme="minorHAnsi" w:hAnsiTheme="minorHAnsi"/>
          <w:lang w:val="en-GB"/>
        </w:rPr>
        <w:t>Zachodniopomorskie</w:t>
      </w:r>
      <w:r w:rsidRPr="001C0BFA">
        <w:rPr>
          <w:rFonts w:asciiTheme="minorHAnsi" w:hAnsiTheme="minorHAnsi"/>
          <w:i/>
          <w:iCs/>
          <w:lang w:val="en-GB"/>
        </w:rPr>
        <w:t xml:space="preserve"> </w:t>
      </w:r>
      <w:r>
        <w:rPr>
          <w:rFonts w:asciiTheme="minorHAnsi" w:hAnsiTheme="minorHAnsi"/>
          <w:lang w:val="en-GB"/>
        </w:rPr>
        <w:t>v</w:t>
      </w:r>
      <w:r w:rsidRPr="001C0BFA">
        <w:rPr>
          <w:rFonts w:asciiTheme="minorHAnsi" w:hAnsiTheme="minorHAnsi"/>
          <w:lang w:val="en-GB"/>
        </w:rPr>
        <w:t>oivod</w:t>
      </w:r>
      <w:r>
        <w:rPr>
          <w:rFonts w:asciiTheme="minorHAnsi" w:hAnsiTheme="minorHAnsi"/>
          <w:lang w:val="en-GB"/>
        </w:rPr>
        <w:t>e</w:t>
      </w:r>
      <w:r w:rsidRPr="001C0BFA">
        <w:rPr>
          <w:rFonts w:asciiTheme="minorHAnsi" w:hAnsiTheme="minorHAnsi"/>
          <w:lang w:val="en-GB"/>
        </w:rPr>
        <w:t xml:space="preserve">ship and an analysis of the possibility of the occurrence of impacts on particular elements of the environment, including cumulative and cross-border impacts, was carried out. The </w:t>
      </w:r>
      <w:r>
        <w:rPr>
          <w:rFonts w:asciiTheme="minorHAnsi" w:hAnsiTheme="minorHAnsi"/>
          <w:lang w:val="en-GB"/>
        </w:rPr>
        <w:t>EIA report</w:t>
      </w:r>
      <w:r w:rsidRPr="001C0BFA">
        <w:rPr>
          <w:rFonts w:asciiTheme="minorHAnsi" w:hAnsiTheme="minorHAnsi"/>
          <w:lang w:val="en-GB"/>
        </w:rPr>
        <w:t xml:space="preserve"> also proposed solutions aiming at prevention, limitation or natural compensation of negative environmental impacts which may result from the implementation of the draft document, in particular on the objectives and the subject of protection of the NATURA 2000 area and the integrity of that area. </w:t>
      </w:r>
    </w:p>
    <w:p w14:paraId="2D0A7BFD" w14:textId="4BD860D2" w:rsidR="00552B4C" w:rsidRPr="001C0BFA" w:rsidRDefault="00D41923" w:rsidP="002B5007">
      <w:pPr>
        <w:pStyle w:val="Default"/>
        <w:spacing w:before="100" w:after="200" w:line="360" w:lineRule="auto"/>
        <w:rPr>
          <w:rFonts w:asciiTheme="minorHAnsi" w:hAnsiTheme="minorHAnsi"/>
          <w:lang w:val="en-GB"/>
        </w:rPr>
      </w:pPr>
      <w:r w:rsidRPr="00D41923">
        <w:rPr>
          <w:rFonts w:asciiTheme="minorHAnsi" w:hAnsiTheme="minorHAnsi"/>
          <w:b/>
          <w:bCs/>
          <w:lang w:val="en-GB"/>
        </w:rPr>
        <w:t xml:space="preserve">The carried out analysis of the draft FEPZ 2021-2027 </w:t>
      </w:r>
      <w:r w:rsidRPr="002B5007">
        <w:rPr>
          <w:rFonts w:asciiTheme="minorHAnsi" w:hAnsiTheme="minorHAnsi"/>
          <w:bCs/>
          <w:lang w:val="en-GB"/>
        </w:rPr>
        <w:t xml:space="preserve">content with strategic documents and policies showed that it is consistent with the objectives and scope adopted in them in terms of environmental impacts. </w:t>
      </w:r>
      <w:r w:rsidR="00552B4C" w:rsidRPr="00D41923">
        <w:rPr>
          <w:rFonts w:asciiTheme="minorHAnsi" w:hAnsiTheme="minorHAnsi"/>
          <w:lang w:val="en-GB"/>
        </w:rPr>
        <w:t>The</w:t>
      </w:r>
      <w:r w:rsidR="00552B4C" w:rsidRPr="001C0BFA">
        <w:rPr>
          <w:rFonts w:asciiTheme="minorHAnsi" w:hAnsiTheme="minorHAnsi"/>
          <w:lang w:val="en-GB"/>
        </w:rPr>
        <w:t xml:space="preserve"> analysis covered documents setting objectives related to the </w:t>
      </w:r>
      <w:r w:rsidR="00D4052B">
        <w:rPr>
          <w:rFonts w:asciiTheme="minorHAnsi" w:hAnsiTheme="minorHAnsi"/>
          <w:lang w:val="en-GB"/>
        </w:rPr>
        <w:t>FEPZ</w:t>
      </w:r>
      <w:r w:rsidR="00552B4C" w:rsidRPr="001C0BFA">
        <w:rPr>
          <w:rFonts w:asciiTheme="minorHAnsi" w:hAnsiTheme="minorHAnsi"/>
          <w:lang w:val="en-GB"/>
        </w:rPr>
        <w:t xml:space="preserve"> 2021-2027 defined at the international level, including in particular the European Union, national and regional levels. The draft Programme indicates connection with strategic European, national and regional documents, including in particular: Strategy for Responsible Development till 2020 (with an outlook till 2030), National Strategy for Regional Development 2030</w:t>
      </w:r>
      <w:r w:rsidR="004110A4">
        <w:rPr>
          <w:rFonts w:asciiTheme="minorHAnsi" w:hAnsiTheme="minorHAnsi"/>
          <w:lang w:val="en-GB"/>
        </w:rPr>
        <w:t>,</w:t>
      </w:r>
      <w:r w:rsidR="00552B4C" w:rsidRPr="001C0BFA">
        <w:rPr>
          <w:rFonts w:asciiTheme="minorHAnsi" w:hAnsiTheme="minorHAnsi"/>
          <w:lang w:val="en-GB"/>
        </w:rPr>
        <w:t xml:space="preserve"> Strategy for Development of </w:t>
      </w:r>
      <w:r w:rsidR="00552B4C">
        <w:rPr>
          <w:rFonts w:asciiTheme="minorHAnsi" w:hAnsiTheme="minorHAnsi"/>
          <w:iCs/>
          <w:lang w:val="en-GB"/>
        </w:rPr>
        <w:t>Zachodniopomorskie</w:t>
      </w:r>
      <w:r w:rsidR="00552B4C" w:rsidRPr="001C0BFA">
        <w:rPr>
          <w:rFonts w:asciiTheme="minorHAnsi" w:hAnsiTheme="minorHAnsi"/>
          <w:lang w:val="en-GB"/>
        </w:rPr>
        <w:t xml:space="preserve"> Voivodeship till 2030. </w:t>
      </w:r>
    </w:p>
    <w:p w14:paraId="064374C7" w14:textId="77E7F74B"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analysis shows, inter alia, that provisions of the draft </w:t>
      </w:r>
      <w:r w:rsidR="00D4052B">
        <w:rPr>
          <w:rFonts w:asciiTheme="minorHAnsi" w:hAnsiTheme="minorHAnsi"/>
          <w:lang w:val="en-GB"/>
        </w:rPr>
        <w:t>FEPZ</w:t>
      </w:r>
      <w:r w:rsidRPr="001C0BFA">
        <w:rPr>
          <w:rFonts w:asciiTheme="minorHAnsi" w:hAnsiTheme="minorHAnsi"/>
          <w:lang w:val="en-GB"/>
        </w:rPr>
        <w:t xml:space="preserve"> 2021-2027 refer to the objectives of the analysed documents both in the scope of entrepreneurship, life and health of the society, reduction of greenhouse gas emissions, as well as in the scope of reduction of pollutant emissions to the environment (including air) and improvement of its quality. No areas conflicting with the environmental protection objectives of the analysed strategic documents were identified in the </w:t>
      </w:r>
      <w:r w:rsidR="00D4052B">
        <w:rPr>
          <w:rFonts w:asciiTheme="minorHAnsi" w:hAnsiTheme="minorHAnsi"/>
          <w:lang w:val="en-GB"/>
        </w:rPr>
        <w:t>FEPZ</w:t>
      </w:r>
      <w:r w:rsidRPr="001C0BFA">
        <w:rPr>
          <w:rFonts w:asciiTheme="minorHAnsi" w:hAnsiTheme="minorHAnsi"/>
          <w:lang w:val="en-GB"/>
        </w:rPr>
        <w:t xml:space="preserve"> 2021 - 2027, and the implementation of a number of projects covered by the Programme, likely to have a significant impact on the environment, will require detailed analyses under the environmental impact assessment procedure. </w:t>
      </w:r>
    </w:p>
    <w:p w14:paraId="64E39DEE"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b/>
          <w:bCs/>
          <w:lang w:val="en-GB"/>
        </w:rPr>
        <w:t xml:space="preserve">An assessment </w:t>
      </w:r>
      <w:r w:rsidRPr="001C0BFA">
        <w:rPr>
          <w:rFonts w:asciiTheme="minorHAnsi" w:hAnsiTheme="minorHAnsi"/>
          <w:lang w:val="en-GB"/>
        </w:rPr>
        <w:t xml:space="preserve">was made of the </w:t>
      </w:r>
      <w:r w:rsidRPr="001C0BFA">
        <w:rPr>
          <w:rFonts w:asciiTheme="minorHAnsi" w:hAnsiTheme="minorHAnsi"/>
          <w:b/>
          <w:bCs/>
          <w:lang w:val="en-GB"/>
        </w:rPr>
        <w:t xml:space="preserve">current state of the </w:t>
      </w:r>
      <w:r>
        <w:rPr>
          <w:rFonts w:asciiTheme="minorHAnsi" w:hAnsiTheme="minorHAnsi"/>
          <w:lang w:val="en-GB"/>
        </w:rPr>
        <w:t>Zachodniopomorskie voivodeship</w:t>
      </w:r>
      <w:r w:rsidRPr="001C0BFA">
        <w:rPr>
          <w:rFonts w:asciiTheme="minorHAnsi" w:hAnsiTheme="minorHAnsi"/>
          <w:lang w:val="en-GB"/>
        </w:rPr>
        <w:t xml:space="preserve">, taking into account biodiversity, protected areas, including Natura 2000 sites, valuable natural habitats and ecological corridors, water quality and resources, air, climate, land surface, waste and water-sewage management, landscape, natural resources, as well as human health and quality of life, monuments and material assets. </w:t>
      </w:r>
    </w:p>
    <w:p w14:paraId="0B2E90AD"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analysis shows that </w:t>
      </w:r>
      <w:r>
        <w:rPr>
          <w:rFonts w:asciiTheme="minorHAnsi" w:hAnsiTheme="minorHAnsi"/>
          <w:lang w:val="en-GB"/>
        </w:rPr>
        <w:t>Zachodniopomorskie voivodeship</w:t>
      </w:r>
      <w:r w:rsidRPr="001C0BFA">
        <w:rPr>
          <w:rFonts w:asciiTheme="minorHAnsi" w:hAnsiTheme="minorHAnsi"/>
          <w:lang w:val="en-GB"/>
        </w:rPr>
        <w:t xml:space="preserve"> is characterised by a high abundance of natural and landscape values which result from the region's geographical location, biological and hydrological resources as well as the lie of the land. The forest cover of the voivodeship is </w:t>
      </w:r>
      <w:r>
        <w:rPr>
          <w:rFonts w:asciiTheme="minorHAnsi" w:hAnsiTheme="minorHAnsi"/>
          <w:lang w:val="en-GB"/>
        </w:rPr>
        <w:t xml:space="preserve">above </w:t>
      </w:r>
      <w:r w:rsidRPr="001C0BFA">
        <w:rPr>
          <w:rFonts w:asciiTheme="minorHAnsi" w:hAnsiTheme="minorHAnsi"/>
          <w:lang w:val="en-GB"/>
        </w:rPr>
        <w:t xml:space="preserve">35%. Forests are a wealth both in terms of nature and economy. They play an extremely important role in climate, water relations, soil conditions and conservation, and are one of the most important components of the ecological landscape. The highest forest cover can be found in the eastern and southern parts of the voivodeship, where the largest forest complexes are located: the diversity of landscapes and ecosystems in West Pomerania results in significant species diversity of plants, animals and natural habitats. Long and wide sandy beaches, dunes and coastal lakes as well as the landscape of young glacial lakes with channel lakes, moraines, post-glacial ponds, peat bogs and wetlands are characteristic elements of the landscape of Western Pomerania. In addition, rivers play an important role in the landscape of the region - especially the Oder and its extensive estuary, as well as rivers in the coastal and lake districts. Surface waters together with internal sea waters cover over 5% of the voivodeship area. </w:t>
      </w:r>
    </w:p>
    <w:p w14:paraId="1470EED4"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According to the provisions of the Programme for Environmental Protection of </w:t>
      </w:r>
      <w:r>
        <w:rPr>
          <w:rFonts w:asciiTheme="minorHAnsi" w:hAnsiTheme="minorHAnsi"/>
          <w:iCs/>
          <w:lang w:val="en-GB"/>
        </w:rPr>
        <w:t>Zachodniopomorskie</w:t>
      </w:r>
      <w:r w:rsidRPr="001C0BFA">
        <w:rPr>
          <w:rFonts w:asciiTheme="minorHAnsi" w:hAnsiTheme="minorHAnsi"/>
          <w:lang w:val="en-GB"/>
        </w:rPr>
        <w:t xml:space="preserve"> Voivodeship 2030 the following threats to ecosystems have been identified: </w:t>
      </w:r>
    </w:p>
    <w:p w14:paraId="4B86F469" w14:textId="77777777" w:rsidR="00552B4C" w:rsidRPr="001C0BFA" w:rsidRDefault="00552B4C" w:rsidP="002B5007">
      <w:pPr>
        <w:pStyle w:val="Akapitzlist"/>
        <w:numPr>
          <w:ilvl w:val="0"/>
          <w:numId w:val="7"/>
        </w:numPr>
        <w:rPr>
          <w:rFonts w:cs="Calibri"/>
          <w:szCs w:val="24"/>
          <w:lang w:val="en-GB"/>
        </w:rPr>
      </w:pPr>
      <w:r w:rsidRPr="001C0BFA">
        <w:rPr>
          <w:rFonts w:cs="Calibri"/>
          <w:szCs w:val="24"/>
          <w:lang w:val="en-GB"/>
        </w:rPr>
        <w:t xml:space="preserve">increasing pressure on natural, forest and landscape resources resulting from urban pressure - progressive sprawl of development outside urbanised areas and transformation of the functions of rural areas is associated with threats to semi-natural habitat ecosystems, and in wetlands poses a threat to valuable water-dependent habitats; </w:t>
      </w:r>
    </w:p>
    <w:p w14:paraId="135B3F3B" w14:textId="77777777" w:rsidR="00552B4C" w:rsidRPr="001C0BFA" w:rsidRDefault="00552B4C" w:rsidP="002B5007">
      <w:pPr>
        <w:pStyle w:val="Akapitzlist"/>
        <w:numPr>
          <w:ilvl w:val="0"/>
          <w:numId w:val="7"/>
        </w:numPr>
        <w:rPr>
          <w:rFonts w:cs="Calibri"/>
          <w:szCs w:val="24"/>
          <w:lang w:val="en-GB"/>
        </w:rPr>
      </w:pPr>
      <w:r>
        <w:rPr>
          <w:rFonts w:cs="Calibri"/>
          <w:lang w:val="en-GB"/>
        </w:rPr>
        <w:t>t</w:t>
      </w:r>
      <w:r w:rsidRPr="001C0BFA">
        <w:rPr>
          <w:rFonts w:cs="Calibri"/>
          <w:szCs w:val="24"/>
          <w:lang w:val="en-GB"/>
        </w:rPr>
        <w:t xml:space="preserve">ourist pressure - lack of generally accessible infrastructure allowing for use of tourist potential without detriment to valuable elements of the natural environment; inadequacy of the existing sewage and waste collection system in the period of increased tourist traffic; </w:t>
      </w:r>
    </w:p>
    <w:p w14:paraId="2E95812B" w14:textId="77777777" w:rsidR="00552B4C" w:rsidRPr="001C0BFA" w:rsidRDefault="00552B4C" w:rsidP="002B5007">
      <w:pPr>
        <w:pStyle w:val="Akapitzlist"/>
        <w:numPr>
          <w:ilvl w:val="0"/>
          <w:numId w:val="7"/>
        </w:numPr>
        <w:rPr>
          <w:rFonts w:cs="Calibri"/>
          <w:szCs w:val="24"/>
          <w:lang w:val="en-GB"/>
        </w:rPr>
      </w:pPr>
      <w:r>
        <w:rPr>
          <w:rFonts w:cs="Calibri"/>
          <w:lang w:val="en-GB"/>
        </w:rPr>
        <w:t>f</w:t>
      </w:r>
      <w:r w:rsidRPr="001C0BFA">
        <w:rPr>
          <w:rFonts w:cs="Calibri"/>
          <w:szCs w:val="24"/>
          <w:lang w:val="en-GB"/>
        </w:rPr>
        <w:t xml:space="preserve">arming contrary to the principles of the Code of Good Practice in Agriculture and land use change, abandonment of traditional agricultural use, introduction of large-scale monoculture crops or fallowing of agricultural land (secondary succession) - may contribute to a decline in biodiversity of ecosystems and gradual degradation of habitats characteristic for rural landscapes; </w:t>
      </w:r>
    </w:p>
    <w:p w14:paraId="38891415" w14:textId="77777777" w:rsidR="00552B4C" w:rsidRPr="001C0BFA" w:rsidRDefault="00552B4C" w:rsidP="002B5007">
      <w:pPr>
        <w:pStyle w:val="Akapitzlist"/>
        <w:numPr>
          <w:ilvl w:val="0"/>
          <w:numId w:val="7"/>
        </w:numPr>
        <w:rPr>
          <w:rFonts w:cs="Calibri"/>
          <w:szCs w:val="24"/>
          <w:lang w:val="en-GB"/>
        </w:rPr>
      </w:pPr>
      <w:r w:rsidRPr="00416483">
        <w:rPr>
          <w:rFonts w:cs="Calibri"/>
          <w:lang w:val="en-GB"/>
        </w:rPr>
        <w:t>activities</w:t>
      </w:r>
      <w:r w:rsidRPr="001C0BFA">
        <w:rPr>
          <w:rFonts w:cs="Calibri"/>
          <w:szCs w:val="24"/>
          <w:lang w:val="en-GB"/>
        </w:rPr>
        <w:t xml:space="preserve"> that disturb the natural hydrological conditions associated with land reclamation and flood protection investments - a threat especially to wetland ecosystems (marshes, peat bogs, oxbow lakes) leading to their gradual drainage; </w:t>
      </w:r>
    </w:p>
    <w:p w14:paraId="7DD42BB6" w14:textId="77777777" w:rsidR="00552B4C" w:rsidRPr="001C0BFA" w:rsidRDefault="00552B4C" w:rsidP="002B5007">
      <w:pPr>
        <w:pStyle w:val="Akapitzlist"/>
        <w:numPr>
          <w:ilvl w:val="0"/>
          <w:numId w:val="7"/>
        </w:numPr>
        <w:rPr>
          <w:rFonts w:cs="Calibri"/>
          <w:szCs w:val="24"/>
          <w:lang w:val="en-GB"/>
        </w:rPr>
      </w:pPr>
      <w:r w:rsidRPr="001C0BFA">
        <w:rPr>
          <w:rFonts w:cs="Calibri"/>
          <w:szCs w:val="24"/>
          <w:lang w:val="en-GB"/>
        </w:rPr>
        <w:t xml:space="preserve">natural phenomena linked to climate change - extreme temperatures, droughts, snowless winters; </w:t>
      </w:r>
    </w:p>
    <w:p w14:paraId="4F9DED43" w14:textId="77777777" w:rsidR="00552B4C" w:rsidRPr="001C0BFA" w:rsidRDefault="00552B4C" w:rsidP="002B5007">
      <w:pPr>
        <w:pStyle w:val="Akapitzlist"/>
        <w:numPr>
          <w:ilvl w:val="0"/>
          <w:numId w:val="7"/>
        </w:numPr>
        <w:rPr>
          <w:rFonts w:cs="Calibri"/>
          <w:szCs w:val="24"/>
          <w:lang w:val="en-GB"/>
        </w:rPr>
      </w:pPr>
      <w:r w:rsidRPr="001C0BFA">
        <w:rPr>
          <w:rFonts w:cs="Calibri"/>
          <w:szCs w:val="24"/>
          <w:lang w:val="en-GB"/>
        </w:rPr>
        <w:t xml:space="preserve">progressive expansion of alien species, including invasive species, threatening native species and natural habitats. </w:t>
      </w:r>
    </w:p>
    <w:p w14:paraId="78A3FED3"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In addition, threats to species and natural habitats in the region were also identified in planning documents prepared for individual forms of nature protection (plans and drafts of protection plans and protection tasks for national parks, plans of protection tasks/protection plans and their drafts for Natura 2000 areas, protection plans for landscape parks). The need to continue educational activities with respect to the objects of protection under legal protection together with the involvement of residents was also indicated. This concerns several aspects - awareness of the natural values located in the immediate vicinity and region as well as the prohibitions and restrictions in force. </w:t>
      </w:r>
    </w:p>
    <w:p w14:paraId="65E06595" w14:textId="47073593"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Within the borders of the voivod</w:t>
      </w:r>
      <w:r>
        <w:rPr>
          <w:rFonts w:asciiTheme="minorHAnsi" w:hAnsiTheme="minorHAnsi"/>
          <w:lang w:val="en-GB"/>
        </w:rPr>
        <w:t>e</w:t>
      </w:r>
      <w:r w:rsidRPr="001C0BFA">
        <w:rPr>
          <w:rFonts w:asciiTheme="minorHAnsi" w:hAnsiTheme="minorHAnsi"/>
          <w:lang w:val="en-GB"/>
        </w:rPr>
        <w:t xml:space="preserve">ship there are 2 national parks: Wolin National Park and Drawa National Park - a form of nature protection of the highest protection rank. They cover </w:t>
      </w:r>
      <w:r>
        <w:rPr>
          <w:rFonts w:asciiTheme="minorHAnsi" w:hAnsiTheme="minorHAnsi"/>
          <w:lang w:val="en-GB"/>
        </w:rPr>
        <w:t xml:space="preserve">above </w:t>
      </w:r>
      <w:r w:rsidRPr="001C0BFA">
        <w:rPr>
          <w:rFonts w:asciiTheme="minorHAnsi" w:hAnsiTheme="minorHAnsi"/>
          <w:lang w:val="en-GB"/>
        </w:rPr>
        <w:t>0.</w:t>
      </w:r>
      <w:r w:rsidR="004110A4">
        <w:rPr>
          <w:rFonts w:asciiTheme="minorHAnsi" w:hAnsiTheme="minorHAnsi"/>
          <w:lang w:val="en-GB"/>
        </w:rPr>
        <w:t>6</w:t>
      </w:r>
      <w:r w:rsidRPr="001C0BFA">
        <w:rPr>
          <w:rFonts w:asciiTheme="minorHAnsi" w:hAnsiTheme="minorHAnsi"/>
          <w:lang w:val="en-GB"/>
        </w:rPr>
        <w:t>% of the voivodeship area</w:t>
      </w:r>
      <w:r>
        <w:rPr>
          <w:rFonts w:asciiTheme="minorHAnsi" w:hAnsiTheme="minorHAnsi"/>
          <w:lang w:val="en-GB"/>
        </w:rPr>
        <w:t>.</w:t>
      </w:r>
      <w:r w:rsidRPr="001C0BFA">
        <w:rPr>
          <w:rFonts w:asciiTheme="minorHAnsi" w:hAnsiTheme="minorHAnsi"/>
          <w:lang w:val="en-GB"/>
        </w:rPr>
        <w:t xml:space="preserve"> Currently</w:t>
      </w:r>
      <w:r>
        <w:rPr>
          <w:rFonts w:asciiTheme="minorHAnsi" w:hAnsiTheme="minorHAnsi"/>
          <w:lang w:val="en-GB"/>
        </w:rPr>
        <w:t>,</w:t>
      </w:r>
      <w:r w:rsidRPr="001C0BFA">
        <w:rPr>
          <w:rFonts w:asciiTheme="minorHAnsi" w:hAnsiTheme="minorHAnsi"/>
          <w:lang w:val="en-GB"/>
        </w:rPr>
        <w:t xml:space="preserve"> 86 Natura 2000 sites have been established in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oivodeship</w:t>
      </w:r>
      <w:r>
        <w:rPr>
          <w:rFonts w:asciiTheme="minorHAnsi" w:hAnsiTheme="minorHAnsi"/>
          <w:lang w:val="en-GB"/>
        </w:rPr>
        <w:t>.</w:t>
      </w:r>
      <w:r w:rsidRPr="001C0BFA">
        <w:rPr>
          <w:rFonts w:asciiTheme="minorHAnsi" w:hAnsiTheme="minorHAnsi"/>
          <w:lang w:val="en-GB"/>
        </w:rPr>
        <w:t xml:space="preserve"> </w:t>
      </w:r>
    </w:p>
    <w:p w14:paraId="6CA601F5" w14:textId="14384F76"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Numerous legally protected areas are located in the area of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oivodeship: 7 landscape parks,</w:t>
      </w:r>
      <w:r w:rsidR="006E38B9">
        <w:rPr>
          <w:rFonts w:asciiTheme="minorHAnsi" w:hAnsiTheme="minorHAnsi"/>
          <w:lang w:val="en-GB"/>
        </w:rPr>
        <w:t xml:space="preserve"> </w:t>
      </w:r>
      <w:r w:rsidRPr="001C0BFA">
        <w:rPr>
          <w:rFonts w:asciiTheme="minorHAnsi" w:hAnsiTheme="minorHAnsi"/>
          <w:lang w:val="en-GB"/>
        </w:rPr>
        <w:t>125 nature reserves, 43 nature and landscape complexes, 22 protected landscape areas, 624 ecological grounds, 2</w:t>
      </w:r>
      <w:r>
        <w:rPr>
          <w:rFonts w:asciiTheme="minorHAnsi" w:hAnsiTheme="minorHAnsi"/>
          <w:lang w:val="en-GB"/>
        </w:rPr>
        <w:t xml:space="preserve"> </w:t>
      </w:r>
      <w:r w:rsidRPr="001C0BFA">
        <w:rPr>
          <w:rFonts w:asciiTheme="minorHAnsi" w:hAnsiTheme="minorHAnsi"/>
          <w:lang w:val="en-GB"/>
        </w:rPr>
        <w:t>383 nature monuments, 9 documentation sites</w:t>
      </w:r>
      <w:r>
        <w:rPr>
          <w:rFonts w:asciiTheme="minorHAnsi" w:hAnsiTheme="minorHAnsi"/>
          <w:lang w:val="en-GB"/>
        </w:rPr>
        <w:t>.</w:t>
      </w:r>
      <w:r w:rsidRPr="001C0BFA">
        <w:rPr>
          <w:rFonts w:asciiTheme="minorHAnsi" w:hAnsiTheme="minorHAnsi"/>
          <w:lang w:val="en-GB"/>
        </w:rPr>
        <w:t xml:space="preserve"> </w:t>
      </w:r>
    </w:p>
    <w:p w14:paraId="5E892D65" w14:textId="77777777" w:rsidR="00CC4BEF" w:rsidRDefault="00CC4BEF" w:rsidP="002B5007">
      <w:pPr>
        <w:pStyle w:val="Default"/>
        <w:spacing w:before="100" w:after="200" w:line="360" w:lineRule="auto"/>
        <w:rPr>
          <w:rFonts w:asciiTheme="minorHAnsi" w:hAnsiTheme="minorHAnsi"/>
          <w:lang w:val="en-GB"/>
        </w:rPr>
      </w:pPr>
      <w:r w:rsidRPr="00CC4BEF">
        <w:rPr>
          <w:rFonts w:asciiTheme="minorHAnsi" w:hAnsiTheme="minorHAnsi"/>
          <w:lang w:val="en-GB"/>
        </w:rPr>
        <w:t xml:space="preserve">As of the end of 2021, the population of Western Pomeranian Voivodeship was 1,682,003. For many years, a negative natural growth rate has been recorded. The problem of depopulation of the voivodeship is compounded by the negative balance of internal migration. Foreign migrations remain positive, and recently have been intensifying due to changes in the geopolitical situation in Europe. Demographic forecasts indicate that the rate of depopulation in the region will increase, so in the next 30 years the number of inhabitants will decrease by more than 13.5%. This trend can be stopped due to the inflow of people from Ukraine. </w:t>
      </w:r>
    </w:p>
    <w:p w14:paraId="7728E09B"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In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 xml:space="preserve">oivodeship municipal infrastructure in the area of water and sewage management is gradually improving year by year.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oivodeship is characterised by a high ratio of water supply networks in Poland. In 2020 this indicator for the voivod</w:t>
      </w:r>
      <w:r>
        <w:rPr>
          <w:rFonts w:asciiTheme="minorHAnsi" w:hAnsiTheme="minorHAnsi"/>
          <w:lang w:val="en-GB"/>
        </w:rPr>
        <w:t>e</w:t>
      </w:r>
      <w:r w:rsidRPr="001C0BFA">
        <w:rPr>
          <w:rFonts w:asciiTheme="minorHAnsi" w:hAnsiTheme="minorHAnsi"/>
          <w:lang w:val="en-GB"/>
        </w:rPr>
        <w:t xml:space="preserve">ship amounted to </w:t>
      </w:r>
      <w:r>
        <w:rPr>
          <w:rFonts w:asciiTheme="minorHAnsi" w:hAnsiTheme="minorHAnsi"/>
          <w:lang w:val="en-GB"/>
        </w:rPr>
        <w:t xml:space="preserve">above </w:t>
      </w:r>
      <w:r w:rsidRPr="001C0BFA">
        <w:rPr>
          <w:rFonts w:asciiTheme="minorHAnsi" w:hAnsiTheme="minorHAnsi"/>
          <w:lang w:val="en-GB"/>
        </w:rPr>
        <w:t>96</w:t>
      </w:r>
      <w:r>
        <w:rPr>
          <w:rFonts w:asciiTheme="minorHAnsi" w:hAnsiTheme="minorHAnsi"/>
          <w:lang w:val="en-GB"/>
        </w:rPr>
        <w:t xml:space="preserve"> </w:t>
      </w:r>
      <w:r w:rsidRPr="001C0BFA">
        <w:rPr>
          <w:rFonts w:asciiTheme="minorHAnsi" w:hAnsiTheme="minorHAnsi"/>
          <w:lang w:val="en-GB"/>
        </w:rPr>
        <w:t xml:space="preserve">%, whereas for Poland it was </w:t>
      </w:r>
      <w:r>
        <w:rPr>
          <w:rFonts w:asciiTheme="minorHAnsi" w:hAnsiTheme="minorHAnsi"/>
          <w:lang w:val="en-GB"/>
        </w:rPr>
        <w:t xml:space="preserve">above </w:t>
      </w:r>
      <w:r w:rsidRPr="001C0BFA">
        <w:rPr>
          <w:rFonts w:asciiTheme="minorHAnsi" w:hAnsiTheme="minorHAnsi"/>
          <w:lang w:val="en-GB"/>
        </w:rPr>
        <w:t>92%, which gives the voivod</w:t>
      </w:r>
      <w:r>
        <w:rPr>
          <w:rFonts w:asciiTheme="minorHAnsi" w:hAnsiTheme="minorHAnsi"/>
          <w:lang w:val="en-GB"/>
        </w:rPr>
        <w:t>e</w:t>
      </w:r>
      <w:r w:rsidRPr="001C0BFA">
        <w:rPr>
          <w:rFonts w:asciiTheme="minorHAnsi" w:hAnsiTheme="minorHAnsi"/>
          <w:lang w:val="en-GB"/>
        </w:rPr>
        <w:t xml:space="preserve">ship the fourth place in the country in terms of the degree of connections. </w:t>
      </w:r>
    </w:p>
    <w:p w14:paraId="763D8501"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analysis of data presented in annual reports on air quality assessments carried out within the framework of the State Monitoring of Environment allows to conclude that the quality of atmospheric air in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 xml:space="preserve">oivodeship has improved slightly but visibly in recent years. </w:t>
      </w:r>
    </w:p>
    <w:p w14:paraId="31246A61"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In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 xml:space="preserve">oivodeship the degradation of land surface is connected with anthropogenic pressure causing destruction of soil and introduction of changes to the geological substrate as a result of development, exploitation of minerals and dumping waste. The highest risk of land surface degradation occurs in the coastal zone and results from intensive recreational and tourist development and land reclamation of polders together with development of port towns (artificial elevation of land level, construction of harbour basins, digging up or filling in channels). This type of anthropogenic degradation is permanent and progressive. </w:t>
      </w:r>
    </w:p>
    <w:p w14:paraId="5D11DE2F"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As regards natural hazards in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oivodeship the phenomenon of abrasion of sea shores and mass movements are significant. Strong storms which have intensified in recent decades and a continuous rise of sea level have intensified the process of coastal erosion, whereas mass movements occur in the zone of terminal and steep moraines, especially on the banks of river valleys crossing it (Odra, Ina, Rega, Parsęta) and trough lakes. The voivod</w:t>
      </w:r>
      <w:r>
        <w:rPr>
          <w:rFonts w:asciiTheme="minorHAnsi" w:hAnsiTheme="minorHAnsi"/>
          <w:lang w:val="en-GB"/>
        </w:rPr>
        <w:t>e</w:t>
      </w:r>
      <w:r w:rsidRPr="001C0BFA">
        <w:rPr>
          <w:rFonts w:asciiTheme="minorHAnsi" w:hAnsiTheme="minorHAnsi"/>
          <w:lang w:val="en-GB"/>
        </w:rPr>
        <w:t xml:space="preserve">ship designates 873 areas prone to landslide hazards, which cover </w:t>
      </w:r>
      <w:r>
        <w:rPr>
          <w:rFonts w:asciiTheme="minorHAnsi" w:hAnsiTheme="minorHAnsi"/>
          <w:lang w:val="en-GB"/>
        </w:rPr>
        <w:t xml:space="preserve">above </w:t>
      </w:r>
      <w:r w:rsidRPr="001C0BFA">
        <w:rPr>
          <w:rFonts w:asciiTheme="minorHAnsi" w:hAnsiTheme="minorHAnsi"/>
          <w:lang w:val="en-GB"/>
        </w:rPr>
        <w:t xml:space="preserve">2% of its area. </w:t>
      </w:r>
    </w:p>
    <w:p w14:paraId="11858DD7"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In the context of climate change (including extreme phenomena) and the potential for energy development,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 xml:space="preserve">oivodeship is characterised by a relatively large number of wind power plants, located in particular in the Baltic Sea coastal strip. </w:t>
      </w:r>
    </w:p>
    <w:p w14:paraId="4B9F1FA3"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resources of natural resources in the area of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 xml:space="preserve">oivodeship are characterised by diversity and variability.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 xml:space="preserve">oivodeship has groundwater resources classified as minerals (brine, therapeutic and thermal waters). Out of 10 groundwater deposits, 7 are exploited. </w:t>
      </w:r>
    </w:p>
    <w:p w14:paraId="328D8256"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In the voivodeship area there are numerous resources of rock materials. A significant problem is illegal exploitation of mainly sands and gravels - the scale of exploitation of natural sand and gravel aggregates without the required licence. </w:t>
      </w:r>
    </w:p>
    <w:p w14:paraId="79CDFA13"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Among the deposits of energy raw materials identified within the borders of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oivodeship one may mention nitrogen gas, natural gas, crude oil (the share of the voivod</w:t>
      </w:r>
      <w:r>
        <w:rPr>
          <w:rFonts w:asciiTheme="minorHAnsi" w:hAnsiTheme="minorHAnsi"/>
          <w:lang w:val="en-GB"/>
        </w:rPr>
        <w:t>e</w:t>
      </w:r>
      <w:r w:rsidRPr="001C0BFA">
        <w:rPr>
          <w:rFonts w:asciiTheme="minorHAnsi" w:hAnsiTheme="minorHAnsi"/>
          <w:lang w:val="en-GB"/>
        </w:rPr>
        <w:t>ship in national output is 10% for natural ga</w:t>
      </w:r>
      <w:r>
        <w:rPr>
          <w:rFonts w:asciiTheme="minorHAnsi" w:hAnsiTheme="minorHAnsi"/>
          <w:lang w:val="en-GB"/>
        </w:rPr>
        <w:t>s and 36,5% for crude oil).</w:t>
      </w:r>
    </w:p>
    <w:p w14:paraId="6DFFAD20"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process of waste disposal and management requires a comprehensive departure. The current closed-cycle economy approach as well as decreasing cubic capacity and number of municipal waste landfill sites necessitate a change in the approach to waste disposal. Currently, 18 active landfills are available in Zachodniopomorskie </w:t>
      </w:r>
      <w:r>
        <w:rPr>
          <w:rFonts w:asciiTheme="minorHAnsi" w:hAnsiTheme="minorHAnsi"/>
          <w:lang w:val="en-GB"/>
        </w:rPr>
        <w:t>voivodeship</w:t>
      </w:r>
      <w:r w:rsidRPr="001C0BFA">
        <w:rPr>
          <w:rFonts w:asciiTheme="minorHAnsi" w:hAnsiTheme="minorHAnsi"/>
          <w:lang w:val="en-GB"/>
        </w:rPr>
        <w:t xml:space="preserve">, compared to 13 in 2010. The current area of active landfills where municipal waste is disposed of at the end of 2020 is </w:t>
      </w:r>
      <w:r>
        <w:rPr>
          <w:rFonts w:asciiTheme="minorHAnsi" w:hAnsiTheme="minorHAnsi"/>
          <w:lang w:val="en-GB"/>
        </w:rPr>
        <w:t xml:space="preserve">about </w:t>
      </w:r>
      <w:r w:rsidRPr="001C0BFA">
        <w:rPr>
          <w:rFonts w:asciiTheme="minorHAnsi" w:hAnsiTheme="minorHAnsi"/>
          <w:lang w:val="en-GB"/>
        </w:rPr>
        <w:t>161</w:t>
      </w:r>
      <w:r>
        <w:rPr>
          <w:rFonts w:asciiTheme="minorHAnsi" w:hAnsiTheme="minorHAnsi"/>
          <w:lang w:val="en-GB"/>
        </w:rPr>
        <w:t xml:space="preserve"> </w:t>
      </w:r>
      <w:r w:rsidRPr="001C0BFA">
        <w:rPr>
          <w:rFonts w:asciiTheme="minorHAnsi" w:hAnsiTheme="minorHAnsi"/>
          <w:lang w:val="en-GB"/>
        </w:rPr>
        <w:t xml:space="preserve">ha and decreased by 32% in relation to 2010. Wild dumps are also a problem. On the positive side, their number is decreasing every year. </w:t>
      </w:r>
    </w:p>
    <w:p w14:paraId="04A198FE"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As a result of activities related to the protection and care of historical monuments in Zachodniopomorskie </w:t>
      </w:r>
      <w:r>
        <w:rPr>
          <w:rFonts w:asciiTheme="minorHAnsi" w:hAnsiTheme="minorHAnsi"/>
          <w:lang w:val="en-GB"/>
        </w:rPr>
        <w:t>voivodeship</w:t>
      </w:r>
      <w:r w:rsidRPr="001C0BFA">
        <w:rPr>
          <w:rFonts w:asciiTheme="minorHAnsi" w:hAnsiTheme="minorHAnsi"/>
          <w:lang w:val="en-GB"/>
        </w:rPr>
        <w:t xml:space="preserve">, 30 so-called Landscape and Cultural Areas have been separated. In the register of monuments in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oivodeship</w:t>
      </w:r>
      <w:r>
        <w:rPr>
          <w:rFonts w:asciiTheme="minorHAnsi" w:hAnsiTheme="minorHAnsi"/>
          <w:lang w:val="en-GB"/>
        </w:rPr>
        <w:t xml:space="preserve"> </w:t>
      </w:r>
      <w:r w:rsidRPr="001C0BFA">
        <w:rPr>
          <w:rFonts w:asciiTheme="minorHAnsi" w:hAnsiTheme="minorHAnsi"/>
          <w:lang w:val="en-GB"/>
        </w:rPr>
        <w:t>there are 4</w:t>
      </w:r>
      <w:r>
        <w:rPr>
          <w:rFonts w:asciiTheme="minorHAnsi" w:hAnsiTheme="minorHAnsi"/>
          <w:lang w:val="en-GB"/>
        </w:rPr>
        <w:t xml:space="preserve"> </w:t>
      </w:r>
      <w:r w:rsidRPr="001C0BFA">
        <w:rPr>
          <w:rFonts w:asciiTheme="minorHAnsi" w:hAnsiTheme="minorHAnsi"/>
          <w:lang w:val="en-GB"/>
        </w:rPr>
        <w:t>404 immovable objects, 2</w:t>
      </w:r>
      <w:r>
        <w:rPr>
          <w:rFonts w:asciiTheme="minorHAnsi" w:hAnsiTheme="minorHAnsi"/>
          <w:lang w:val="en-GB"/>
        </w:rPr>
        <w:t xml:space="preserve"> </w:t>
      </w:r>
      <w:r w:rsidRPr="001C0BFA">
        <w:rPr>
          <w:rFonts w:asciiTheme="minorHAnsi" w:hAnsiTheme="minorHAnsi"/>
          <w:lang w:val="en-GB"/>
        </w:rPr>
        <w:t>231 movable objects</w:t>
      </w:r>
      <w:r>
        <w:rPr>
          <w:rFonts w:asciiTheme="minorHAnsi" w:hAnsiTheme="minorHAnsi"/>
          <w:lang w:val="en-GB"/>
        </w:rPr>
        <w:t>,</w:t>
      </w:r>
      <w:r w:rsidRPr="001C0BFA">
        <w:rPr>
          <w:rFonts w:asciiTheme="minorHAnsi" w:hAnsiTheme="minorHAnsi"/>
          <w:lang w:val="en-GB"/>
        </w:rPr>
        <w:t xml:space="preserve"> 370 archaeological objects</w:t>
      </w:r>
      <w:r w:rsidRPr="00791AA1">
        <w:rPr>
          <w:rFonts w:asciiTheme="minorHAnsi" w:hAnsiTheme="minorHAnsi"/>
          <w:lang w:val="en-GB"/>
        </w:rPr>
        <w:t xml:space="preserve"> </w:t>
      </w:r>
      <w:r>
        <w:rPr>
          <w:rFonts w:asciiTheme="minorHAnsi" w:hAnsiTheme="minorHAnsi"/>
          <w:lang w:val="en-GB"/>
        </w:rPr>
        <w:t xml:space="preserve">(data from </w:t>
      </w:r>
      <w:r w:rsidRPr="001C0BFA">
        <w:rPr>
          <w:rFonts w:asciiTheme="minorHAnsi" w:hAnsiTheme="minorHAnsi"/>
          <w:lang w:val="en-GB"/>
        </w:rPr>
        <w:t>11.01.2022</w:t>
      </w:r>
      <w:r>
        <w:rPr>
          <w:rFonts w:asciiTheme="minorHAnsi" w:hAnsiTheme="minorHAnsi"/>
          <w:lang w:val="en-GB"/>
        </w:rPr>
        <w:t>).</w:t>
      </w:r>
    </w:p>
    <w:p w14:paraId="4676FF32"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There are no cultural heritage sites inscribed on the UNESCO World Heritage List in the area of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 xml:space="preserve">oivodeship. </w:t>
      </w:r>
    </w:p>
    <w:p w14:paraId="5E290079" w14:textId="7A43171D"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In the next step of the analysis within the framework of the Assessment, the </w:t>
      </w:r>
      <w:r w:rsidRPr="001C0BFA">
        <w:rPr>
          <w:rFonts w:asciiTheme="minorHAnsi" w:hAnsiTheme="minorHAnsi"/>
          <w:b/>
          <w:bCs/>
          <w:lang w:val="en-GB"/>
        </w:rPr>
        <w:t xml:space="preserve">effects of </w:t>
      </w:r>
      <w:r w:rsidRPr="001C0BFA">
        <w:rPr>
          <w:rFonts w:asciiTheme="minorHAnsi" w:hAnsiTheme="minorHAnsi"/>
          <w:lang w:val="en-GB"/>
        </w:rPr>
        <w:t xml:space="preserve">implementation of the draft </w:t>
      </w:r>
      <w:r w:rsidR="00D4052B">
        <w:rPr>
          <w:rFonts w:asciiTheme="minorHAnsi" w:hAnsiTheme="minorHAnsi"/>
          <w:lang w:val="en-GB"/>
        </w:rPr>
        <w:t>FEPZ</w:t>
      </w:r>
      <w:r w:rsidRPr="001C0BFA">
        <w:rPr>
          <w:rFonts w:asciiTheme="minorHAnsi" w:hAnsiTheme="minorHAnsi"/>
          <w:lang w:val="en-GB"/>
        </w:rPr>
        <w:t xml:space="preserve"> 2021-2027 </w:t>
      </w:r>
      <w:r w:rsidRPr="001C0BFA">
        <w:rPr>
          <w:rFonts w:asciiTheme="minorHAnsi" w:hAnsiTheme="minorHAnsi"/>
          <w:b/>
          <w:bCs/>
          <w:lang w:val="en-GB"/>
        </w:rPr>
        <w:t xml:space="preserve">were assessed </w:t>
      </w:r>
      <w:r w:rsidRPr="001C0BFA">
        <w:rPr>
          <w:rFonts w:asciiTheme="minorHAnsi" w:hAnsiTheme="minorHAnsi"/>
          <w:lang w:val="en-GB"/>
        </w:rPr>
        <w:t xml:space="preserve">taking into account the impact on individual components of the environment. The most significant impacts resulting from the implementation of individual specific objectives of the </w:t>
      </w:r>
      <w:r w:rsidR="00D4052B">
        <w:rPr>
          <w:rFonts w:asciiTheme="minorHAnsi" w:hAnsiTheme="minorHAnsi"/>
          <w:lang w:val="en-GB"/>
        </w:rPr>
        <w:t>FEPZ</w:t>
      </w:r>
      <w:r w:rsidRPr="001C0BFA">
        <w:rPr>
          <w:rFonts w:asciiTheme="minorHAnsi" w:hAnsiTheme="minorHAnsi"/>
          <w:lang w:val="en-GB"/>
        </w:rPr>
        <w:t xml:space="preserve"> 2021-2027 were identified. </w:t>
      </w:r>
    </w:p>
    <w:p w14:paraId="6603FD98" w14:textId="34256049"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In order to ensure legibility of the assessment of the environmental effects of the implementation of projects under the draft </w:t>
      </w:r>
      <w:r w:rsidR="00D4052B">
        <w:rPr>
          <w:rFonts w:asciiTheme="minorHAnsi" w:hAnsiTheme="minorHAnsi"/>
          <w:lang w:val="en-GB"/>
        </w:rPr>
        <w:t>FEPZ</w:t>
      </w:r>
      <w:r w:rsidRPr="001C0BFA">
        <w:rPr>
          <w:rFonts w:asciiTheme="minorHAnsi" w:hAnsiTheme="minorHAnsi"/>
          <w:lang w:val="en-GB"/>
        </w:rPr>
        <w:t xml:space="preserve"> 2021-2027, summaries illustrating the impact of project types on individual environmental components were presented. </w:t>
      </w:r>
    </w:p>
    <w:p w14:paraId="42248FAD" w14:textId="6A1595D9"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The draft</w:t>
      </w:r>
      <w:r>
        <w:rPr>
          <w:rFonts w:asciiTheme="minorHAnsi" w:hAnsiTheme="minorHAnsi"/>
          <w:lang w:val="en-GB"/>
        </w:rPr>
        <w:t xml:space="preserve"> </w:t>
      </w:r>
      <w:r w:rsidR="00D4052B">
        <w:rPr>
          <w:rFonts w:asciiTheme="minorHAnsi" w:hAnsiTheme="minorHAnsi"/>
          <w:lang w:val="en-GB"/>
        </w:rPr>
        <w:t>FEPZ</w:t>
      </w:r>
      <w:r w:rsidRPr="001C0BFA">
        <w:rPr>
          <w:rFonts w:asciiTheme="minorHAnsi" w:hAnsiTheme="minorHAnsi"/>
          <w:lang w:val="en-GB"/>
        </w:rPr>
        <w:t xml:space="preserve"> 2021-2027 envisages carrying out activities for the improvement of the environment</w:t>
      </w:r>
      <w:r w:rsidR="004110A4" w:rsidRPr="001C0BFA" w:rsidDel="004110A4">
        <w:rPr>
          <w:rFonts w:asciiTheme="minorHAnsi" w:hAnsiTheme="minorHAnsi"/>
          <w:lang w:val="en-GB"/>
        </w:rPr>
        <w:t xml:space="preserve"> </w:t>
      </w:r>
      <w:r w:rsidRPr="001C0BFA">
        <w:rPr>
          <w:rFonts w:asciiTheme="minorHAnsi" w:hAnsiTheme="minorHAnsi"/>
          <w:lang w:val="en-GB"/>
        </w:rPr>
        <w:t xml:space="preserve">through: </w:t>
      </w:r>
    </w:p>
    <w:p w14:paraId="0FA8C96D" w14:textId="77777777" w:rsidR="00552B4C" w:rsidRPr="001C0BFA" w:rsidRDefault="00552B4C" w:rsidP="002B5007">
      <w:pPr>
        <w:pStyle w:val="Default"/>
        <w:numPr>
          <w:ilvl w:val="0"/>
          <w:numId w:val="54"/>
        </w:numPr>
        <w:spacing w:before="100" w:after="200" w:line="360" w:lineRule="auto"/>
        <w:rPr>
          <w:rFonts w:asciiTheme="minorHAnsi" w:hAnsiTheme="minorHAnsi"/>
          <w:lang w:val="en-GB"/>
        </w:rPr>
      </w:pPr>
      <w:r w:rsidRPr="001C0BFA">
        <w:rPr>
          <w:rFonts w:asciiTheme="minorHAnsi" w:hAnsiTheme="minorHAnsi"/>
          <w:lang w:val="en-GB"/>
        </w:rPr>
        <w:t xml:space="preserve">reducing greenhouse gas emissions, </w:t>
      </w:r>
    </w:p>
    <w:p w14:paraId="59440B73" w14:textId="77777777" w:rsidR="00552B4C" w:rsidRPr="001C0BFA" w:rsidRDefault="00552B4C" w:rsidP="002B5007">
      <w:pPr>
        <w:pStyle w:val="Default"/>
        <w:numPr>
          <w:ilvl w:val="0"/>
          <w:numId w:val="54"/>
        </w:numPr>
        <w:spacing w:before="100" w:after="200" w:line="360" w:lineRule="auto"/>
        <w:rPr>
          <w:rFonts w:asciiTheme="minorHAnsi" w:hAnsiTheme="minorHAnsi"/>
          <w:lang w:val="en-GB"/>
        </w:rPr>
      </w:pPr>
      <w:r w:rsidRPr="001C0BFA">
        <w:rPr>
          <w:rFonts w:asciiTheme="minorHAnsi" w:hAnsiTheme="minorHAnsi"/>
          <w:lang w:val="en-GB"/>
        </w:rPr>
        <w:t xml:space="preserve">reducing emissions of pollutants into the environment, </w:t>
      </w:r>
    </w:p>
    <w:p w14:paraId="2278251A" w14:textId="77777777" w:rsidR="00552B4C" w:rsidRPr="001C0BFA" w:rsidRDefault="00552B4C" w:rsidP="002B5007">
      <w:pPr>
        <w:pStyle w:val="Default"/>
        <w:numPr>
          <w:ilvl w:val="0"/>
          <w:numId w:val="54"/>
        </w:numPr>
        <w:spacing w:before="100" w:after="200" w:line="360" w:lineRule="auto"/>
        <w:rPr>
          <w:rFonts w:asciiTheme="minorHAnsi" w:hAnsiTheme="minorHAnsi"/>
          <w:lang w:val="en-GB"/>
        </w:rPr>
      </w:pPr>
      <w:r w:rsidRPr="001C0BFA">
        <w:rPr>
          <w:rFonts w:asciiTheme="minorHAnsi" w:hAnsiTheme="minorHAnsi"/>
          <w:lang w:val="en-GB"/>
        </w:rPr>
        <w:t xml:space="preserve">reducing energy consumption, </w:t>
      </w:r>
    </w:p>
    <w:p w14:paraId="7634269E" w14:textId="77777777" w:rsidR="00552B4C" w:rsidRPr="001C0BFA" w:rsidRDefault="00552B4C" w:rsidP="002B5007">
      <w:pPr>
        <w:pStyle w:val="Default"/>
        <w:numPr>
          <w:ilvl w:val="0"/>
          <w:numId w:val="54"/>
        </w:numPr>
        <w:spacing w:before="100" w:after="200" w:line="360" w:lineRule="auto"/>
        <w:rPr>
          <w:rFonts w:asciiTheme="minorHAnsi" w:hAnsiTheme="minorHAnsi"/>
          <w:lang w:val="en-GB"/>
        </w:rPr>
      </w:pPr>
      <w:r w:rsidRPr="001C0BFA">
        <w:rPr>
          <w:rFonts w:asciiTheme="minorHAnsi" w:hAnsiTheme="minorHAnsi"/>
          <w:lang w:val="en-GB"/>
        </w:rPr>
        <w:t xml:space="preserve">development of RES, </w:t>
      </w:r>
    </w:p>
    <w:p w14:paraId="49BA62E0" w14:textId="77777777" w:rsidR="00552B4C" w:rsidRPr="001C0BFA" w:rsidRDefault="00552B4C" w:rsidP="002B5007">
      <w:pPr>
        <w:pStyle w:val="Default"/>
        <w:numPr>
          <w:ilvl w:val="0"/>
          <w:numId w:val="54"/>
        </w:numPr>
        <w:spacing w:before="100" w:after="200" w:line="360" w:lineRule="auto"/>
        <w:rPr>
          <w:rFonts w:asciiTheme="minorHAnsi" w:hAnsiTheme="minorHAnsi"/>
          <w:lang w:val="en-GB"/>
        </w:rPr>
      </w:pPr>
      <w:r w:rsidRPr="001C0BFA">
        <w:rPr>
          <w:rFonts w:asciiTheme="minorHAnsi" w:hAnsiTheme="minorHAnsi"/>
          <w:lang w:val="en-GB"/>
        </w:rPr>
        <w:t xml:space="preserve">comprehensive measures to improve the condition and conservation of natural habitats and the protection of species that constitute the natural resources of </w:t>
      </w:r>
      <w:r>
        <w:rPr>
          <w:rFonts w:asciiTheme="minorHAnsi" w:hAnsiTheme="minorHAnsi"/>
          <w:iCs/>
          <w:lang w:val="en-GB"/>
        </w:rPr>
        <w:t>Zachodniopomorskie</w:t>
      </w:r>
      <w:r w:rsidRPr="001C0BFA">
        <w:rPr>
          <w:rFonts w:asciiTheme="minorHAnsi" w:hAnsiTheme="minorHAnsi"/>
          <w:lang w:val="en-GB"/>
        </w:rPr>
        <w:t xml:space="preserve"> </w:t>
      </w:r>
      <w:r>
        <w:rPr>
          <w:rFonts w:asciiTheme="minorHAnsi" w:hAnsiTheme="minorHAnsi"/>
          <w:lang w:val="en-GB"/>
        </w:rPr>
        <w:t>v</w:t>
      </w:r>
      <w:r w:rsidRPr="001C0BFA">
        <w:rPr>
          <w:rFonts w:asciiTheme="minorHAnsi" w:hAnsiTheme="minorHAnsi"/>
          <w:lang w:val="en-GB"/>
        </w:rPr>
        <w:t xml:space="preserve">oivodeship, </w:t>
      </w:r>
    </w:p>
    <w:p w14:paraId="0E6FFF5F" w14:textId="77777777" w:rsidR="00552B4C" w:rsidRPr="001C0BFA" w:rsidRDefault="00552B4C" w:rsidP="002B5007">
      <w:pPr>
        <w:pStyle w:val="Default"/>
        <w:numPr>
          <w:ilvl w:val="0"/>
          <w:numId w:val="54"/>
        </w:numPr>
        <w:spacing w:before="100" w:after="200" w:line="360" w:lineRule="auto"/>
        <w:rPr>
          <w:rFonts w:asciiTheme="minorHAnsi" w:hAnsiTheme="minorHAnsi"/>
          <w:lang w:val="en-GB"/>
        </w:rPr>
      </w:pPr>
      <w:r w:rsidRPr="001C0BFA">
        <w:rPr>
          <w:rFonts w:asciiTheme="minorHAnsi" w:hAnsiTheme="minorHAnsi"/>
          <w:lang w:val="en-GB"/>
        </w:rPr>
        <w:t xml:space="preserve">prevention of adverse phenomena and processes resulting from climate change, </w:t>
      </w:r>
    </w:p>
    <w:p w14:paraId="79A4AABD" w14:textId="77777777" w:rsidR="00552B4C" w:rsidRPr="001C0BFA" w:rsidRDefault="00552B4C" w:rsidP="002B5007">
      <w:pPr>
        <w:pStyle w:val="Default"/>
        <w:numPr>
          <w:ilvl w:val="0"/>
          <w:numId w:val="54"/>
        </w:numPr>
        <w:spacing w:before="100" w:after="200" w:line="360" w:lineRule="auto"/>
        <w:rPr>
          <w:rFonts w:asciiTheme="minorHAnsi" w:hAnsiTheme="minorHAnsi"/>
          <w:lang w:val="en-GB"/>
        </w:rPr>
      </w:pPr>
      <w:r w:rsidRPr="001C0BFA">
        <w:rPr>
          <w:rFonts w:asciiTheme="minorHAnsi" w:hAnsiTheme="minorHAnsi"/>
          <w:lang w:val="en-GB"/>
        </w:rPr>
        <w:t xml:space="preserve">improving access to good quality water resources while rationalising their use, </w:t>
      </w:r>
    </w:p>
    <w:p w14:paraId="3D36FC96" w14:textId="77777777" w:rsidR="00552B4C" w:rsidRPr="001C0BFA" w:rsidRDefault="00552B4C" w:rsidP="002B5007">
      <w:pPr>
        <w:pStyle w:val="Default"/>
        <w:numPr>
          <w:ilvl w:val="0"/>
          <w:numId w:val="54"/>
        </w:numPr>
        <w:spacing w:before="100" w:after="200" w:line="360" w:lineRule="auto"/>
        <w:rPr>
          <w:rFonts w:asciiTheme="minorHAnsi" w:hAnsiTheme="minorHAnsi"/>
          <w:lang w:val="en-GB"/>
        </w:rPr>
      </w:pPr>
      <w:r w:rsidRPr="001C0BFA">
        <w:rPr>
          <w:rFonts w:asciiTheme="minorHAnsi" w:hAnsiTheme="minorHAnsi"/>
          <w:lang w:val="en-GB"/>
        </w:rPr>
        <w:t xml:space="preserve">the development of green technologies and the transition to a green economy, </w:t>
      </w:r>
    </w:p>
    <w:p w14:paraId="0184DDF0" w14:textId="77777777" w:rsidR="00552B4C" w:rsidRPr="001C0BFA" w:rsidRDefault="00552B4C" w:rsidP="002B5007">
      <w:pPr>
        <w:pStyle w:val="Default"/>
        <w:numPr>
          <w:ilvl w:val="0"/>
          <w:numId w:val="54"/>
        </w:numPr>
        <w:spacing w:before="100" w:after="200" w:line="360" w:lineRule="auto"/>
        <w:rPr>
          <w:rFonts w:asciiTheme="minorHAnsi" w:hAnsiTheme="minorHAnsi"/>
          <w:lang w:val="en-GB"/>
        </w:rPr>
      </w:pPr>
      <w:r w:rsidRPr="001C0BFA">
        <w:rPr>
          <w:rFonts w:asciiTheme="minorHAnsi" w:hAnsiTheme="minorHAnsi"/>
          <w:lang w:val="en-GB"/>
        </w:rPr>
        <w:t xml:space="preserve">developing a closed loop economy and rationalising the use of natural resources, </w:t>
      </w:r>
    </w:p>
    <w:p w14:paraId="6142F2B0" w14:textId="77777777" w:rsidR="00552B4C" w:rsidRPr="001C0BFA" w:rsidRDefault="00552B4C" w:rsidP="002B5007">
      <w:pPr>
        <w:pStyle w:val="Default"/>
        <w:numPr>
          <w:ilvl w:val="0"/>
          <w:numId w:val="54"/>
        </w:numPr>
        <w:spacing w:before="100" w:after="200" w:line="360" w:lineRule="auto"/>
        <w:rPr>
          <w:rFonts w:asciiTheme="minorHAnsi" w:hAnsiTheme="minorHAnsi"/>
          <w:lang w:val="en-GB"/>
        </w:rPr>
      </w:pPr>
      <w:r w:rsidRPr="001C0BFA">
        <w:rPr>
          <w:rFonts w:asciiTheme="minorHAnsi" w:hAnsiTheme="minorHAnsi"/>
          <w:lang w:val="en-GB"/>
        </w:rPr>
        <w:t xml:space="preserve">noise reduction, </w:t>
      </w:r>
    </w:p>
    <w:p w14:paraId="6065341C" w14:textId="77777777" w:rsidR="00552B4C" w:rsidRPr="001C0BFA" w:rsidRDefault="00552B4C" w:rsidP="002B5007">
      <w:pPr>
        <w:pStyle w:val="Default"/>
        <w:numPr>
          <w:ilvl w:val="0"/>
          <w:numId w:val="54"/>
        </w:numPr>
        <w:spacing w:before="100" w:after="200" w:line="360" w:lineRule="auto"/>
        <w:rPr>
          <w:rFonts w:asciiTheme="minorHAnsi" w:hAnsiTheme="minorHAnsi"/>
          <w:lang w:val="en-GB"/>
        </w:rPr>
      </w:pPr>
      <w:r w:rsidRPr="001C0BFA">
        <w:rPr>
          <w:rFonts w:asciiTheme="minorHAnsi" w:hAnsiTheme="minorHAnsi"/>
          <w:lang w:val="en-GB"/>
        </w:rPr>
        <w:t xml:space="preserve">improving air quality, </w:t>
      </w:r>
    </w:p>
    <w:p w14:paraId="2ECE8780" w14:textId="61762B1E" w:rsidR="00552B4C" w:rsidRPr="006E38B9" w:rsidRDefault="00552B4C" w:rsidP="002B5007">
      <w:pPr>
        <w:pStyle w:val="Default"/>
        <w:numPr>
          <w:ilvl w:val="0"/>
          <w:numId w:val="54"/>
        </w:numPr>
        <w:spacing w:before="100" w:after="200" w:line="360" w:lineRule="auto"/>
        <w:rPr>
          <w:rFonts w:asciiTheme="minorHAnsi" w:hAnsiTheme="minorHAnsi"/>
          <w:lang w:val="en-GB"/>
        </w:rPr>
      </w:pPr>
      <w:r w:rsidRPr="001C0BFA">
        <w:rPr>
          <w:rFonts w:asciiTheme="minorHAnsi" w:hAnsiTheme="minorHAnsi"/>
          <w:lang w:val="en-GB"/>
        </w:rPr>
        <w:t xml:space="preserve">improving the quality of water and wastewater infrastructure. </w:t>
      </w:r>
    </w:p>
    <w:p w14:paraId="4430FBF6" w14:textId="3990C881"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implementation of the </w:t>
      </w:r>
      <w:r w:rsidR="00D4052B">
        <w:rPr>
          <w:rFonts w:asciiTheme="minorHAnsi" w:hAnsiTheme="minorHAnsi"/>
          <w:lang w:val="en-GB"/>
        </w:rPr>
        <w:t>FEPZ</w:t>
      </w:r>
      <w:r w:rsidRPr="001C0BFA">
        <w:rPr>
          <w:rFonts w:asciiTheme="minorHAnsi" w:hAnsiTheme="minorHAnsi"/>
          <w:lang w:val="en-GB"/>
        </w:rPr>
        <w:t xml:space="preserve"> 2021-2027 Programme will also have a positive impact on the health and quality of life of residents through: </w:t>
      </w:r>
    </w:p>
    <w:p w14:paraId="263EEAA1" w14:textId="77777777" w:rsidR="00552B4C" w:rsidRPr="001C0BFA" w:rsidRDefault="00552B4C" w:rsidP="002B5007">
      <w:pPr>
        <w:pStyle w:val="Default"/>
        <w:numPr>
          <w:ilvl w:val="0"/>
          <w:numId w:val="55"/>
        </w:numPr>
        <w:spacing w:before="100" w:after="200" w:line="360" w:lineRule="auto"/>
        <w:rPr>
          <w:rFonts w:asciiTheme="minorHAnsi" w:hAnsiTheme="minorHAnsi"/>
          <w:lang w:val="en-GB"/>
        </w:rPr>
      </w:pPr>
      <w:r w:rsidRPr="001C0BFA">
        <w:rPr>
          <w:rFonts w:asciiTheme="minorHAnsi" w:hAnsiTheme="minorHAnsi"/>
          <w:lang w:val="en-GB"/>
        </w:rPr>
        <w:t xml:space="preserve">development of electronic services (e-services) covering areas such as tourism, sport, agriculture, environmental protection, communication and transport organisation and mobility, </w:t>
      </w:r>
    </w:p>
    <w:p w14:paraId="56BBE94B" w14:textId="77777777" w:rsidR="00552B4C" w:rsidRPr="001C0BFA" w:rsidRDefault="00552B4C" w:rsidP="002B5007">
      <w:pPr>
        <w:pStyle w:val="Default"/>
        <w:numPr>
          <w:ilvl w:val="0"/>
          <w:numId w:val="55"/>
        </w:numPr>
        <w:spacing w:before="100" w:after="200" w:line="360" w:lineRule="auto"/>
        <w:rPr>
          <w:rFonts w:asciiTheme="minorHAnsi" w:hAnsiTheme="minorHAnsi"/>
          <w:lang w:val="en-GB"/>
        </w:rPr>
      </w:pPr>
      <w:r w:rsidRPr="001C0BFA">
        <w:rPr>
          <w:rFonts w:asciiTheme="minorHAnsi" w:hAnsiTheme="minorHAnsi"/>
          <w:lang w:val="en-GB"/>
        </w:rPr>
        <w:t xml:space="preserve">developing digital content for citizens and businesses, </w:t>
      </w:r>
    </w:p>
    <w:p w14:paraId="01F1D50A" w14:textId="77777777" w:rsidR="00552B4C" w:rsidRPr="001C0BFA" w:rsidRDefault="00552B4C" w:rsidP="002B5007">
      <w:pPr>
        <w:pStyle w:val="Default"/>
        <w:numPr>
          <w:ilvl w:val="0"/>
          <w:numId w:val="55"/>
        </w:numPr>
        <w:spacing w:before="100" w:after="200" w:line="360" w:lineRule="auto"/>
        <w:rPr>
          <w:rFonts w:asciiTheme="minorHAnsi" w:hAnsiTheme="minorHAnsi"/>
          <w:lang w:val="en-GB"/>
        </w:rPr>
      </w:pPr>
      <w:r w:rsidRPr="001C0BFA">
        <w:rPr>
          <w:rFonts w:asciiTheme="minorHAnsi" w:hAnsiTheme="minorHAnsi"/>
          <w:lang w:val="en-GB"/>
        </w:rPr>
        <w:t xml:space="preserve">development of labour market resources through professional activation, improving qualifications and competences of working people, including those with an unstable position on the labour market, those leaving agriculture and the working poor, </w:t>
      </w:r>
    </w:p>
    <w:p w14:paraId="35869E99" w14:textId="77777777" w:rsidR="00552B4C" w:rsidRPr="001C0BFA" w:rsidRDefault="00552B4C" w:rsidP="002B5007">
      <w:pPr>
        <w:pStyle w:val="Default"/>
        <w:numPr>
          <w:ilvl w:val="0"/>
          <w:numId w:val="55"/>
        </w:numPr>
        <w:spacing w:before="100" w:after="200" w:line="360" w:lineRule="auto"/>
        <w:rPr>
          <w:rFonts w:asciiTheme="minorHAnsi" w:hAnsiTheme="minorHAnsi"/>
          <w:lang w:val="en-GB"/>
        </w:rPr>
      </w:pPr>
      <w:r w:rsidRPr="001C0BFA">
        <w:rPr>
          <w:rFonts w:asciiTheme="minorHAnsi" w:hAnsiTheme="minorHAnsi"/>
          <w:lang w:val="en-GB"/>
        </w:rPr>
        <w:t xml:space="preserve">improving the quality and accessibility of social service providers, </w:t>
      </w:r>
    </w:p>
    <w:p w14:paraId="087F35BF" w14:textId="77777777" w:rsidR="00552B4C" w:rsidRPr="001C0BFA" w:rsidRDefault="00552B4C" w:rsidP="002B5007">
      <w:pPr>
        <w:pStyle w:val="Default"/>
        <w:numPr>
          <w:ilvl w:val="0"/>
          <w:numId w:val="55"/>
        </w:numPr>
        <w:spacing w:before="100" w:after="200" w:line="360" w:lineRule="auto"/>
        <w:rPr>
          <w:rFonts w:asciiTheme="minorHAnsi" w:hAnsiTheme="minorHAnsi"/>
          <w:lang w:val="en-GB"/>
        </w:rPr>
      </w:pPr>
      <w:r w:rsidRPr="001C0BFA">
        <w:rPr>
          <w:rFonts w:asciiTheme="minorHAnsi" w:hAnsiTheme="minorHAnsi"/>
          <w:lang w:val="en-GB"/>
        </w:rPr>
        <w:t xml:space="preserve">support for socio-economic integration, </w:t>
      </w:r>
    </w:p>
    <w:p w14:paraId="133D828F" w14:textId="77777777" w:rsidR="00552B4C" w:rsidRPr="001C0BFA" w:rsidRDefault="00552B4C" w:rsidP="002B5007">
      <w:pPr>
        <w:pStyle w:val="Default"/>
        <w:numPr>
          <w:ilvl w:val="0"/>
          <w:numId w:val="55"/>
        </w:numPr>
        <w:spacing w:before="100" w:after="200" w:line="360" w:lineRule="auto"/>
        <w:rPr>
          <w:rFonts w:asciiTheme="minorHAnsi" w:hAnsiTheme="minorHAnsi"/>
          <w:lang w:val="en-GB"/>
        </w:rPr>
      </w:pPr>
      <w:r w:rsidRPr="001C0BFA">
        <w:rPr>
          <w:rFonts w:asciiTheme="minorHAnsi" w:hAnsiTheme="minorHAnsi"/>
          <w:lang w:val="en-GB"/>
        </w:rPr>
        <w:t xml:space="preserve">improvement of accessibility to medical services, including development of the quality of provision of these services through improvement of operating conditions, development of infrastructure and equipment of medical institutions, </w:t>
      </w:r>
    </w:p>
    <w:p w14:paraId="39C654D5" w14:textId="77777777" w:rsidR="00552B4C" w:rsidRDefault="00552B4C" w:rsidP="002B5007">
      <w:pPr>
        <w:pStyle w:val="Default"/>
        <w:numPr>
          <w:ilvl w:val="0"/>
          <w:numId w:val="55"/>
        </w:numPr>
        <w:spacing w:before="100" w:after="200" w:line="360" w:lineRule="auto"/>
        <w:rPr>
          <w:rFonts w:asciiTheme="minorHAnsi" w:hAnsiTheme="minorHAnsi"/>
          <w:lang w:val="en-GB"/>
        </w:rPr>
      </w:pPr>
      <w:r w:rsidRPr="001C0BFA">
        <w:rPr>
          <w:rFonts w:asciiTheme="minorHAnsi" w:hAnsiTheme="minorHAnsi"/>
          <w:lang w:val="en-GB"/>
        </w:rPr>
        <w:t xml:space="preserve">development of sustainable tourism and expansion of leisure activities, </w:t>
      </w:r>
    </w:p>
    <w:p w14:paraId="08B141A7" w14:textId="77777777" w:rsidR="00552B4C" w:rsidRPr="00416483" w:rsidRDefault="00552B4C" w:rsidP="002B5007">
      <w:pPr>
        <w:pStyle w:val="Default"/>
        <w:numPr>
          <w:ilvl w:val="0"/>
          <w:numId w:val="55"/>
        </w:numPr>
        <w:spacing w:before="100" w:after="200" w:line="360" w:lineRule="auto"/>
        <w:rPr>
          <w:rFonts w:asciiTheme="minorHAnsi" w:hAnsiTheme="minorHAnsi"/>
          <w:lang w:val="en-GB"/>
        </w:rPr>
      </w:pPr>
      <w:r w:rsidRPr="00416483">
        <w:rPr>
          <w:rFonts w:asciiTheme="minorHAnsi" w:hAnsiTheme="minorHAnsi"/>
          <w:lang w:val="en-GB"/>
        </w:rPr>
        <w:t xml:space="preserve">improving human health (e.g. by reducing polluting emissions), </w:t>
      </w:r>
    </w:p>
    <w:p w14:paraId="13306815" w14:textId="77777777" w:rsidR="00552B4C" w:rsidRPr="00416483" w:rsidRDefault="00552B4C" w:rsidP="002B5007">
      <w:pPr>
        <w:pStyle w:val="Default"/>
        <w:numPr>
          <w:ilvl w:val="0"/>
          <w:numId w:val="55"/>
        </w:numPr>
        <w:spacing w:before="100" w:after="200" w:line="360" w:lineRule="auto"/>
        <w:rPr>
          <w:rFonts w:asciiTheme="minorHAnsi" w:hAnsiTheme="minorHAnsi"/>
          <w:lang w:val="en-GB"/>
        </w:rPr>
      </w:pPr>
      <w:r w:rsidRPr="00416483">
        <w:rPr>
          <w:rFonts w:asciiTheme="minorHAnsi" w:hAnsiTheme="minorHAnsi"/>
          <w:lang w:val="en-GB"/>
        </w:rPr>
        <w:t xml:space="preserve">an increased sense of security, order and social balance among residents. </w:t>
      </w:r>
    </w:p>
    <w:p w14:paraId="43159AE3" w14:textId="77777777" w:rsidR="00552B4C" w:rsidRPr="00416483" w:rsidRDefault="00552B4C" w:rsidP="002B5007">
      <w:pPr>
        <w:pStyle w:val="Default"/>
        <w:spacing w:before="100" w:line="360" w:lineRule="auto"/>
        <w:rPr>
          <w:rFonts w:asciiTheme="minorHAnsi" w:hAnsiTheme="minorHAnsi"/>
          <w:lang w:val="en-GB"/>
        </w:rPr>
      </w:pPr>
      <w:r w:rsidRPr="00416483">
        <w:rPr>
          <w:rFonts w:asciiTheme="minorHAnsi" w:hAnsiTheme="minorHAnsi"/>
          <w:lang w:val="en-GB"/>
        </w:rPr>
        <w:t xml:space="preserve">The potential positive environmental impact of the implementation of measures under the individual specific objectives will occur through: </w:t>
      </w:r>
    </w:p>
    <w:p w14:paraId="2EE3C537" w14:textId="77777777" w:rsidR="00552B4C" w:rsidRPr="00416483" w:rsidRDefault="00552B4C" w:rsidP="002B5007">
      <w:pPr>
        <w:pStyle w:val="Default"/>
        <w:numPr>
          <w:ilvl w:val="0"/>
          <w:numId w:val="55"/>
        </w:numPr>
        <w:spacing w:before="100" w:after="200" w:line="360" w:lineRule="auto"/>
        <w:rPr>
          <w:rFonts w:asciiTheme="minorHAnsi" w:hAnsiTheme="minorHAnsi"/>
          <w:lang w:val="en-GB"/>
        </w:rPr>
      </w:pPr>
      <w:r w:rsidRPr="00416483">
        <w:rPr>
          <w:rFonts w:asciiTheme="minorHAnsi" w:hAnsiTheme="minorHAnsi"/>
          <w:lang w:val="en-GB"/>
        </w:rPr>
        <w:t xml:space="preserve">• introducing closed loop solutions, </w:t>
      </w:r>
    </w:p>
    <w:p w14:paraId="7311A525" w14:textId="77777777" w:rsidR="00552B4C" w:rsidRPr="00416483" w:rsidRDefault="00552B4C" w:rsidP="002B5007">
      <w:pPr>
        <w:pStyle w:val="Default"/>
        <w:numPr>
          <w:ilvl w:val="0"/>
          <w:numId w:val="55"/>
        </w:numPr>
        <w:spacing w:before="100" w:after="200" w:line="360" w:lineRule="auto"/>
        <w:rPr>
          <w:rFonts w:asciiTheme="minorHAnsi" w:hAnsiTheme="minorHAnsi"/>
          <w:lang w:val="en-GB"/>
        </w:rPr>
      </w:pPr>
      <w:r w:rsidRPr="00416483">
        <w:rPr>
          <w:rFonts w:asciiTheme="minorHAnsi" w:hAnsiTheme="minorHAnsi"/>
          <w:lang w:val="en-GB"/>
        </w:rPr>
        <w:t xml:space="preserve">generation of energy from renewable sources, </w:t>
      </w:r>
    </w:p>
    <w:p w14:paraId="06F9784D" w14:textId="77777777" w:rsidR="00552B4C" w:rsidRPr="00416483" w:rsidRDefault="00552B4C" w:rsidP="002B5007">
      <w:pPr>
        <w:pStyle w:val="Default"/>
        <w:numPr>
          <w:ilvl w:val="0"/>
          <w:numId w:val="55"/>
        </w:numPr>
        <w:spacing w:before="100" w:after="200" w:line="360" w:lineRule="auto"/>
        <w:rPr>
          <w:rFonts w:asciiTheme="minorHAnsi" w:hAnsiTheme="minorHAnsi"/>
          <w:lang w:val="en-GB"/>
        </w:rPr>
      </w:pPr>
      <w:r w:rsidRPr="00416483">
        <w:rPr>
          <w:rFonts w:asciiTheme="minorHAnsi" w:hAnsiTheme="minorHAnsi"/>
          <w:lang w:val="en-GB"/>
        </w:rPr>
        <w:t xml:space="preserve">adaptation to climate change in the context of protection against the negative effects of climate change and building or increasing their resilience to current and future climate variability, </w:t>
      </w:r>
    </w:p>
    <w:p w14:paraId="2B88DF31" w14:textId="77777777" w:rsidR="00552B4C" w:rsidRPr="00416483" w:rsidRDefault="00552B4C" w:rsidP="002B5007">
      <w:pPr>
        <w:pStyle w:val="Default"/>
        <w:numPr>
          <w:ilvl w:val="0"/>
          <w:numId w:val="55"/>
        </w:numPr>
        <w:spacing w:before="100" w:after="200" w:line="360" w:lineRule="auto"/>
        <w:rPr>
          <w:rFonts w:asciiTheme="minorHAnsi" w:hAnsiTheme="minorHAnsi"/>
          <w:lang w:val="en-GB"/>
        </w:rPr>
      </w:pPr>
      <w:r w:rsidRPr="00416483">
        <w:rPr>
          <w:rFonts w:asciiTheme="minorHAnsi" w:hAnsiTheme="minorHAnsi"/>
          <w:lang w:val="en-GB"/>
        </w:rPr>
        <w:t xml:space="preserve">raising the standards of treatment services, </w:t>
      </w:r>
    </w:p>
    <w:p w14:paraId="3CE71DA3" w14:textId="77777777" w:rsidR="00552B4C" w:rsidRPr="001C0BFA" w:rsidRDefault="00552B4C" w:rsidP="002B5007">
      <w:pPr>
        <w:pStyle w:val="Default"/>
        <w:numPr>
          <w:ilvl w:val="0"/>
          <w:numId w:val="55"/>
        </w:numPr>
        <w:spacing w:before="100" w:after="200" w:line="360" w:lineRule="auto"/>
        <w:rPr>
          <w:rFonts w:asciiTheme="minorHAnsi" w:hAnsiTheme="minorHAnsi"/>
          <w:lang w:val="en-GB"/>
        </w:rPr>
      </w:pPr>
      <w:r w:rsidRPr="00416483">
        <w:rPr>
          <w:rFonts w:asciiTheme="minorHAnsi" w:hAnsiTheme="minorHAnsi"/>
          <w:lang w:val="en-GB"/>
        </w:rPr>
        <w:t>raising living standards and expectations with regard to quality of life, including the state of the environment.</w:t>
      </w:r>
    </w:p>
    <w:p w14:paraId="0968D0F5" w14:textId="5922A2A9"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activities of an indirect nature will be mostly of a positive or neutral character, as most of these activities have a scientific, technical, organisational, financial and commercial dimension, whose aim is to develop and implement new or significantly improved products and processes. It can also be expected that as a result of educational activities and projects activating local communities, the state of knowledge and ecological awareness of the societies will improve, and a measurable effect of that will be a greater care for the state of all the components of the environment. </w:t>
      </w:r>
    </w:p>
    <w:p w14:paraId="1524F935"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negative impact will occur mainly at the stage of implementation of new investment, production and implementation projects and will be mostly of short-term character. </w:t>
      </w:r>
    </w:p>
    <w:p w14:paraId="4679348E" w14:textId="569268A6" w:rsidR="00552B4C" w:rsidRPr="001C0BFA" w:rsidRDefault="003B455A" w:rsidP="002B5007">
      <w:pPr>
        <w:pStyle w:val="Default"/>
        <w:spacing w:before="100" w:after="200" w:line="360" w:lineRule="auto"/>
        <w:rPr>
          <w:rFonts w:asciiTheme="minorHAnsi" w:hAnsiTheme="minorHAnsi"/>
          <w:lang w:val="en-GB"/>
        </w:rPr>
      </w:pPr>
      <w:r w:rsidRPr="003B455A">
        <w:rPr>
          <w:rFonts w:asciiTheme="minorHAnsi" w:hAnsiTheme="minorHAnsi"/>
          <w:lang w:val="en-GB"/>
        </w:rPr>
        <w:t xml:space="preserve">In the area of Priority 2. </w:t>
      </w:r>
      <w:r w:rsidRPr="001C0BFA">
        <w:rPr>
          <w:rFonts w:asciiTheme="minorHAnsi" w:hAnsiTheme="minorHAnsi"/>
          <w:b/>
          <w:bCs/>
          <w:i/>
          <w:iCs/>
          <w:lang w:val="en-GB"/>
        </w:rPr>
        <w:t>EUROPEAN FUNDS FOR A GREENER WESTERN POMERANIA</w:t>
      </w:r>
      <w:r w:rsidRPr="003B455A">
        <w:rPr>
          <w:rFonts w:asciiTheme="minorHAnsi" w:hAnsiTheme="minorHAnsi"/>
          <w:lang w:val="en-GB"/>
        </w:rPr>
        <w:t xml:space="preserve">, as a result of the implementation of the planned measures, the positive long-term impact on the environment, including biodiversity, plants, animals, protected areas, including Natura 2000 areas, is mainly considered. </w:t>
      </w:r>
      <w:r w:rsidR="00552B4C" w:rsidRPr="001C0BFA">
        <w:rPr>
          <w:rFonts w:asciiTheme="minorHAnsi" w:hAnsiTheme="minorHAnsi"/>
          <w:lang w:val="en-GB"/>
        </w:rPr>
        <w:t xml:space="preserve">Potential significant negative direct impacts of a temporary and medium-term nature will be characterised by investments focused under Priority 2. </w:t>
      </w:r>
      <w:r w:rsidR="00552B4C" w:rsidRPr="001C0BFA">
        <w:rPr>
          <w:rFonts w:asciiTheme="minorHAnsi" w:hAnsiTheme="minorHAnsi"/>
          <w:b/>
          <w:bCs/>
          <w:i/>
          <w:iCs/>
          <w:lang w:val="en-GB"/>
        </w:rPr>
        <w:t>EUROPEAN FUNDS FOR A GREENER WESTERN POMERANIA</w:t>
      </w:r>
      <w:r w:rsidR="00552B4C" w:rsidRPr="001C0BFA">
        <w:rPr>
          <w:rFonts w:asciiTheme="minorHAnsi" w:hAnsiTheme="minorHAnsi"/>
          <w:lang w:val="en-GB"/>
        </w:rPr>
        <w:t xml:space="preserve">, in particular activities under objectives </w:t>
      </w:r>
      <w:r w:rsidR="00552B4C" w:rsidRPr="001C0BFA">
        <w:rPr>
          <w:rFonts w:asciiTheme="minorHAnsi" w:hAnsiTheme="minorHAnsi"/>
          <w:i/>
          <w:iCs/>
          <w:lang w:val="en-GB"/>
        </w:rPr>
        <w:t>cs (i): Promoting energy efficiency and reduction of greenhouse gas emissions; (cs (ii): Support renewable energy in line with Directive (EU) 2018/2001, including the sustainability criteria set out therein; cs (iv): Supporting climate change adaptation and disaster risk prevention and resilience, taking into account the ecosystem approach, cs (v): Promoting access to water and sustainable water management; cs (vi) Supporting the transition towards a circular economy and resource efficient economy, cs (vii): Strengthen the protection and conservation of nature, biodiversity and green infrastructure, including in urban areas, and reduce all types of pollution</w:t>
      </w:r>
      <w:r w:rsidR="00AF3401">
        <w:rPr>
          <w:rFonts w:asciiTheme="minorHAnsi" w:hAnsiTheme="minorHAnsi"/>
          <w:i/>
          <w:iCs/>
          <w:lang w:val="en-GB"/>
        </w:rPr>
        <w:t>,</w:t>
      </w:r>
      <w:r w:rsidR="00552B4C" w:rsidRPr="001C0BFA">
        <w:rPr>
          <w:rFonts w:asciiTheme="minorHAnsi" w:hAnsiTheme="minorHAnsi"/>
          <w:i/>
          <w:iCs/>
          <w:lang w:val="en-GB"/>
        </w:rPr>
        <w:t xml:space="preserve"> </w:t>
      </w:r>
      <w:r w:rsidR="00552B4C" w:rsidRPr="001C0BFA">
        <w:rPr>
          <w:rFonts w:asciiTheme="minorHAnsi" w:hAnsiTheme="minorHAnsi"/>
          <w:lang w:val="en-GB"/>
        </w:rPr>
        <w:t xml:space="preserve">and under Priority 3 </w:t>
      </w:r>
      <w:r w:rsidR="00552B4C" w:rsidRPr="001C0BFA">
        <w:rPr>
          <w:rFonts w:asciiTheme="minorHAnsi" w:hAnsiTheme="minorHAnsi"/>
          <w:b/>
          <w:bCs/>
          <w:i/>
          <w:iCs/>
          <w:lang w:val="en-GB"/>
        </w:rPr>
        <w:t xml:space="preserve">EUROPEAN FUNDS FOR MOBILE WESTERN POMERANIA </w:t>
      </w:r>
      <w:r w:rsidR="00552B4C" w:rsidRPr="001C0BFA">
        <w:rPr>
          <w:rFonts w:asciiTheme="minorHAnsi" w:hAnsiTheme="minorHAnsi"/>
          <w:lang w:val="en-GB"/>
        </w:rPr>
        <w:t xml:space="preserve">under specific objective </w:t>
      </w:r>
      <w:r w:rsidR="00552B4C" w:rsidRPr="001C0BFA">
        <w:rPr>
          <w:rFonts w:asciiTheme="minorHAnsi" w:hAnsiTheme="minorHAnsi"/>
          <w:i/>
          <w:iCs/>
          <w:lang w:val="en-GB"/>
        </w:rPr>
        <w:t>cs</w:t>
      </w:r>
      <w:r w:rsidR="00552B4C">
        <w:rPr>
          <w:rFonts w:asciiTheme="minorHAnsi" w:hAnsiTheme="minorHAnsi"/>
          <w:i/>
          <w:iCs/>
          <w:lang w:val="en-GB"/>
        </w:rPr>
        <w:t> </w:t>
      </w:r>
      <w:r w:rsidR="00552B4C" w:rsidRPr="001C0BFA">
        <w:rPr>
          <w:rFonts w:asciiTheme="minorHAnsi" w:hAnsiTheme="minorHAnsi"/>
          <w:i/>
          <w:iCs/>
          <w:lang w:val="en-GB"/>
        </w:rPr>
        <w:t>(viii)</w:t>
      </w:r>
      <w:r w:rsidR="00552B4C" w:rsidRPr="001C0BFA">
        <w:rPr>
          <w:rFonts w:asciiTheme="minorHAnsi" w:hAnsiTheme="minorHAnsi"/>
          <w:lang w:val="en-GB"/>
        </w:rPr>
        <w:t xml:space="preserve">: </w:t>
      </w:r>
      <w:r w:rsidR="00552B4C" w:rsidRPr="001C0BFA">
        <w:rPr>
          <w:rFonts w:asciiTheme="minorHAnsi" w:hAnsiTheme="minorHAnsi"/>
          <w:i/>
          <w:iCs/>
          <w:lang w:val="en-GB"/>
        </w:rPr>
        <w:t>To support sustainable multimodal urban mobility as part of the transition towards a</w:t>
      </w:r>
      <w:r w:rsidR="00552B4C">
        <w:rPr>
          <w:rFonts w:asciiTheme="minorHAnsi" w:hAnsiTheme="minorHAnsi"/>
          <w:i/>
          <w:iCs/>
          <w:lang w:val="en-GB"/>
        </w:rPr>
        <w:t> </w:t>
      </w:r>
      <w:r w:rsidR="00552B4C" w:rsidRPr="001C0BFA">
        <w:rPr>
          <w:rFonts w:asciiTheme="minorHAnsi" w:hAnsiTheme="minorHAnsi"/>
          <w:i/>
          <w:iCs/>
          <w:lang w:val="en-GB"/>
        </w:rPr>
        <w:t xml:space="preserve">zero-carbon economy. </w:t>
      </w:r>
      <w:r w:rsidR="00552B4C" w:rsidRPr="001C0BFA">
        <w:rPr>
          <w:rFonts w:asciiTheme="minorHAnsi" w:hAnsiTheme="minorHAnsi"/>
          <w:lang w:val="en-GB"/>
        </w:rPr>
        <w:t xml:space="preserve">Potential negative impact on the environment will be characterised by activities related to investments in transport infrastructure, especially in urban areas. Implementation of these activities will cause short-term negative impacts at the stage of construction including destruction of vegetation, natural habitats, animal disturbance at the border of the investment area or in the near distance due to noise and light pollution, or deterioration of the earth surface. At the moment of completing the investment (construction, reconstruction, modernisation), it is expected that short-term impacts will cease and the condition of particular environmental components (e.g. ground surface) will be restored to the original one. </w:t>
      </w:r>
    </w:p>
    <w:p w14:paraId="32E1FE4F"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For long-term measures with a direct impact on the state of the environment, either at the implementation stage or at a later stage during operation (indirect impact), appropriate preventive and minimising measures have been planned. </w:t>
      </w:r>
    </w:p>
    <w:p w14:paraId="22E5E48F"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Potential negative impacts may also be expected as a result of implementation of measures under specific objective </w:t>
      </w:r>
      <w:r w:rsidRPr="001C0BFA">
        <w:rPr>
          <w:rFonts w:asciiTheme="minorHAnsi" w:hAnsiTheme="minorHAnsi"/>
          <w:i/>
          <w:iCs/>
          <w:lang w:val="en-GB"/>
        </w:rPr>
        <w:t>cs (ii</w:t>
      </w:r>
      <w:r w:rsidRPr="001C0BFA">
        <w:rPr>
          <w:rFonts w:asciiTheme="minorHAnsi" w:hAnsiTheme="minorHAnsi"/>
          <w:lang w:val="en-GB"/>
        </w:rPr>
        <w:t xml:space="preserve">): </w:t>
      </w:r>
      <w:r w:rsidRPr="001C0BFA">
        <w:rPr>
          <w:rFonts w:asciiTheme="minorHAnsi" w:hAnsiTheme="minorHAnsi"/>
          <w:i/>
          <w:iCs/>
          <w:lang w:val="en-GB"/>
        </w:rPr>
        <w:t xml:space="preserve">Develop and improve sustainable, climate resilient, intelligent and intermodal mobility at national, regional and local level, including improved access to TEN-T and cross-border mobility </w:t>
      </w:r>
      <w:r w:rsidRPr="001C0BFA">
        <w:rPr>
          <w:rFonts w:asciiTheme="minorHAnsi" w:hAnsiTheme="minorHAnsi"/>
          <w:lang w:val="en-GB"/>
        </w:rPr>
        <w:t xml:space="preserve">(Priority 4. </w:t>
      </w:r>
      <w:r w:rsidRPr="001C0BFA">
        <w:rPr>
          <w:rFonts w:asciiTheme="minorHAnsi" w:hAnsiTheme="minorHAnsi"/>
          <w:b/>
          <w:bCs/>
          <w:i/>
          <w:iCs/>
          <w:lang w:val="en-GB"/>
        </w:rPr>
        <w:t>EUROPEAN FUNDS FOR A CONNECTED WESTERN POMERANIA</w:t>
      </w:r>
      <w:r w:rsidRPr="001C0BFA">
        <w:rPr>
          <w:rFonts w:asciiTheme="minorHAnsi" w:hAnsiTheme="minorHAnsi"/>
          <w:lang w:val="en-GB"/>
        </w:rPr>
        <w:t xml:space="preserve">) covering investments related to the construction of </w:t>
      </w:r>
      <w:r w:rsidRPr="00416483">
        <w:rPr>
          <w:rFonts w:asciiTheme="minorHAnsi" w:hAnsiTheme="minorHAnsi"/>
          <w:lang w:val="en-GB"/>
        </w:rPr>
        <w:t xml:space="preserve">bypasses </w:t>
      </w:r>
      <w:r w:rsidRPr="00416483">
        <w:rPr>
          <w:rFonts w:asciiTheme="minorHAnsi" w:hAnsiTheme="minorHAnsi"/>
          <w:bCs/>
          <w:iCs/>
          <w:lang w:val="en-GB"/>
        </w:rPr>
        <w:t>for</w:t>
      </w:r>
      <w:r w:rsidRPr="001C0BFA">
        <w:rPr>
          <w:rFonts w:asciiTheme="minorHAnsi" w:hAnsiTheme="minorHAnsi"/>
          <w:b/>
          <w:bCs/>
          <w:i/>
          <w:iCs/>
          <w:lang w:val="en-GB"/>
        </w:rPr>
        <w:t xml:space="preserve"> </w:t>
      </w:r>
      <w:r w:rsidRPr="001C0BFA">
        <w:rPr>
          <w:rFonts w:asciiTheme="minorHAnsi" w:hAnsiTheme="minorHAnsi"/>
          <w:lang w:val="en-GB"/>
        </w:rPr>
        <w:t xml:space="preserve">voivodeship roads and the construction or modernisation of municipal and district roads. Potential negative impact on biodiversity of plants and animals, as well as on their habitats may occur mainly at the stage of project implementation and may be associated with occupation of the habitat area for a road strip or other transport infrastructure, felling of trees and bushes, destruction or transformation of natural habitats, excavation, movement of large quantities of earth masses, storage of construction materials and waste, increased emission of pollutants and noise, frightening and increased mortality of animals. Contamination of water and soil environment and violation of water regime may result in deterioration of natural habitats quality or their destruction. In the context of long-term impacts, it should be pointed out that communication lines may be a convenient way for the spread of alien species, including invasive ones. Any disturbance of the already existing biological systems located in the vicinity of the road may accelerate or facilitate this process. Potential negative and long-term impact may be associated with increased risk of collision between vehicles and animals and the occurrence of barrier effect associated with fragmentation of habitats, including deterioration of condition and functionality of migration corridors, loss of interconnectivity of ecological corridors, as well as negative impact on protected areas and objects of protection. </w:t>
      </w:r>
    </w:p>
    <w:p w14:paraId="687DFCD7"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Potential, although to a significantly lesser extent, impact on the environment can also be expected as a result of the implementation of measures under Priority 5. </w:t>
      </w:r>
      <w:r w:rsidRPr="001C0BFA">
        <w:rPr>
          <w:rFonts w:asciiTheme="minorHAnsi" w:hAnsiTheme="minorHAnsi"/>
          <w:b/>
          <w:bCs/>
          <w:i/>
          <w:iCs/>
          <w:lang w:val="en-GB"/>
        </w:rPr>
        <w:t>EUROPEAN FUNDS FOR A FACILITATED RESIDENTIAL AND CITIZENSHIP OF WESTERN POMERANIA</w:t>
      </w:r>
      <w:r w:rsidRPr="001C0BFA">
        <w:rPr>
          <w:rFonts w:asciiTheme="minorHAnsi" w:hAnsiTheme="minorHAnsi"/>
          <w:lang w:val="en-GB"/>
        </w:rPr>
        <w:t>. Potential negative impacts may result from construction works under projects involving: construction (only in justified situations), reconstruction, extension and functional adjustment of schools and educational institutions (</w:t>
      </w:r>
      <w:r w:rsidRPr="001C0BFA">
        <w:rPr>
          <w:rFonts w:asciiTheme="minorHAnsi" w:hAnsiTheme="minorHAnsi"/>
          <w:i/>
          <w:iCs/>
          <w:lang w:val="en-GB"/>
        </w:rPr>
        <w:t>cs (ii): Improving equitable access to high quality and inclusive services in education, training and lifelong learning through the development of accessible infrastructure, including by supporting resilience in distance and online education and training</w:t>
      </w:r>
      <w:r w:rsidRPr="001C0BFA">
        <w:rPr>
          <w:rFonts w:asciiTheme="minorHAnsi" w:hAnsiTheme="minorHAnsi"/>
          <w:lang w:val="en-GB"/>
        </w:rPr>
        <w:t>); construction, expansion of hostels, hostels (</w:t>
      </w:r>
      <w:r w:rsidRPr="001C0BFA">
        <w:rPr>
          <w:rFonts w:asciiTheme="minorHAnsi" w:hAnsiTheme="minorHAnsi"/>
          <w:i/>
          <w:iCs/>
          <w:lang w:val="en-GB"/>
        </w:rPr>
        <w:t xml:space="preserve">cs </w:t>
      </w:r>
      <w:r w:rsidRPr="001C0BFA">
        <w:rPr>
          <w:rFonts w:asciiTheme="minorHAnsi" w:hAnsiTheme="minorHAnsi"/>
          <w:lang w:val="en-GB"/>
        </w:rPr>
        <w:t>(</w:t>
      </w:r>
      <w:r w:rsidRPr="001C0BFA">
        <w:rPr>
          <w:rFonts w:asciiTheme="minorHAnsi" w:hAnsiTheme="minorHAnsi"/>
          <w:i/>
          <w:iCs/>
          <w:lang w:val="en-GB"/>
        </w:rPr>
        <w:t>iv): Supporting socio-economic integration of third-country nationals, including migrants, through integrated actions including housing and social services</w:t>
      </w:r>
      <w:r w:rsidRPr="001C0BFA">
        <w:rPr>
          <w:rFonts w:asciiTheme="minorHAnsi" w:hAnsiTheme="minorHAnsi"/>
          <w:lang w:val="en-GB"/>
        </w:rPr>
        <w:t>); construction (in exceptional, justified cases), reconstruction, modernisation of health care facilities (</w:t>
      </w:r>
      <w:r w:rsidRPr="001C0BFA">
        <w:rPr>
          <w:rFonts w:asciiTheme="minorHAnsi" w:hAnsiTheme="minorHAnsi"/>
          <w:i/>
          <w:iCs/>
          <w:lang w:val="en-GB"/>
        </w:rPr>
        <w:t xml:space="preserve">cs (v): Ensuring equitable access to health care and supporting the resilience of health care systems, including primary health care, and supporting the transition from institutional care to family and community-based care); </w:t>
      </w:r>
      <w:r w:rsidRPr="001C0BFA">
        <w:rPr>
          <w:rFonts w:asciiTheme="minorHAnsi" w:hAnsiTheme="minorHAnsi"/>
          <w:lang w:val="en-GB"/>
        </w:rPr>
        <w:t>construction, extension and modernisation of cultural institution facilities, construction and extension of infrastructure improving the accessibility of tourist sites and attractions (e.g. car parks, traffic routes and infrastructure for people with disabilities) and development of their immediate surroundings (</w:t>
      </w:r>
      <w:r w:rsidRPr="001C0BFA">
        <w:rPr>
          <w:rFonts w:asciiTheme="minorHAnsi" w:hAnsiTheme="minorHAnsi"/>
          <w:i/>
          <w:iCs/>
          <w:lang w:val="en-GB"/>
        </w:rPr>
        <w:t>cs (vi): Strengthening the role of culture and tourism in economic development, social inclusion and social innovation</w:t>
      </w:r>
      <w:r w:rsidRPr="001C0BFA">
        <w:rPr>
          <w:rFonts w:asciiTheme="minorHAnsi" w:hAnsiTheme="minorHAnsi"/>
          <w:lang w:val="en-GB"/>
        </w:rPr>
        <w:t xml:space="preserve">). However, these impacts will be local and short-term. </w:t>
      </w:r>
    </w:p>
    <w:p w14:paraId="4459BB77" w14:textId="2DE40693" w:rsidR="00552B4C" w:rsidRPr="001C0BFA" w:rsidRDefault="00C92FFB" w:rsidP="002B5007">
      <w:pPr>
        <w:pStyle w:val="Default"/>
        <w:spacing w:before="100" w:after="200" w:line="360" w:lineRule="auto"/>
        <w:rPr>
          <w:rFonts w:asciiTheme="minorHAnsi" w:hAnsiTheme="minorHAnsi"/>
          <w:lang w:val="en-GB"/>
        </w:rPr>
      </w:pPr>
      <w:r w:rsidRPr="00C92FFB">
        <w:rPr>
          <w:rFonts w:asciiTheme="minorHAnsi" w:hAnsiTheme="minorHAnsi"/>
          <w:lang w:val="en-GB"/>
        </w:rPr>
        <w:t>The environmental assessment of the investment activities carried out under the FEPZ 2021-2027 Programme takes into account a partial assessment of the impacts carried out as part of the objectives of the Programme to be achieved, as well as an assessment of the possibility of the accumulation of those impacts with the impacts resulting from other strategic documents, plans and programmes in the area of the Zachodniopomorskie Province which are planned to be implemented in the coming years. Accumulation of negative impacts of the FEPZ 2021-2027 Programme with impacts from other strategies may occur at two scales:</w:t>
      </w:r>
    </w:p>
    <w:p w14:paraId="4179ABA2" w14:textId="77777777" w:rsidR="00552B4C" w:rsidRPr="001C0BFA" w:rsidRDefault="00552B4C" w:rsidP="002B5007">
      <w:pPr>
        <w:pStyle w:val="Default"/>
        <w:numPr>
          <w:ilvl w:val="0"/>
          <w:numId w:val="56"/>
        </w:numPr>
        <w:spacing w:before="100" w:after="200" w:line="360" w:lineRule="auto"/>
        <w:rPr>
          <w:rFonts w:asciiTheme="minorHAnsi" w:hAnsiTheme="minorHAnsi"/>
          <w:lang w:val="en-GB"/>
        </w:rPr>
      </w:pPr>
      <w:r w:rsidRPr="001C0BFA">
        <w:rPr>
          <w:rFonts w:asciiTheme="minorHAnsi" w:hAnsiTheme="minorHAnsi"/>
          <w:lang w:val="en-GB"/>
        </w:rPr>
        <w:t xml:space="preserve">the scale of direct impacts resulting from the implementation of investment activities when carried out in the same place and at the same time; these impacts will be of short-term and transitory nature, </w:t>
      </w:r>
    </w:p>
    <w:p w14:paraId="73BA32CD" w14:textId="77777777" w:rsidR="00552B4C" w:rsidRPr="001C0BFA" w:rsidRDefault="00552B4C" w:rsidP="002B5007">
      <w:pPr>
        <w:pStyle w:val="Default"/>
        <w:numPr>
          <w:ilvl w:val="0"/>
          <w:numId w:val="56"/>
        </w:numPr>
        <w:spacing w:before="100" w:after="200" w:line="360" w:lineRule="auto"/>
        <w:rPr>
          <w:rFonts w:asciiTheme="minorHAnsi" w:hAnsiTheme="minorHAnsi"/>
          <w:lang w:val="en-GB"/>
        </w:rPr>
      </w:pPr>
      <w:r>
        <w:rPr>
          <w:rFonts w:asciiTheme="minorHAnsi" w:hAnsiTheme="minorHAnsi"/>
          <w:lang w:val="en-GB"/>
        </w:rPr>
        <w:t>the s</w:t>
      </w:r>
      <w:r w:rsidRPr="001C0BFA">
        <w:rPr>
          <w:rFonts w:asciiTheme="minorHAnsi" w:hAnsiTheme="minorHAnsi"/>
          <w:lang w:val="en-GB"/>
        </w:rPr>
        <w:t xml:space="preserve">cale of impacts at the level of effects of Programme implementation. </w:t>
      </w:r>
    </w:p>
    <w:p w14:paraId="493BD137" w14:textId="46C2869D"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safeguard measures envisaged for implementation will significantly reduce the occurrence of cumulative impacts during the implementation of the </w:t>
      </w:r>
      <w:r w:rsidR="00D4052B">
        <w:rPr>
          <w:rFonts w:asciiTheme="minorHAnsi" w:hAnsiTheme="minorHAnsi"/>
          <w:lang w:val="en-GB"/>
        </w:rPr>
        <w:t>FEPZ</w:t>
      </w:r>
      <w:r w:rsidRPr="001C0BFA">
        <w:rPr>
          <w:rFonts w:asciiTheme="minorHAnsi" w:hAnsiTheme="minorHAnsi"/>
          <w:lang w:val="en-GB"/>
        </w:rPr>
        <w:t xml:space="preserve"> 2021-2027 Programme. </w:t>
      </w:r>
    </w:p>
    <w:p w14:paraId="16D616A8"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In the absence of protective measures, cumulative impacts may mainly manifest themselves: </w:t>
      </w:r>
    </w:p>
    <w:p w14:paraId="2E2FDF2F" w14:textId="77777777" w:rsidR="00552B4C" w:rsidRPr="001C0BFA" w:rsidRDefault="00552B4C" w:rsidP="002B5007">
      <w:pPr>
        <w:pStyle w:val="Default"/>
        <w:numPr>
          <w:ilvl w:val="0"/>
          <w:numId w:val="57"/>
        </w:numPr>
        <w:spacing w:before="100" w:after="200" w:line="360" w:lineRule="auto"/>
        <w:rPr>
          <w:rFonts w:asciiTheme="minorHAnsi" w:hAnsiTheme="minorHAnsi"/>
          <w:lang w:val="en-GB"/>
        </w:rPr>
      </w:pPr>
      <w:r w:rsidRPr="001C0BFA">
        <w:rPr>
          <w:rFonts w:asciiTheme="minorHAnsi" w:hAnsiTheme="minorHAnsi"/>
          <w:lang w:val="en-GB"/>
        </w:rPr>
        <w:t xml:space="preserve">reduction of the biological area and disruption of the continuity of ecological corridors, </w:t>
      </w:r>
    </w:p>
    <w:p w14:paraId="7D91D1BB" w14:textId="77777777" w:rsidR="00552B4C" w:rsidRPr="001C0BFA" w:rsidRDefault="00552B4C" w:rsidP="002B5007">
      <w:pPr>
        <w:pStyle w:val="Default"/>
        <w:numPr>
          <w:ilvl w:val="0"/>
          <w:numId w:val="57"/>
        </w:numPr>
        <w:spacing w:before="100" w:after="200" w:line="360" w:lineRule="auto"/>
        <w:rPr>
          <w:rFonts w:asciiTheme="minorHAnsi" w:hAnsiTheme="minorHAnsi"/>
          <w:lang w:val="en-GB"/>
        </w:rPr>
      </w:pPr>
      <w:r w:rsidRPr="001C0BFA">
        <w:rPr>
          <w:rFonts w:asciiTheme="minorHAnsi" w:hAnsiTheme="minorHAnsi"/>
          <w:lang w:val="en-GB"/>
        </w:rPr>
        <w:t xml:space="preserve">depletion of natural resources, </w:t>
      </w:r>
    </w:p>
    <w:p w14:paraId="5E27F3F5" w14:textId="77777777" w:rsidR="00552B4C" w:rsidRPr="001C0BFA" w:rsidRDefault="00552B4C" w:rsidP="002B5007">
      <w:pPr>
        <w:pStyle w:val="Default"/>
        <w:numPr>
          <w:ilvl w:val="0"/>
          <w:numId w:val="57"/>
        </w:numPr>
        <w:spacing w:before="100" w:after="200" w:line="360" w:lineRule="auto"/>
        <w:rPr>
          <w:rFonts w:asciiTheme="minorHAnsi" w:hAnsiTheme="minorHAnsi"/>
          <w:lang w:val="en-GB"/>
        </w:rPr>
      </w:pPr>
      <w:r w:rsidRPr="001C0BFA">
        <w:rPr>
          <w:rFonts w:asciiTheme="minorHAnsi" w:hAnsiTheme="minorHAnsi"/>
          <w:lang w:val="en-GB"/>
        </w:rPr>
        <w:t xml:space="preserve">local emissions to water, land and air, </w:t>
      </w:r>
    </w:p>
    <w:p w14:paraId="3DC6F5F7" w14:textId="77777777" w:rsidR="00552B4C" w:rsidRPr="001C0BFA" w:rsidRDefault="00552B4C" w:rsidP="002B5007">
      <w:pPr>
        <w:pStyle w:val="Default"/>
        <w:numPr>
          <w:ilvl w:val="0"/>
          <w:numId w:val="57"/>
        </w:numPr>
        <w:spacing w:before="100" w:after="200" w:line="360" w:lineRule="auto"/>
        <w:rPr>
          <w:rFonts w:asciiTheme="minorHAnsi" w:hAnsiTheme="minorHAnsi"/>
          <w:lang w:val="en-GB"/>
        </w:rPr>
      </w:pPr>
      <w:r w:rsidRPr="001C0BFA">
        <w:rPr>
          <w:rFonts w:asciiTheme="minorHAnsi" w:hAnsiTheme="minorHAnsi"/>
          <w:lang w:val="en-GB"/>
        </w:rPr>
        <w:t xml:space="preserve">negative changes in the landscape and disturbance of the spatial order, </w:t>
      </w:r>
    </w:p>
    <w:p w14:paraId="14D6D728" w14:textId="77777777" w:rsidR="00552B4C" w:rsidRPr="001C0BFA" w:rsidRDefault="00552B4C" w:rsidP="002B5007">
      <w:pPr>
        <w:pStyle w:val="Default"/>
        <w:numPr>
          <w:ilvl w:val="0"/>
          <w:numId w:val="57"/>
        </w:numPr>
        <w:spacing w:before="100" w:after="200" w:line="360" w:lineRule="auto"/>
        <w:rPr>
          <w:rFonts w:asciiTheme="minorHAnsi" w:hAnsiTheme="minorHAnsi"/>
          <w:lang w:val="en-GB"/>
        </w:rPr>
      </w:pPr>
      <w:r w:rsidRPr="001C0BFA">
        <w:rPr>
          <w:rFonts w:asciiTheme="minorHAnsi" w:hAnsiTheme="minorHAnsi"/>
          <w:lang w:val="en-GB"/>
        </w:rPr>
        <w:t xml:space="preserve">a negative impact on the state of monuments and material assets, </w:t>
      </w:r>
    </w:p>
    <w:p w14:paraId="1108C584" w14:textId="77777777" w:rsidR="00552B4C" w:rsidRPr="001C0BFA" w:rsidRDefault="00552B4C" w:rsidP="002B5007">
      <w:pPr>
        <w:pStyle w:val="Default"/>
        <w:numPr>
          <w:ilvl w:val="0"/>
          <w:numId w:val="57"/>
        </w:numPr>
        <w:spacing w:before="100" w:after="200" w:line="360" w:lineRule="auto"/>
        <w:rPr>
          <w:rFonts w:asciiTheme="minorHAnsi" w:hAnsiTheme="minorHAnsi"/>
          <w:lang w:val="en-GB"/>
        </w:rPr>
      </w:pPr>
      <w:r w:rsidRPr="001C0BFA">
        <w:rPr>
          <w:rFonts w:asciiTheme="minorHAnsi" w:hAnsiTheme="minorHAnsi"/>
          <w:lang w:val="en-GB"/>
        </w:rPr>
        <w:t xml:space="preserve">negative impact on human health and well-being - mainly during the construction phase in the case of investment projects. </w:t>
      </w:r>
    </w:p>
    <w:p w14:paraId="188E2455" w14:textId="058BEF4A"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As part of the works on the </w:t>
      </w:r>
      <w:r>
        <w:rPr>
          <w:rFonts w:asciiTheme="minorHAnsi" w:hAnsiTheme="minorHAnsi"/>
          <w:lang w:val="en-GB"/>
        </w:rPr>
        <w:t>EIA report</w:t>
      </w:r>
      <w:r w:rsidRPr="001C0BFA">
        <w:rPr>
          <w:rFonts w:asciiTheme="minorHAnsi" w:hAnsiTheme="minorHAnsi"/>
          <w:lang w:val="en-GB"/>
        </w:rPr>
        <w:t xml:space="preserve">, the </w:t>
      </w:r>
      <w:r w:rsidRPr="001C0BFA">
        <w:rPr>
          <w:rFonts w:asciiTheme="minorHAnsi" w:hAnsiTheme="minorHAnsi"/>
          <w:b/>
          <w:bCs/>
          <w:lang w:val="en-GB"/>
        </w:rPr>
        <w:t xml:space="preserve">possibility of significant impacts on the environment in the transboundary aspect, </w:t>
      </w:r>
      <w:r w:rsidRPr="001C0BFA">
        <w:rPr>
          <w:rFonts w:asciiTheme="minorHAnsi" w:hAnsiTheme="minorHAnsi"/>
          <w:lang w:val="en-GB"/>
        </w:rPr>
        <w:t xml:space="preserve">understood as a significant negative impact of projects planned to be implemented under </w:t>
      </w:r>
      <w:r w:rsidR="00D4052B">
        <w:rPr>
          <w:rFonts w:asciiTheme="minorHAnsi" w:hAnsiTheme="minorHAnsi"/>
          <w:lang w:val="en-GB"/>
        </w:rPr>
        <w:t>FEPZ</w:t>
      </w:r>
      <w:r w:rsidRPr="001C0BFA">
        <w:rPr>
          <w:rFonts w:asciiTheme="minorHAnsi" w:hAnsiTheme="minorHAnsi"/>
          <w:lang w:val="en-GB"/>
        </w:rPr>
        <w:t xml:space="preserve"> 2021-2027 on neighbouring countries, was also assessed. </w:t>
      </w:r>
    </w:p>
    <w:p w14:paraId="2014A061" w14:textId="74073B5F"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Undertakings planned in </w:t>
      </w:r>
      <w:r w:rsidR="00D4052B">
        <w:rPr>
          <w:rFonts w:asciiTheme="minorHAnsi" w:hAnsiTheme="minorHAnsi"/>
          <w:lang w:val="en-GB"/>
        </w:rPr>
        <w:t>FEPZ</w:t>
      </w:r>
      <w:r w:rsidRPr="001C0BFA">
        <w:rPr>
          <w:rFonts w:asciiTheme="minorHAnsi" w:hAnsiTheme="minorHAnsi"/>
          <w:lang w:val="en-GB"/>
        </w:rPr>
        <w:t xml:space="preserve"> 2021 - 2027, depending on the type of planned projects and their scale, will be characterised by a different degree of impact. None of the planned projects is by definition a cross-border, interregional or transnational project. </w:t>
      </w:r>
    </w:p>
    <w:p w14:paraId="5259785D"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Possible sources of potential negative transboundary impacts may be projects implemented directly on or near the state border, as well as activities implemented on transboundary watercourses or drainage basins, including in particular investments related to the construction, extension or modernisation of technical infrastructure, provided that during the analyses it would be stated that the projects cause measurable impacts of a range exceeding the national territory. </w:t>
      </w:r>
    </w:p>
    <w:p w14:paraId="4D6B5A6E" w14:textId="704EC9F9"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A more detailed analysis of transboundary impacts will only concern individual, specific projects and will be possible at the stage of the environmental impact assessment (report), for projects defined in terms of location and scale. In the case of the entire analysed </w:t>
      </w:r>
      <w:r w:rsidR="00D4052B">
        <w:rPr>
          <w:rFonts w:asciiTheme="minorHAnsi" w:hAnsiTheme="minorHAnsi"/>
          <w:lang w:val="en-GB"/>
        </w:rPr>
        <w:t>FEPZ</w:t>
      </w:r>
      <w:r w:rsidRPr="001C0BFA">
        <w:rPr>
          <w:rFonts w:asciiTheme="minorHAnsi" w:hAnsiTheme="minorHAnsi"/>
          <w:lang w:val="en-GB"/>
        </w:rPr>
        <w:t xml:space="preserve"> 2021-2027</w:t>
      </w:r>
      <w:r w:rsidRPr="00A27BF9">
        <w:rPr>
          <w:rFonts w:asciiTheme="minorHAnsi" w:hAnsiTheme="minorHAnsi"/>
          <w:lang w:val="en-GB"/>
        </w:rPr>
        <w:t xml:space="preserve"> </w:t>
      </w:r>
      <w:r w:rsidRPr="001C0BFA">
        <w:rPr>
          <w:rFonts w:asciiTheme="minorHAnsi" w:hAnsiTheme="minorHAnsi"/>
          <w:lang w:val="en-GB"/>
        </w:rPr>
        <w:t xml:space="preserve">Programme, there is no basis for unambiguous identification of the risk of significant negative impacts on neighbouring countries, which, in accordance with Article 104 of the EIA Act, would imply the need to conduct for it the so-called proceedings on transboundary environmental impact. </w:t>
      </w:r>
    </w:p>
    <w:p w14:paraId="2A791537"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For long-term actions directly affecting the condition of the environment, either at the stage of implementation or at a later stage during functioning (indirect impacts), in particular on the objectives and subject of protection of Natura 2000 area and the integrity of this area, solutions aimed at </w:t>
      </w:r>
      <w:r w:rsidRPr="001C0BFA">
        <w:rPr>
          <w:rFonts w:asciiTheme="minorHAnsi" w:hAnsiTheme="minorHAnsi"/>
          <w:b/>
          <w:bCs/>
          <w:lang w:val="en-GB"/>
        </w:rPr>
        <w:t xml:space="preserve">prevention, limitation or natural compensation were </w:t>
      </w:r>
      <w:r w:rsidRPr="001C0BFA">
        <w:rPr>
          <w:rFonts w:asciiTheme="minorHAnsi" w:hAnsiTheme="minorHAnsi"/>
          <w:lang w:val="en-GB"/>
        </w:rPr>
        <w:t xml:space="preserve">proposed. The presented minimizing measures include both technical and non-technical measures which exclude or limit the harmfulness of the impact of the investment on the objects of protection at the source of possible negative impact on particular environmental components, especially considering the Natura 2000 areas, which were presented in detail in the prognosis. </w:t>
      </w:r>
    </w:p>
    <w:p w14:paraId="022F9E00"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One of the elements of the analyses carried out as part of the </w:t>
      </w:r>
      <w:r>
        <w:rPr>
          <w:rFonts w:asciiTheme="minorHAnsi" w:hAnsiTheme="minorHAnsi"/>
          <w:lang w:val="en-GB"/>
        </w:rPr>
        <w:t>EIA report</w:t>
      </w:r>
      <w:r w:rsidRPr="001C0BFA">
        <w:rPr>
          <w:rFonts w:asciiTheme="minorHAnsi" w:hAnsiTheme="minorHAnsi"/>
          <w:lang w:val="en-GB"/>
        </w:rPr>
        <w:t xml:space="preserve"> was a </w:t>
      </w:r>
      <w:r w:rsidRPr="001C0BFA">
        <w:rPr>
          <w:rFonts w:asciiTheme="minorHAnsi" w:hAnsiTheme="minorHAnsi"/>
          <w:b/>
          <w:bCs/>
          <w:lang w:val="en-GB"/>
        </w:rPr>
        <w:t xml:space="preserve">variant analysis. </w:t>
      </w:r>
    </w:p>
    <w:p w14:paraId="77CD1042" w14:textId="3FBF91E8"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Both the </w:t>
      </w:r>
      <w:r>
        <w:rPr>
          <w:rFonts w:asciiTheme="minorHAnsi" w:hAnsiTheme="minorHAnsi"/>
          <w:lang w:val="en-GB"/>
        </w:rPr>
        <w:t>“</w:t>
      </w:r>
      <w:r w:rsidRPr="001C0BFA">
        <w:rPr>
          <w:rFonts w:asciiTheme="minorHAnsi" w:hAnsiTheme="minorHAnsi"/>
          <w:lang w:val="en-GB"/>
        </w:rPr>
        <w:t>0</w:t>
      </w:r>
      <w:r>
        <w:rPr>
          <w:rFonts w:asciiTheme="minorHAnsi" w:hAnsiTheme="minorHAnsi"/>
          <w:lang w:val="en-GB"/>
        </w:rPr>
        <w:t>”</w:t>
      </w:r>
      <w:r w:rsidRPr="001C0BFA">
        <w:rPr>
          <w:rFonts w:asciiTheme="minorHAnsi" w:hAnsiTheme="minorHAnsi"/>
          <w:lang w:val="en-GB"/>
        </w:rPr>
        <w:t xml:space="preserve"> option of abandoning the entire </w:t>
      </w:r>
      <w:r w:rsidR="00D4052B">
        <w:rPr>
          <w:rFonts w:asciiTheme="minorHAnsi" w:hAnsiTheme="minorHAnsi"/>
          <w:lang w:val="en-GB"/>
        </w:rPr>
        <w:t>FEPZ</w:t>
      </w:r>
      <w:r w:rsidRPr="001C0BFA">
        <w:rPr>
          <w:rFonts w:asciiTheme="minorHAnsi" w:hAnsiTheme="minorHAnsi"/>
          <w:lang w:val="en-GB"/>
        </w:rPr>
        <w:t xml:space="preserve"> 2021-2027 </w:t>
      </w:r>
      <w:r>
        <w:rPr>
          <w:rFonts w:asciiTheme="minorHAnsi" w:hAnsiTheme="minorHAnsi"/>
          <w:lang w:val="en-GB"/>
        </w:rPr>
        <w:t xml:space="preserve">Programme </w:t>
      </w:r>
      <w:r w:rsidRPr="001C0BFA">
        <w:rPr>
          <w:rFonts w:asciiTheme="minorHAnsi" w:hAnsiTheme="minorHAnsi"/>
          <w:lang w:val="en-GB"/>
        </w:rPr>
        <w:t xml:space="preserve">were analysed. </w:t>
      </w:r>
    </w:p>
    <w:p w14:paraId="10F59EE8" w14:textId="399ABB2A"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non-implementation of the </w:t>
      </w:r>
      <w:r w:rsidR="00D4052B">
        <w:rPr>
          <w:rFonts w:asciiTheme="minorHAnsi" w:hAnsiTheme="minorHAnsi"/>
          <w:lang w:val="en-GB"/>
        </w:rPr>
        <w:t>FEPZ</w:t>
      </w:r>
      <w:r w:rsidRPr="001C0BFA">
        <w:rPr>
          <w:rFonts w:asciiTheme="minorHAnsi" w:hAnsiTheme="minorHAnsi"/>
          <w:lang w:val="en-GB"/>
        </w:rPr>
        <w:t xml:space="preserve"> 2021-2027 may result in the abandonment or reduction of the implementation of activities that are important for nature conservation and environmental protection, including in relation to biodiversity, plants, animals, protected areas and Natura 2000 sites. Some of the activities may be implemented, but at the pace that the available resources allow. As the funds are limited, the Programme will influence their faster achievement, and in some cases will allow to implement measures which would not have been implemented in the absence of the Programme. </w:t>
      </w:r>
    </w:p>
    <w:p w14:paraId="39DDD61D" w14:textId="17D76BFA" w:rsidR="00552B4C"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Therefore, abandoning the adoption of the </w:t>
      </w:r>
      <w:r w:rsidR="00D4052B">
        <w:rPr>
          <w:rFonts w:asciiTheme="minorHAnsi" w:hAnsiTheme="minorHAnsi"/>
          <w:lang w:val="en-GB"/>
        </w:rPr>
        <w:t>FEPZ</w:t>
      </w:r>
      <w:r w:rsidRPr="001C0BFA">
        <w:rPr>
          <w:rFonts w:asciiTheme="minorHAnsi" w:hAnsiTheme="minorHAnsi"/>
          <w:lang w:val="en-GB"/>
        </w:rPr>
        <w:t xml:space="preserve"> 2021-2027 would not improve or reduce the impacts of the status quo on environmental quality. The negative impacts of not implementing the </w:t>
      </w:r>
      <w:r w:rsidR="00D4052B">
        <w:rPr>
          <w:rFonts w:asciiTheme="minorHAnsi" w:hAnsiTheme="minorHAnsi"/>
          <w:lang w:val="en-GB"/>
        </w:rPr>
        <w:t>FEPZ</w:t>
      </w:r>
      <w:r w:rsidRPr="001C0BFA">
        <w:rPr>
          <w:rFonts w:asciiTheme="minorHAnsi" w:hAnsiTheme="minorHAnsi"/>
          <w:lang w:val="en-GB"/>
        </w:rPr>
        <w:t xml:space="preserve"> 2021-2027 may lead to the conclusion that the environmentally, socially and economically beneficial option is to bring the Project to fruition. </w:t>
      </w:r>
    </w:p>
    <w:p w14:paraId="0E6BFA58" w14:textId="07B20323"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w:t>
      </w:r>
      <w:r>
        <w:rPr>
          <w:rFonts w:asciiTheme="minorHAnsi" w:hAnsiTheme="minorHAnsi"/>
          <w:lang w:val="en-GB"/>
        </w:rPr>
        <w:t>EIA report</w:t>
      </w:r>
      <w:r w:rsidRPr="001C0BFA">
        <w:rPr>
          <w:rFonts w:asciiTheme="minorHAnsi" w:hAnsiTheme="minorHAnsi"/>
          <w:lang w:val="en-GB"/>
        </w:rPr>
        <w:t xml:space="preserve"> also presents </w:t>
      </w:r>
      <w:r w:rsidRPr="001C0BFA">
        <w:rPr>
          <w:rFonts w:asciiTheme="minorHAnsi" w:hAnsiTheme="minorHAnsi"/>
          <w:b/>
          <w:bCs/>
          <w:lang w:val="en-GB"/>
        </w:rPr>
        <w:t xml:space="preserve">possible alternatives </w:t>
      </w:r>
      <w:r w:rsidRPr="001C0BFA">
        <w:rPr>
          <w:rFonts w:asciiTheme="minorHAnsi" w:hAnsiTheme="minorHAnsi"/>
          <w:lang w:val="en-GB"/>
        </w:rPr>
        <w:t xml:space="preserve">to the solutions adopted in the draft </w:t>
      </w:r>
      <w:r w:rsidR="00D4052B">
        <w:rPr>
          <w:rFonts w:asciiTheme="minorHAnsi" w:hAnsiTheme="minorHAnsi"/>
          <w:lang w:val="en-GB"/>
        </w:rPr>
        <w:t>FEPZ</w:t>
      </w:r>
      <w:r w:rsidRPr="001C0BFA">
        <w:rPr>
          <w:rFonts w:asciiTheme="minorHAnsi" w:hAnsiTheme="minorHAnsi"/>
          <w:lang w:val="en-GB"/>
        </w:rPr>
        <w:t xml:space="preserve"> 2021-2027. The criteria for alternative options refer in principle to the proposed projects within the EIA procedure and include alternative organisational, location, technological and timing options for the project. </w:t>
      </w:r>
    </w:p>
    <w:p w14:paraId="5F6FB358" w14:textId="4D1EDE61"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The draft </w:t>
      </w:r>
      <w:r w:rsidR="00D4052B">
        <w:rPr>
          <w:rFonts w:asciiTheme="minorHAnsi" w:hAnsiTheme="minorHAnsi"/>
          <w:lang w:val="en-GB"/>
        </w:rPr>
        <w:t>FEPZ</w:t>
      </w:r>
      <w:r w:rsidRPr="001C0BFA">
        <w:rPr>
          <w:rFonts w:asciiTheme="minorHAnsi" w:hAnsiTheme="minorHAnsi"/>
          <w:lang w:val="en-GB"/>
        </w:rPr>
        <w:t xml:space="preserve"> 2021-2027 has the character of a strategy document. For the vast majority of specific objectives, no specific locational, technological and organisational indication has been identified. Therefore, detailed alternative solutions, where possible, should be taken into account at the stage of implementation of investments resulting from the document. </w:t>
      </w:r>
    </w:p>
    <w:p w14:paraId="5B402BB5" w14:textId="77777777" w:rsidR="00552B4C" w:rsidRPr="001C0BFA" w:rsidRDefault="00552B4C" w:rsidP="002B5007">
      <w:pPr>
        <w:pStyle w:val="Default"/>
        <w:spacing w:before="100" w:after="200" w:line="360" w:lineRule="auto"/>
        <w:rPr>
          <w:rFonts w:asciiTheme="minorHAnsi" w:hAnsiTheme="minorHAnsi"/>
          <w:lang w:val="en-GB"/>
        </w:rPr>
      </w:pPr>
      <w:r w:rsidRPr="001C0BFA">
        <w:rPr>
          <w:rFonts w:asciiTheme="minorHAnsi" w:hAnsiTheme="minorHAnsi"/>
          <w:lang w:val="en-GB"/>
        </w:rPr>
        <w:t xml:space="preserve">Proposals have also been made on </w:t>
      </w:r>
      <w:r w:rsidRPr="001C0BFA">
        <w:rPr>
          <w:rFonts w:asciiTheme="minorHAnsi" w:hAnsiTheme="minorHAnsi"/>
          <w:b/>
          <w:bCs/>
          <w:lang w:val="en-GB"/>
        </w:rPr>
        <w:t>project selection and implementation methods</w:t>
      </w:r>
      <w:r w:rsidRPr="001C0BFA">
        <w:rPr>
          <w:rFonts w:asciiTheme="minorHAnsi" w:hAnsiTheme="minorHAnsi"/>
          <w:lang w:val="en-GB"/>
        </w:rPr>
        <w:t xml:space="preserve">. As actions related to sustainable development and the implementation of the European Green Deal, as well as the application of a holistic approach, are of particular importance in the financial perspective 2021-2027, the assessment of projects should therefore be carried out in terms of potential "serious harm" in relation to the six environmental objectives: </w:t>
      </w:r>
    </w:p>
    <w:p w14:paraId="47D99871" w14:textId="77777777" w:rsidR="00552B4C" w:rsidRPr="001C0BFA" w:rsidRDefault="00552B4C" w:rsidP="002B5007">
      <w:pPr>
        <w:pStyle w:val="Default"/>
        <w:numPr>
          <w:ilvl w:val="0"/>
          <w:numId w:val="58"/>
        </w:numPr>
        <w:spacing w:before="100" w:after="200" w:line="360" w:lineRule="auto"/>
        <w:rPr>
          <w:rFonts w:asciiTheme="minorHAnsi" w:hAnsiTheme="minorHAnsi"/>
          <w:lang w:val="en-GB"/>
        </w:rPr>
      </w:pPr>
      <w:r w:rsidRPr="001C0BFA">
        <w:rPr>
          <w:rFonts w:asciiTheme="minorHAnsi" w:hAnsiTheme="minorHAnsi"/>
          <w:lang w:val="en-GB"/>
        </w:rPr>
        <w:t xml:space="preserve">climate change mitigation; </w:t>
      </w:r>
    </w:p>
    <w:p w14:paraId="01BA1127" w14:textId="77777777" w:rsidR="00552B4C" w:rsidRPr="001C0BFA" w:rsidRDefault="00552B4C" w:rsidP="002B5007">
      <w:pPr>
        <w:pStyle w:val="Default"/>
        <w:numPr>
          <w:ilvl w:val="0"/>
          <w:numId w:val="58"/>
        </w:numPr>
        <w:spacing w:before="100" w:after="200" w:line="360" w:lineRule="auto"/>
        <w:rPr>
          <w:rFonts w:asciiTheme="minorHAnsi" w:hAnsiTheme="minorHAnsi"/>
          <w:lang w:val="en-GB"/>
        </w:rPr>
      </w:pPr>
      <w:r w:rsidRPr="001C0BFA">
        <w:rPr>
          <w:rFonts w:asciiTheme="minorHAnsi" w:hAnsiTheme="minorHAnsi"/>
          <w:lang w:val="en-GB"/>
        </w:rPr>
        <w:t xml:space="preserve">adaptation to climate change; </w:t>
      </w:r>
    </w:p>
    <w:p w14:paraId="5A30C06F" w14:textId="77777777" w:rsidR="00552B4C" w:rsidRPr="001C0BFA" w:rsidRDefault="00552B4C" w:rsidP="002B5007">
      <w:pPr>
        <w:pStyle w:val="Default"/>
        <w:numPr>
          <w:ilvl w:val="0"/>
          <w:numId w:val="58"/>
        </w:numPr>
        <w:spacing w:before="100" w:after="200" w:line="360" w:lineRule="auto"/>
        <w:rPr>
          <w:rFonts w:asciiTheme="minorHAnsi" w:hAnsiTheme="minorHAnsi"/>
          <w:lang w:val="en-GB"/>
        </w:rPr>
      </w:pPr>
      <w:r w:rsidRPr="001C0BFA">
        <w:rPr>
          <w:rFonts w:asciiTheme="minorHAnsi" w:hAnsiTheme="minorHAnsi"/>
          <w:lang w:val="en-GB"/>
        </w:rPr>
        <w:t xml:space="preserve">sustainable use and protection of water and marine resources; </w:t>
      </w:r>
    </w:p>
    <w:p w14:paraId="1B53562B" w14:textId="77777777" w:rsidR="00552B4C" w:rsidRPr="001C0BFA" w:rsidRDefault="00552B4C" w:rsidP="002B5007">
      <w:pPr>
        <w:pStyle w:val="Default"/>
        <w:numPr>
          <w:ilvl w:val="0"/>
          <w:numId w:val="58"/>
        </w:numPr>
        <w:spacing w:before="100" w:after="200" w:line="360" w:lineRule="auto"/>
        <w:rPr>
          <w:rFonts w:asciiTheme="minorHAnsi" w:hAnsiTheme="minorHAnsi"/>
          <w:lang w:val="en-GB"/>
        </w:rPr>
      </w:pPr>
      <w:r w:rsidRPr="001C0BFA">
        <w:rPr>
          <w:rFonts w:asciiTheme="minorHAnsi" w:hAnsiTheme="minorHAnsi"/>
          <w:lang w:val="en-GB"/>
        </w:rPr>
        <w:t xml:space="preserve">the transition to a closed loop economy; </w:t>
      </w:r>
    </w:p>
    <w:p w14:paraId="671D730E" w14:textId="77777777" w:rsidR="00552B4C" w:rsidRPr="001C0BFA" w:rsidRDefault="00552B4C" w:rsidP="002B5007">
      <w:pPr>
        <w:pStyle w:val="Default"/>
        <w:numPr>
          <w:ilvl w:val="0"/>
          <w:numId w:val="58"/>
        </w:numPr>
        <w:spacing w:before="100" w:after="200" w:line="360" w:lineRule="auto"/>
        <w:rPr>
          <w:rFonts w:asciiTheme="minorHAnsi" w:hAnsiTheme="minorHAnsi"/>
          <w:lang w:val="en-GB"/>
        </w:rPr>
      </w:pPr>
      <w:r w:rsidRPr="001C0BFA">
        <w:rPr>
          <w:rFonts w:asciiTheme="minorHAnsi" w:hAnsiTheme="minorHAnsi"/>
          <w:lang w:val="en-GB"/>
        </w:rPr>
        <w:t xml:space="preserve">pollution prevention and control; </w:t>
      </w:r>
    </w:p>
    <w:p w14:paraId="6FD3CC34" w14:textId="77777777" w:rsidR="00552B4C" w:rsidRPr="001C0BFA" w:rsidRDefault="00552B4C" w:rsidP="002B5007">
      <w:pPr>
        <w:pStyle w:val="Default"/>
        <w:numPr>
          <w:ilvl w:val="0"/>
          <w:numId w:val="58"/>
        </w:numPr>
        <w:spacing w:before="100" w:after="200" w:line="360" w:lineRule="auto"/>
        <w:rPr>
          <w:rFonts w:asciiTheme="minorHAnsi" w:hAnsiTheme="minorHAnsi"/>
          <w:lang w:val="en-GB"/>
        </w:rPr>
      </w:pPr>
      <w:r w:rsidRPr="001C0BFA">
        <w:rPr>
          <w:rFonts w:asciiTheme="minorHAnsi" w:hAnsiTheme="minorHAnsi"/>
          <w:lang w:val="en-GB"/>
        </w:rPr>
        <w:t xml:space="preserve">protecting and restoring biodiversity and ecosystems. </w:t>
      </w:r>
    </w:p>
    <w:p w14:paraId="2B4DEB37" w14:textId="51D34DE0" w:rsidR="00552B4C" w:rsidRPr="001C0BFA" w:rsidRDefault="00552B4C" w:rsidP="002B5007">
      <w:pPr>
        <w:rPr>
          <w:szCs w:val="24"/>
          <w:lang w:val="en-GB"/>
        </w:rPr>
      </w:pPr>
      <w:r w:rsidRPr="001C0BFA">
        <w:rPr>
          <w:rFonts w:cs="Calibri"/>
          <w:szCs w:val="24"/>
          <w:lang w:val="en-GB"/>
        </w:rPr>
        <w:t xml:space="preserve">Proposed </w:t>
      </w:r>
      <w:r w:rsidRPr="001C0BFA">
        <w:rPr>
          <w:rFonts w:cs="Calibri"/>
          <w:b/>
          <w:bCs/>
          <w:szCs w:val="24"/>
          <w:lang w:val="en-GB"/>
        </w:rPr>
        <w:t xml:space="preserve">rules for monitoring </w:t>
      </w:r>
      <w:r w:rsidRPr="001C0BFA">
        <w:rPr>
          <w:rFonts w:cs="Calibri"/>
          <w:szCs w:val="24"/>
          <w:lang w:val="en-GB"/>
        </w:rPr>
        <w:t xml:space="preserve">the effects of implementation of provisions of </w:t>
      </w:r>
      <w:r w:rsidR="00D4052B">
        <w:rPr>
          <w:rFonts w:cs="Calibri"/>
          <w:szCs w:val="24"/>
          <w:lang w:val="en-GB"/>
        </w:rPr>
        <w:t>FEPZ</w:t>
      </w:r>
      <w:r w:rsidRPr="001C0BFA">
        <w:rPr>
          <w:rFonts w:cs="Calibri"/>
          <w:szCs w:val="24"/>
          <w:lang w:val="en-GB"/>
        </w:rPr>
        <w:t xml:space="preserve"> 2021-2027 result mainly from the provisions of the Act of 3 October 2008 </w:t>
      </w:r>
      <w:r w:rsidRPr="001C0BFA">
        <w:rPr>
          <w:rFonts w:cs="Calibri"/>
          <w:i/>
          <w:iCs/>
          <w:szCs w:val="24"/>
          <w:lang w:val="en-GB"/>
        </w:rPr>
        <w:t>on publishing information about the environment and its protection, public participation in environmental protection and environmental impact assessments</w:t>
      </w:r>
      <w:r w:rsidRPr="001C0BFA">
        <w:rPr>
          <w:rFonts w:cs="Calibri"/>
          <w:szCs w:val="24"/>
          <w:lang w:val="en-GB"/>
        </w:rPr>
        <w:t xml:space="preserve">. It is advisable to evaluate the impact of </w:t>
      </w:r>
      <w:r w:rsidR="00D4052B">
        <w:rPr>
          <w:rFonts w:cs="Calibri"/>
          <w:szCs w:val="24"/>
          <w:lang w:val="en-GB"/>
        </w:rPr>
        <w:t>FEPZ</w:t>
      </w:r>
      <w:r w:rsidRPr="001C0BFA">
        <w:rPr>
          <w:rFonts w:cs="Calibri"/>
          <w:szCs w:val="24"/>
          <w:lang w:val="en-GB"/>
        </w:rPr>
        <w:t xml:space="preserve"> 2021-2027 on sustainable development issues both before the implementation of the Programme (the so-called </w:t>
      </w:r>
      <w:r w:rsidRPr="001C0BFA">
        <w:rPr>
          <w:rFonts w:cs="Calibri"/>
          <w:i/>
          <w:iCs/>
          <w:szCs w:val="24"/>
          <w:lang w:val="en-GB"/>
        </w:rPr>
        <w:t>ex-ante evaluation</w:t>
      </w:r>
      <w:r w:rsidRPr="001C0BFA">
        <w:rPr>
          <w:rFonts w:cs="Calibri"/>
          <w:szCs w:val="24"/>
          <w:lang w:val="en-GB"/>
        </w:rPr>
        <w:t xml:space="preserve">), during its duration (preferably in the middle of its duration, the so-called </w:t>
      </w:r>
      <w:r w:rsidRPr="001C0BFA">
        <w:rPr>
          <w:rFonts w:cs="Calibri"/>
          <w:i/>
          <w:iCs/>
          <w:szCs w:val="24"/>
          <w:lang w:val="en-GB"/>
        </w:rPr>
        <w:t>on-going evaluation</w:t>
      </w:r>
      <w:r w:rsidRPr="001C0BFA">
        <w:rPr>
          <w:rFonts w:cs="Calibri"/>
          <w:szCs w:val="24"/>
          <w:lang w:val="en-GB"/>
        </w:rPr>
        <w:t xml:space="preserve">) and after its completion (the so-called </w:t>
      </w:r>
      <w:r>
        <w:rPr>
          <w:rFonts w:cs="Calibri"/>
          <w:i/>
          <w:iCs/>
          <w:szCs w:val="24"/>
          <w:lang w:val="en-GB"/>
        </w:rPr>
        <w:t>ex-</w:t>
      </w:r>
      <w:r w:rsidRPr="001C0BFA">
        <w:rPr>
          <w:rFonts w:cs="Calibri"/>
          <w:i/>
          <w:iCs/>
          <w:szCs w:val="24"/>
          <w:lang w:val="en-GB"/>
        </w:rPr>
        <w:t>post evaluation)</w:t>
      </w:r>
      <w:r w:rsidRPr="001C0BFA">
        <w:rPr>
          <w:rFonts w:cs="Calibri"/>
          <w:szCs w:val="24"/>
          <w:lang w:val="en-GB"/>
        </w:rPr>
        <w:t>. It is proposed that the evaluation process should enable recognition of effectiveness and sustainability of public intervention in respect of implementation of the Green Deal strategy and aspects of sustainable approach to project implementation.</w:t>
      </w:r>
    </w:p>
    <w:p w14:paraId="4D727729" w14:textId="28425E79" w:rsidR="00DF1A94" w:rsidRDefault="008C10DB">
      <w:pPr>
        <w:pStyle w:val="Nagwek1"/>
        <w:numPr>
          <w:ilvl w:val="0"/>
          <w:numId w:val="1"/>
        </w:numPr>
        <w:rPr>
          <w:caps w:val="0"/>
          <w:sz w:val="32"/>
          <w:szCs w:val="24"/>
        </w:rPr>
      </w:pPr>
      <w:bookmarkStart w:id="4" w:name="_Toc104790622"/>
      <w:r w:rsidRPr="0091280D">
        <w:rPr>
          <w:caps w:val="0"/>
          <w:sz w:val="32"/>
          <w:szCs w:val="24"/>
        </w:rPr>
        <w:t>WPROWADZENIE</w:t>
      </w:r>
      <w:bookmarkEnd w:id="4"/>
    </w:p>
    <w:p w14:paraId="54047D65" w14:textId="1CB06BBF" w:rsidR="000472C1" w:rsidRDefault="000472C1">
      <w:r>
        <w:t>Prognoza oddziaływania na środowisko (dalej Prognoza) dotyczy projektu programu Fundusze Europejskie dla Pomorza Zachodniego 2021-2027 (</w:t>
      </w:r>
      <w:r w:rsidR="00D4052B">
        <w:t>FEPZ</w:t>
      </w:r>
      <w:r>
        <w:t xml:space="preserve"> 2021-2027). Obowiązek przeprowadzenia strategicznej oceny oddziaływania na środowisko wynika bezpośrednio z art. 46 ust. 1 pkt 2 ustawy z dnia 3 października 2008 r. o udostępnianiu informacji o środowisku i jego ochronie, udziale społeczeństwa w ochronie środowiska oraz o ocenach oddziaływania na środowisko</w:t>
      </w:r>
      <w:r w:rsidR="00D4052B">
        <w:t xml:space="preserve"> </w:t>
      </w:r>
      <w:r>
        <w:t>(ustawa OOŚ)</w:t>
      </w:r>
      <w:r w:rsidR="004251AB">
        <w:rPr>
          <w:rStyle w:val="Odwoanieprzypisudolnego"/>
        </w:rPr>
        <w:footnoteReference w:id="1"/>
      </w:r>
      <w:r>
        <w:t>, która zawiera transpozycję do prawodawstwa polskiego dyrektywy 2001/42/WE Parlamentu Europejskiego i Rady z dnia 27 czerwca 2001r. w sprawie oceny wpływu niektórych planów i programów na środowisko (SEA)</w:t>
      </w:r>
      <w:r w:rsidR="004251AB">
        <w:rPr>
          <w:rStyle w:val="Odwoanieprzypisudolnego"/>
        </w:rPr>
        <w:footnoteReference w:id="2"/>
      </w:r>
      <w:r>
        <w:t xml:space="preserve">. </w:t>
      </w:r>
    </w:p>
    <w:p w14:paraId="4B4B79E9" w14:textId="77777777" w:rsidR="000472C1" w:rsidRDefault="000472C1">
      <w:r>
        <w:t xml:space="preserve">Celem Prognozy opracowywanej w ramach strategicznej oceny oddziaływania na środowisko jest identyfikacja najbardziej prawdopodobnych skutków środowiskowych, jakie może wywołać realizacja zamierzeń ujętych w analizowanym dokumencie. </w:t>
      </w:r>
    </w:p>
    <w:p w14:paraId="00D1E70B" w14:textId="59700DDA" w:rsidR="000472C1" w:rsidRPr="000472C1" w:rsidRDefault="000472C1">
      <w:r>
        <w:t>W realizacji Prognozy uwzględniono informacje i zalecenia wydane w pismach Regionalnego Dyrektora Ochrony Środowiska (RDOŚ) w Szczecinie z dnia 15 października 2021r. (</w:t>
      </w:r>
      <w:r w:rsidRPr="000472C1">
        <w:t>WOPN-OS.411.108.2021.MP</w:t>
      </w:r>
      <w:r>
        <w:t>), Zachodniopomorskiego Państwowego Wojewódzkiego Inspektora Sanitarnego (WIS) z dnia 11 października 2021r. (</w:t>
      </w:r>
      <w:r w:rsidRPr="000472C1">
        <w:t>NZNS.7040.2.21.2021</w:t>
      </w:r>
      <w:r>
        <w:t xml:space="preserve">) i Dyrektora Urzędu Morskiego w Szczecinie z dnia </w:t>
      </w:r>
      <w:r w:rsidR="00B91B08">
        <w:t>4 października 2021 (</w:t>
      </w:r>
      <w:r w:rsidR="00B91B08" w:rsidRPr="00B91B08">
        <w:t>OW.52001.11.21.AZ(2)</w:t>
      </w:r>
      <w:r w:rsidR="00B91B08">
        <w:t>).</w:t>
      </w:r>
      <w:r>
        <w:t xml:space="preserve"> Prognoza została sporządzona zgodnie z zakresem wynikającym z art. 51 ust. 2 ustawy OOŚ, przy zachowaniu warunków, o których mowa w art. 52 ust. 1 i 2 ww. ustawy.</w:t>
      </w:r>
    </w:p>
    <w:p w14:paraId="5DF36228" w14:textId="227DBE21" w:rsidR="00CC2F5F" w:rsidRPr="0091280D" w:rsidRDefault="008C10DB" w:rsidP="000547C2">
      <w:pPr>
        <w:pStyle w:val="Nagwek1"/>
        <w:numPr>
          <w:ilvl w:val="0"/>
          <w:numId w:val="1"/>
        </w:numPr>
        <w:rPr>
          <w:sz w:val="32"/>
          <w:szCs w:val="24"/>
        </w:rPr>
      </w:pPr>
      <w:bookmarkStart w:id="5" w:name="_Toc104790623"/>
      <w:r w:rsidRPr="0091280D">
        <w:rPr>
          <w:caps w:val="0"/>
          <w:sz w:val="32"/>
          <w:szCs w:val="24"/>
        </w:rPr>
        <w:t>CEL I ZAKRES PROGNOZY I METODY ZASTOSOWANE PRZY SPORZĄDZANIU PROGNOZY</w:t>
      </w:r>
      <w:bookmarkEnd w:id="5"/>
    </w:p>
    <w:p w14:paraId="5D097345" w14:textId="1526AF34" w:rsidR="00DF1A94" w:rsidRPr="0091280D" w:rsidRDefault="008C10DB" w:rsidP="000547C2">
      <w:pPr>
        <w:pStyle w:val="Nagwek1"/>
        <w:numPr>
          <w:ilvl w:val="1"/>
          <w:numId w:val="1"/>
        </w:numPr>
        <w:ind w:left="993" w:hanging="633"/>
        <w:rPr>
          <w:caps w:val="0"/>
          <w:sz w:val="32"/>
          <w:szCs w:val="24"/>
        </w:rPr>
      </w:pPr>
      <w:bookmarkStart w:id="6" w:name="_Toc104790624"/>
      <w:r w:rsidRPr="0091280D">
        <w:rPr>
          <w:caps w:val="0"/>
          <w:sz w:val="32"/>
          <w:szCs w:val="24"/>
        </w:rPr>
        <w:t>CEL I ZAKRES PROGNOZY</w:t>
      </w:r>
      <w:bookmarkEnd w:id="6"/>
    </w:p>
    <w:p w14:paraId="2B62DB3A" w14:textId="31CAAB21" w:rsidR="00FF6C27" w:rsidRPr="00A65366" w:rsidRDefault="00FF6C27" w:rsidP="00444656">
      <w:pPr>
        <w:rPr>
          <w:rFonts w:cstheme="minorHAnsi"/>
          <w:spacing w:val="-4"/>
          <w:szCs w:val="24"/>
        </w:rPr>
      </w:pPr>
      <w:r w:rsidRPr="00A65366">
        <w:rPr>
          <w:rFonts w:cstheme="minorHAnsi"/>
          <w:spacing w:val="-4"/>
          <w:szCs w:val="24"/>
        </w:rPr>
        <w:t xml:space="preserve">Celem Prognozy jest ocena potencjalnych i rzeczywistych skutków oddziaływania </w:t>
      </w:r>
      <w:r w:rsidR="00595113" w:rsidRPr="00A65366">
        <w:rPr>
          <w:rFonts w:cstheme="minorHAnsi"/>
          <w:spacing w:val="-4"/>
          <w:szCs w:val="24"/>
        </w:rPr>
        <w:t xml:space="preserve">na środowisko </w:t>
      </w:r>
      <w:r w:rsidRPr="00A65366">
        <w:rPr>
          <w:rFonts w:cstheme="minorHAnsi"/>
          <w:spacing w:val="-4"/>
          <w:szCs w:val="24"/>
        </w:rPr>
        <w:t xml:space="preserve">realizacji projektu </w:t>
      </w:r>
      <w:r w:rsidR="00595113" w:rsidRPr="00A65366">
        <w:rPr>
          <w:rFonts w:cstheme="minorHAnsi"/>
          <w:spacing w:val="-4"/>
          <w:szCs w:val="24"/>
        </w:rPr>
        <w:t xml:space="preserve">Fundusze Europejskie dla </w:t>
      </w:r>
      <w:r w:rsidR="000472C1">
        <w:rPr>
          <w:rFonts w:cstheme="minorHAnsi"/>
          <w:spacing w:val="-4"/>
          <w:szCs w:val="24"/>
        </w:rPr>
        <w:t>Pomorza Zachodniego</w:t>
      </w:r>
      <w:r w:rsidR="00A9739D" w:rsidRPr="00A65366">
        <w:rPr>
          <w:rFonts w:cstheme="minorHAnsi"/>
          <w:spacing w:val="-4"/>
          <w:szCs w:val="24"/>
        </w:rPr>
        <w:t xml:space="preserve"> 2021-2027 (</w:t>
      </w:r>
      <w:r w:rsidR="00D4052B">
        <w:rPr>
          <w:rFonts w:cstheme="minorHAnsi"/>
          <w:spacing w:val="-4"/>
          <w:szCs w:val="24"/>
        </w:rPr>
        <w:t>FEPZ</w:t>
      </w:r>
      <w:r w:rsidR="00595113" w:rsidRPr="00A65366">
        <w:rPr>
          <w:rFonts w:cstheme="minorHAnsi"/>
          <w:spacing w:val="-4"/>
          <w:szCs w:val="24"/>
        </w:rPr>
        <w:t xml:space="preserve"> 2021-2027) </w:t>
      </w:r>
      <w:r w:rsidRPr="00A65366">
        <w:rPr>
          <w:rFonts w:cstheme="minorHAnsi"/>
          <w:spacing w:val="-4"/>
          <w:szCs w:val="24"/>
        </w:rPr>
        <w:t xml:space="preserve">z uwzględnieniem możliwych </w:t>
      </w:r>
      <w:r w:rsidR="00595113" w:rsidRPr="00A65366">
        <w:rPr>
          <w:rFonts w:cstheme="minorHAnsi"/>
          <w:spacing w:val="-4"/>
          <w:szCs w:val="24"/>
        </w:rPr>
        <w:t xml:space="preserve">działań związanych z realizacją głównych wyzwań rozwojowych Województwa </w:t>
      </w:r>
      <w:r w:rsidR="0026029D">
        <w:rPr>
          <w:rFonts w:cstheme="minorHAnsi"/>
          <w:spacing w:val="-4"/>
          <w:szCs w:val="24"/>
        </w:rPr>
        <w:t>Zachodniopomorskiego</w:t>
      </w:r>
      <w:r w:rsidRPr="00A65366">
        <w:rPr>
          <w:rFonts w:cstheme="minorHAnsi"/>
          <w:spacing w:val="-4"/>
          <w:szCs w:val="24"/>
        </w:rPr>
        <w:t xml:space="preserve">. Zakres Prognozy, opracowanej zgodnie z zapisami zawartymi w art. 51 ustawy </w:t>
      </w:r>
      <w:r w:rsidR="008A74DE">
        <w:rPr>
          <w:rFonts w:cstheme="minorHAnsi"/>
          <w:spacing w:val="-4"/>
          <w:szCs w:val="24"/>
        </w:rPr>
        <w:t>OOŚ</w:t>
      </w:r>
      <w:r w:rsidRPr="00A65366">
        <w:rPr>
          <w:rFonts w:cstheme="minorHAnsi"/>
          <w:spacing w:val="-4"/>
          <w:szCs w:val="24"/>
        </w:rPr>
        <w:t>, zawiera w szczególności:</w:t>
      </w:r>
    </w:p>
    <w:p w14:paraId="0A810C20" w14:textId="77777777" w:rsidR="00FF6C27" w:rsidRPr="00A65366" w:rsidRDefault="00FF6C27" w:rsidP="00F2794A">
      <w:pPr>
        <w:numPr>
          <w:ilvl w:val="0"/>
          <w:numId w:val="3"/>
        </w:numPr>
        <w:spacing w:before="0" w:after="0"/>
        <w:rPr>
          <w:spacing w:val="-4"/>
          <w:szCs w:val="24"/>
        </w:rPr>
      </w:pPr>
      <w:r w:rsidRPr="00A65366">
        <w:rPr>
          <w:spacing w:val="-4"/>
          <w:szCs w:val="24"/>
        </w:rPr>
        <w:t>informacje o zawartości, głównych celach projektowanego dokumentu oraz jego powiązaniach z innymi dokumentami,</w:t>
      </w:r>
    </w:p>
    <w:p w14:paraId="13BAE91E" w14:textId="77777777" w:rsidR="00FF6C27" w:rsidRPr="00A65366" w:rsidRDefault="00FF6C27" w:rsidP="00F2794A">
      <w:pPr>
        <w:numPr>
          <w:ilvl w:val="0"/>
          <w:numId w:val="3"/>
        </w:numPr>
        <w:spacing w:before="0" w:after="0"/>
        <w:rPr>
          <w:spacing w:val="-4"/>
          <w:szCs w:val="24"/>
        </w:rPr>
      </w:pPr>
      <w:r w:rsidRPr="00A65366">
        <w:rPr>
          <w:spacing w:val="-4"/>
          <w:szCs w:val="24"/>
        </w:rPr>
        <w:t>informacje o metodach zastosowanych przy sporządzaniu Prognozy,</w:t>
      </w:r>
    </w:p>
    <w:p w14:paraId="048DCDF0" w14:textId="77777777" w:rsidR="00FF6C27" w:rsidRPr="00A65366" w:rsidRDefault="00FF6C27" w:rsidP="00F2794A">
      <w:pPr>
        <w:numPr>
          <w:ilvl w:val="0"/>
          <w:numId w:val="3"/>
        </w:numPr>
        <w:spacing w:before="0" w:after="0"/>
        <w:rPr>
          <w:spacing w:val="-4"/>
          <w:szCs w:val="24"/>
        </w:rPr>
      </w:pPr>
      <w:r w:rsidRPr="00A65366">
        <w:rPr>
          <w:spacing w:val="-4"/>
          <w:szCs w:val="24"/>
        </w:rPr>
        <w:t>propozycje dotyczące przewidywanych metod analizy skutków realizacji postanowień projektowanego dokumentu oraz częstotliwości jej przeprowadzania,</w:t>
      </w:r>
    </w:p>
    <w:p w14:paraId="4F221FD7" w14:textId="77777777" w:rsidR="00FF6C27" w:rsidRPr="00A65366" w:rsidRDefault="00FF6C27" w:rsidP="00F2794A">
      <w:pPr>
        <w:numPr>
          <w:ilvl w:val="0"/>
          <w:numId w:val="3"/>
        </w:numPr>
        <w:spacing w:before="0" w:after="0"/>
        <w:rPr>
          <w:spacing w:val="-4"/>
          <w:szCs w:val="24"/>
        </w:rPr>
      </w:pPr>
      <w:r w:rsidRPr="00A65366">
        <w:rPr>
          <w:spacing w:val="-4"/>
          <w:szCs w:val="24"/>
        </w:rPr>
        <w:t>informacje o możliwym transgranicznym oddziaływaniu na środowisko,</w:t>
      </w:r>
    </w:p>
    <w:p w14:paraId="6B2C6906" w14:textId="77777777" w:rsidR="00FF6C27" w:rsidRPr="00A65366" w:rsidRDefault="00FF6C27" w:rsidP="00F2794A">
      <w:pPr>
        <w:numPr>
          <w:ilvl w:val="0"/>
          <w:numId w:val="3"/>
        </w:numPr>
        <w:spacing w:before="0" w:after="0"/>
        <w:rPr>
          <w:spacing w:val="-4"/>
          <w:szCs w:val="24"/>
        </w:rPr>
      </w:pPr>
      <w:r w:rsidRPr="00A65366">
        <w:rPr>
          <w:spacing w:val="-4"/>
          <w:szCs w:val="24"/>
        </w:rPr>
        <w:t>streszczenie sporządzone w języku niespecjalistycznym,</w:t>
      </w:r>
    </w:p>
    <w:p w14:paraId="21C5F6EE" w14:textId="77777777" w:rsidR="00FF6C27" w:rsidRPr="00A65366" w:rsidRDefault="00FF6C27" w:rsidP="00F2794A">
      <w:pPr>
        <w:numPr>
          <w:ilvl w:val="0"/>
          <w:numId w:val="3"/>
        </w:numPr>
        <w:spacing w:before="0" w:after="0"/>
        <w:rPr>
          <w:spacing w:val="-4"/>
          <w:szCs w:val="24"/>
        </w:rPr>
      </w:pPr>
      <w:r w:rsidRPr="00A65366">
        <w:rPr>
          <w:spacing w:val="-4"/>
          <w:szCs w:val="24"/>
        </w:rPr>
        <w:t>oświadczenie o spełnieniu wymagań, o których mowa w art. 74a ust. 2 Ustawy ooś</w:t>
      </w:r>
      <w:r w:rsidRPr="00A65366">
        <w:rPr>
          <w:rStyle w:val="Odwoanieprzypisudolnego"/>
          <w:spacing w:val="-4"/>
          <w:szCs w:val="24"/>
        </w:rPr>
        <w:footnoteReference w:id="3"/>
      </w:r>
      <w:r w:rsidRPr="00A65366">
        <w:rPr>
          <w:spacing w:val="-4"/>
          <w:szCs w:val="24"/>
        </w:rPr>
        <w:t xml:space="preserve">, </w:t>
      </w:r>
    </w:p>
    <w:p w14:paraId="429EC394" w14:textId="6A1F533F" w:rsidR="00FF6C27" w:rsidRPr="00A65366" w:rsidRDefault="00FF6C27" w:rsidP="00444656">
      <w:pPr>
        <w:rPr>
          <w:rFonts w:cstheme="minorHAnsi"/>
          <w:spacing w:val="-4"/>
          <w:szCs w:val="24"/>
        </w:rPr>
      </w:pPr>
      <w:r w:rsidRPr="00A65366">
        <w:rPr>
          <w:rFonts w:cstheme="minorHAnsi"/>
          <w:spacing w:val="-4"/>
          <w:szCs w:val="24"/>
        </w:rPr>
        <w:t xml:space="preserve">Informacje o sposobie dostosowania zawartości niniejszej Prognozy do wymogów artykułu 51 </w:t>
      </w:r>
      <w:r w:rsidR="00E90455">
        <w:rPr>
          <w:rFonts w:cstheme="minorHAnsi"/>
          <w:spacing w:val="-4"/>
          <w:szCs w:val="24"/>
        </w:rPr>
        <w:t>u</w:t>
      </w:r>
      <w:r w:rsidRPr="00A65366">
        <w:rPr>
          <w:rFonts w:cstheme="minorHAnsi"/>
          <w:spacing w:val="-4"/>
          <w:szCs w:val="24"/>
        </w:rPr>
        <w:t xml:space="preserve">stawy </w:t>
      </w:r>
      <w:r w:rsidR="00E90455">
        <w:rPr>
          <w:rFonts w:cstheme="minorHAnsi"/>
          <w:spacing w:val="-4"/>
          <w:szCs w:val="24"/>
        </w:rPr>
        <w:t>OOŚ</w:t>
      </w:r>
      <w:r w:rsidRPr="00A65366">
        <w:rPr>
          <w:rFonts w:cstheme="minorHAnsi"/>
          <w:spacing w:val="-4"/>
          <w:szCs w:val="24"/>
        </w:rPr>
        <w:t xml:space="preserve"> zawarto w załączniku 1.</w:t>
      </w:r>
    </w:p>
    <w:p w14:paraId="4E97F6A2" w14:textId="4913A726" w:rsidR="00DF1A94" w:rsidRDefault="008C10DB" w:rsidP="000547C2">
      <w:pPr>
        <w:pStyle w:val="Nagwek1"/>
        <w:numPr>
          <w:ilvl w:val="1"/>
          <w:numId w:val="1"/>
        </w:numPr>
        <w:ind w:left="993" w:hanging="633"/>
        <w:rPr>
          <w:caps w:val="0"/>
          <w:sz w:val="32"/>
          <w:szCs w:val="24"/>
        </w:rPr>
      </w:pPr>
      <w:bookmarkStart w:id="7" w:name="_Toc104790625"/>
      <w:r w:rsidRPr="0091280D">
        <w:rPr>
          <w:caps w:val="0"/>
          <w:sz w:val="32"/>
          <w:szCs w:val="24"/>
        </w:rPr>
        <w:t>METODY ZASTOSOWANE PRZY OPRACOWYWANIU PROGNOZY</w:t>
      </w:r>
      <w:bookmarkEnd w:id="7"/>
    </w:p>
    <w:p w14:paraId="441D3F99" w14:textId="77777777" w:rsidR="00B91B08" w:rsidRPr="0091280D" w:rsidRDefault="00B91B08" w:rsidP="00B91B08">
      <w:pPr>
        <w:rPr>
          <w:rFonts w:cstheme="minorHAnsi"/>
          <w:spacing w:val="-4"/>
          <w:szCs w:val="22"/>
        </w:rPr>
      </w:pPr>
      <w:r w:rsidRPr="0091280D">
        <w:rPr>
          <w:rFonts w:cstheme="minorHAnsi"/>
          <w:spacing w:val="-4"/>
          <w:szCs w:val="22"/>
        </w:rPr>
        <w:t>Ze względu na fakt, iż podjęty przedmiot badań ma charakter wielopłaszczyznowy i interdyscyplinarny, opracowana Prognoza podejmuje analizę i ocenę:</w:t>
      </w:r>
    </w:p>
    <w:p w14:paraId="311D9E22" w14:textId="77777777" w:rsidR="00B91B08" w:rsidRPr="0091280D" w:rsidRDefault="00B91B08" w:rsidP="00B91B08">
      <w:pPr>
        <w:pStyle w:val="Akapitzlist"/>
        <w:numPr>
          <w:ilvl w:val="0"/>
          <w:numId w:val="15"/>
        </w:numPr>
        <w:spacing w:before="0" w:after="160"/>
        <w:ind w:left="714" w:hanging="357"/>
        <w:contextualSpacing w:val="0"/>
        <w:rPr>
          <w:spacing w:val="-4"/>
          <w:szCs w:val="22"/>
        </w:rPr>
      </w:pPr>
      <w:r w:rsidRPr="0091280D">
        <w:rPr>
          <w:spacing w:val="-4"/>
          <w:szCs w:val="22"/>
        </w:rPr>
        <w:t>celów ochrony środowiska przyjętych na szczeblu międzynarodowym, wspólnotowym i krajowym, istotne z punktu widzenia Prognozy, oraz sposoby, w jakich te cele i inne problemy środowiska zostały uwzględnione podczas opracowywania niniejszego dokumentu,</w:t>
      </w:r>
    </w:p>
    <w:p w14:paraId="5848581D" w14:textId="77777777" w:rsidR="00B91B08" w:rsidRPr="0091280D" w:rsidRDefault="00B91B08" w:rsidP="00B91B08">
      <w:pPr>
        <w:pStyle w:val="Akapitzlist"/>
        <w:numPr>
          <w:ilvl w:val="0"/>
          <w:numId w:val="15"/>
        </w:numPr>
        <w:spacing w:before="0" w:after="160"/>
        <w:ind w:left="714" w:hanging="357"/>
        <w:contextualSpacing w:val="0"/>
        <w:rPr>
          <w:spacing w:val="-4"/>
          <w:szCs w:val="22"/>
        </w:rPr>
      </w:pPr>
      <w:r w:rsidRPr="0091280D">
        <w:rPr>
          <w:spacing w:val="-4"/>
          <w:szCs w:val="22"/>
        </w:rPr>
        <w:t>stanu środowiska na obszarach objętych przewidywanym znaczącym oddziaływaniem</w:t>
      </w:r>
      <w:r w:rsidRPr="0091280D">
        <w:rPr>
          <w:spacing w:val="-4"/>
          <w:szCs w:val="22"/>
          <w:vertAlign w:val="superscript"/>
        </w:rPr>
        <w:footnoteReference w:id="4"/>
      </w:r>
      <w:r w:rsidRPr="0091280D">
        <w:rPr>
          <w:spacing w:val="-4"/>
          <w:szCs w:val="22"/>
        </w:rPr>
        <w:t>,</w:t>
      </w:r>
    </w:p>
    <w:p w14:paraId="6A69419A" w14:textId="77777777" w:rsidR="00B91B08" w:rsidRPr="0091280D" w:rsidRDefault="00B91B08" w:rsidP="00B91B08">
      <w:pPr>
        <w:pStyle w:val="Akapitzlist"/>
        <w:numPr>
          <w:ilvl w:val="0"/>
          <w:numId w:val="15"/>
        </w:numPr>
        <w:spacing w:before="0" w:after="160"/>
        <w:ind w:left="714" w:hanging="357"/>
        <w:contextualSpacing w:val="0"/>
        <w:rPr>
          <w:spacing w:val="-4"/>
          <w:szCs w:val="22"/>
        </w:rPr>
      </w:pPr>
      <w:r w:rsidRPr="0091280D">
        <w:rPr>
          <w:spacing w:val="-4"/>
          <w:szCs w:val="22"/>
        </w:rPr>
        <w:t>istniejących problemów ochrony środowiska merytorycznie związanych z niniejszym dokumentem</w:t>
      </w:r>
      <w:r w:rsidRPr="0091280D">
        <w:rPr>
          <w:rStyle w:val="Odwoanieprzypisudolnego"/>
          <w:spacing w:val="-4"/>
          <w:szCs w:val="22"/>
        </w:rPr>
        <w:footnoteReference w:id="5"/>
      </w:r>
      <w:r w:rsidRPr="0091280D">
        <w:rPr>
          <w:spacing w:val="-4"/>
          <w:szCs w:val="22"/>
        </w:rPr>
        <w:t>,</w:t>
      </w:r>
    </w:p>
    <w:p w14:paraId="63068E74" w14:textId="77777777" w:rsidR="00B91B08" w:rsidRPr="0091280D" w:rsidRDefault="00B91B08" w:rsidP="00B91B08">
      <w:pPr>
        <w:pStyle w:val="Akapitzlist"/>
        <w:numPr>
          <w:ilvl w:val="0"/>
          <w:numId w:val="15"/>
        </w:numPr>
        <w:spacing w:before="0" w:after="160"/>
        <w:ind w:left="714" w:hanging="357"/>
        <w:contextualSpacing w:val="0"/>
        <w:rPr>
          <w:spacing w:val="-4"/>
          <w:szCs w:val="22"/>
        </w:rPr>
      </w:pPr>
      <w:r w:rsidRPr="0091280D">
        <w:rPr>
          <w:spacing w:val="-4"/>
          <w:szCs w:val="22"/>
        </w:rPr>
        <w:t>potencjalnych zmian tego stanu w przypadku braku realizacji projektowanego dokumentu,</w:t>
      </w:r>
    </w:p>
    <w:p w14:paraId="0D93EC5C" w14:textId="77777777" w:rsidR="00B91B08" w:rsidRPr="0091280D" w:rsidRDefault="00B91B08" w:rsidP="00B91B08">
      <w:pPr>
        <w:pStyle w:val="Akapitzlist"/>
        <w:numPr>
          <w:ilvl w:val="0"/>
          <w:numId w:val="15"/>
        </w:numPr>
        <w:spacing w:before="0" w:after="160"/>
        <w:ind w:left="714" w:hanging="357"/>
        <w:contextualSpacing w:val="0"/>
        <w:rPr>
          <w:spacing w:val="-4"/>
          <w:szCs w:val="22"/>
        </w:rPr>
      </w:pPr>
      <w:r w:rsidRPr="0091280D">
        <w:rPr>
          <w:spacing w:val="-4"/>
          <w:szCs w:val="22"/>
        </w:rPr>
        <w:t xml:space="preserve">możliwych znaczących oddziaływań (m.in.: bezpośrednie, pośrednie, wtórne, stałe i chwilowe, pozytywne i negatywne), na cele i przedmiot ochrony obszaru Natura 2000 oraz na integralność tego obszaru, a także na środowisko, w szczególności zaś na: różnorodność biologiczną, ludzi, zwierzęta, rośliny, wodę, powietrze i klimat, powierzchnię ziemi, krajobraz, zasoby naturalne, zabytki i dobra materialne, z uwzględnieniem zależności pomiędzy komponentami środowiska i oddziaływań </w:t>
      </w:r>
      <w:r>
        <w:rPr>
          <w:spacing w:val="-4"/>
          <w:szCs w:val="22"/>
        </w:rPr>
        <w:br/>
      </w:r>
      <w:r w:rsidRPr="0091280D">
        <w:rPr>
          <w:spacing w:val="-4"/>
          <w:szCs w:val="22"/>
        </w:rPr>
        <w:t>na te elementy.</w:t>
      </w:r>
    </w:p>
    <w:p w14:paraId="7EDF2E54" w14:textId="7408A77E" w:rsidR="00B91B08" w:rsidRPr="0091280D" w:rsidRDefault="00B91B08" w:rsidP="00B91B08">
      <w:pPr>
        <w:rPr>
          <w:rFonts w:cstheme="minorHAnsi"/>
          <w:spacing w:val="-4"/>
          <w:szCs w:val="22"/>
        </w:rPr>
      </w:pPr>
      <w:r w:rsidRPr="0091280D">
        <w:rPr>
          <w:rFonts w:cstheme="minorHAnsi"/>
          <w:spacing w:val="-4"/>
          <w:szCs w:val="22"/>
        </w:rPr>
        <w:t xml:space="preserve">Prognoza oddziaływania na środowisko projektu programu Fundusze Europejskie dla </w:t>
      </w:r>
      <w:r>
        <w:rPr>
          <w:rFonts w:cstheme="minorHAnsi"/>
          <w:spacing w:val="-4"/>
          <w:szCs w:val="22"/>
        </w:rPr>
        <w:t>Pomorza Zachodniego</w:t>
      </w:r>
      <w:r w:rsidRPr="0091280D">
        <w:rPr>
          <w:rFonts w:cstheme="minorHAnsi"/>
          <w:spacing w:val="-4"/>
          <w:szCs w:val="22"/>
        </w:rPr>
        <w:t xml:space="preserve"> 2021-2027 zawiera także rozwiązania:</w:t>
      </w:r>
    </w:p>
    <w:p w14:paraId="53015376" w14:textId="5DFFE868" w:rsidR="00B91B08" w:rsidRPr="0091280D" w:rsidRDefault="00B91B08" w:rsidP="00B91B08">
      <w:pPr>
        <w:pStyle w:val="Akapitzlist"/>
        <w:numPr>
          <w:ilvl w:val="0"/>
          <w:numId w:val="16"/>
        </w:numPr>
        <w:spacing w:before="0" w:after="160"/>
        <w:ind w:left="714" w:hanging="357"/>
        <w:contextualSpacing w:val="0"/>
        <w:rPr>
          <w:spacing w:val="-4"/>
          <w:szCs w:val="22"/>
        </w:rPr>
      </w:pPr>
      <w:r w:rsidRPr="0091280D">
        <w:rPr>
          <w:spacing w:val="-4"/>
          <w:szCs w:val="22"/>
        </w:rPr>
        <w:t xml:space="preserve">przyczyniające się do zapobiegania, ograniczania lub kompensacji przyrodniczej negatywnych oddziaływań na środowisko, mogących być efektem realizacji projektu </w:t>
      </w:r>
      <w:r w:rsidR="00D4052B">
        <w:rPr>
          <w:spacing w:val="-4"/>
          <w:szCs w:val="22"/>
        </w:rPr>
        <w:t>FEPZ</w:t>
      </w:r>
      <w:r w:rsidRPr="0091280D">
        <w:rPr>
          <w:spacing w:val="-4"/>
          <w:szCs w:val="22"/>
        </w:rPr>
        <w:t xml:space="preserve"> 2021-2027, w szczególności na cele i przedmiot ochrony obszaru Natura 2000 oraz</w:t>
      </w:r>
      <w:r>
        <w:rPr>
          <w:spacing w:val="-4"/>
          <w:szCs w:val="22"/>
        </w:rPr>
        <w:t xml:space="preserve"> </w:t>
      </w:r>
      <w:r w:rsidRPr="0091280D">
        <w:rPr>
          <w:spacing w:val="-4"/>
          <w:szCs w:val="22"/>
        </w:rPr>
        <w:t>na integralność tego obszaru,</w:t>
      </w:r>
    </w:p>
    <w:p w14:paraId="74EBB4F3" w14:textId="77777777" w:rsidR="00B91B08" w:rsidRPr="0091280D" w:rsidRDefault="00B91B08" w:rsidP="00B91B08">
      <w:pPr>
        <w:pStyle w:val="Akapitzlist"/>
        <w:numPr>
          <w:ilvl w:val="0"/>
          <w:numId w:val="16"/>
        </w:numPr>
        <w:spacing w:before="0" w:after="160"/>
        <w:ind w:left="714" w:hanging="357"/>
        <w:contextualSpacing w:val="0"/>
        <w:rPr>
          <w:spacing w:val="-4"/>
          <w:szCs w:val="22"/>
        </w:rPr>
      </w:pPr>
      <w:r w:rsidRPr="0091280D">
        <w:rPr>
          <w:spacing w:val="-4"/>
          <w:szCs w:val="22"/>
        </w:rPr>
        <w:t>alternatywne do rozwiązań zawartych w projektowanym dokumencie wraz z uzasadnieniem ich wyboru oraz opis metod dokonanej oceny, prowadzącej do tego wyboru, albo wyjaśnienie braku rozwiązań alternatywnych, w tym wskazania napotkanych trudności, wynikających z niedostatków techniki lub z luk we współczesnej wiedzy.</w:t>
      </w:r>
    </w:p>
    <w:p w14:paraId="1189BB60" w14:textId="3A776810" w:rsidR="00B91B08" w:rsidRPr="002746D5" w:rsidRDefault="00B91B08" w:rsidP="00B91B08">
      <w:pPr>
        <w:rPr>
          <w:rFonts w:cstheme="minorHAnsi"/>
          <w:spacing w:val="-4"/>
          <w:szCs w:val="22"/>
        </w:rPr>
      </w:pPr>
      <w:r w:rsidRPr="0091280D">
        <w:rPr>
          <w:rFonts w:cstheme="minorHAnsi"/>
          <w:spacing w:val="-4"/>
          <w:szCs w:val="22"/>
        </w:rPr>
        <w:t xml:space="preserve">Zgodnie wymogami z art. 52 ust.1 ustawy OOŚ opisane w Prognozie analizy oraz wynikające z nich zalecenia zostały dostosowane stopniem dokładności do stopnia szczegółowości zapisów projektu programu Fundusze Europejskie dla </w:t>
      </w:r>
      <w:r>
        <w:rPr>
          <w:rFonts w:cstheme="minorHAnsi"/>
          <w:spacing w:val="-4"/>
          <w:szCs w:val="22"/>
        </w:rPr>
        <w:t>Pomorza Zachodniego</w:t>
      </w:r>
      <w:r w:rsidRPr="0091280D">
        <w:rPr>
          <w:rFonts w:cstheme="minorHAnsi"/>
          <w:spacing w:val="-4"/>
          <w:szCs w:val="22"/>
        </w:rPr>
        <w:t xml:space="preserve"> 2021-2027. Projekt</w:t>
      </w:r>
      <w:r>
        <w:rPr>
          <w:rFonts w:cstheme="minorHAnsi"/>
          <w:spacing w:val="-4"/>
          <w:szCs w:val="22"/>
        </w:rPr>
        <w:t xml:space="preserve"> </w:t>
      </w:r>
      <w:r w:rsidR="00D4052B">
        <w:rPr>
          <w:rFonts w:cstheme="minorHAnsi"/>
          <w:spacing w:val="-4"/>
          <w:szCs w:val="22"/>
        </w:rPr>
        <w:t>FEPZ</w:t>
      </w:r>
      <w:r>
        <w:rPr>
          <w:rFonts w:cstheme="minorHAnsi"/>
          <w:spacing w:val="-4"/>
          <w:szCs w:val="22"/>
        </w:rPr>
        <w:t xml:space="preserve"> 2021 - 2027</w:t>
      </w:r>
      <w:r w:rsidRPr="0091280D">
        <w:rPr>
          <w:rFonts w:cstheme="minorHAnsi"/>
          <w:spacing w:val="-4"/>
          <w:szCs w:val="22"/>
        </w:rPr>
        <w:t xml:space="preserve"> wskazuj</w:t>
      </w:r>
      <w:r>
        <w:rPr>
          <w:rFonts w:cstheme="minorHAnsi"/>
          <w:spacing w:val="-4"/>
          <w:szCs w:val="22"/>
        </w:rPr>
        <w:t>e</w:t>
      </w:r>
      <w:r w:rsidRPr="0091280D">
        <w:rPr>
          <w:rFonts w:cstheme="minorHAnsi"/>
          <w:spacing w:val="-4"/>
          <w:szCs w:val="22"/>
        </w:rPr>
        <w:t xml:space="preserve"> kierunki działania</w:t>
      </w:r>
      <w:r>
        <w:rPr>
          <w:rFonts w:cstheme="minorHAnsi"/>
          <w:spacing w:val="-4"/>
          <w:szCs w:val="22"/>
        </w:rPr>
        <w:t xml:space="preserve"> (typy projektów)</w:t>
      </w:r>
      <w:r w:rsidRPr="0091280D">
        <w:rPr>
          <w:rFonts w:cstheme="minorHAnsi"/>
          <w:spacing w:val="-4"/>
          <w:szCs w:val="22"/>
        </w:rPr>
        <w:t>, które powinny zostać podjęte dla wspieranie rozwoju</w:t>
      </w:r>
      <w:r>
        <w:rPr>
          <w:rFonts w:cstheme="minorHAnsi"/>
          <w:spacing w:val="-4"/>
          <w:szCs w:val="22"/>
        </w:rPr>
        <w:t xml:space="preserve"> </w:t>
      </w:r>
      <w:r w:rsidRPr="0091280D">
        <w:rPr>
          <w:rFonts w:cstheme="minorHAnsi"/>
          <w:spacing w:val="-4"/>
          <w:szCs w:val="22"/>
        </w:rPr>
        <w:t>i</w:t>
      </w:r>
      <w:r>
        <w:rPr>
          <w:rFonts w:cstheme="minorHAnsi"/>
          <w:spacing w:val="-4"/>
          <w:szCs w:val="22"/>
        </w:rPr>
        <w:t> </w:t>
      </w:r>
      <w:r w:rsidRPr="0091280D">
        <w:rPr>
          <w:rFonts w:cstheme="minorHAnsi"/>
          <w:spacing w:val="-4"/>
          <w:szCs w:val="22"/>
        </w:rPr>
        <w:t xml:space="preserve">zwiększanie potencjału rozwojowego województwa </w:t>
      </w:r>
      <w:r>
        <w:rPr>
          <w:rFonts w:cstheme="minorHAnsi"/>
          <w:spacing w:val="-4"/>
          <w:szCs w:val="22"/>
        </w:rPr>
        <w:t>zachodniopomorskiego.</w:t>
      </w:r>
      <w:r w:rsidRPr="0091280D">
        <w:rPr>
          <w:rFonts w:cstheme="minorHAnsi"/>
          <w:spacing w:val="-4"/>
          <w:szCs w:val="22"/>
        </w:rPr>
        <w:t xml:space="preserve"> W celu zminimalizowania </w:t>
      </w:r>
      <w:r w:rsidRPr="0091280D">
        <w:rPr>
          <w:spacing w:val="-4"/>
          <w:szCs w:val="22"/>
        </w:rPr>
        <w:t>potencjalnego oddziaływania na środowisko</w:t>
      </w:r>
      <w:r w:rsidR="00D4052B">
        <w:rPr>
          <w:spacing w:val="-4"/>
          <w:szCs w:val="22"/>
        </w:rPr>
        <w:t xml:space="preserve"> </w:t>
      </w:r>
      <w:r>
        <w:rPr>
          <w:spacing w:val="-4"/>
          <w:szCs w:val="22"/>
        </w:rPr>
        <w:t>planowanych do realizacji działań w ramach poszczególnych celów szczegółowych</w:t>
      </w:r>
      <w:r w:rsidRPr="0091280D">
        <w:rPr>
          <w:spacing w:val="-4"/>
          <w:szCs w:val="22"/>
        </w:rPr>
        <w:t>, opracowano dodatkowe zalecenia w zakresie środowiskowych kryteriów preselekcji i selekcji projektów, które odnoszą się do wymogów ochrony środowiska i racjonalnego korzystania z zasobów, z uwzględnieniem</w:t>
      </w:r>
      <w:r w:rsidRPr="0091280D">
        <w:rPr>
          <w:rFonts w:cstheme="minorHAnsi"/>
          <w:spacing w:val="-4"/>
          <w:szCs w:val="22"/>
        </w:rPr>
        <w:t xml:space="preserve"> zasady zrównoważonego rozwoju. Zaproponowano również dodatkowe wskaźniki monitorowania efektów środowiskowych wdrażania </w:t>
      </w:r>
      <w:r w:rsidR="00D4052B">
        <w:rPr>
          <w:rFonts w:cstheme="minorHAnsi"/>
          <w:spacing w:val="-4"/>
          <w:szCs w:val="22"/>
        </w:rPr>
        <w:t>FEPZ</w:t>
      </w:r>
      <w:r w:rsidRPr="0091280D">
        <w:rPr>
          <w:rFonts w:cstheme="minorHAnsi"/>
          <w:spacing w:val="-4"/>
          <w:szCs w:val="22"/>
        </w:rPr>
        <w:t xml:space="preserve"> 2021-2027.</w:t>
      </w:r>
    </w:p>
    <w:p w14:paraId="36DD7327" w14:textId="16F5D247" w:rsidR="00DF1A94" w:rsidRPr="0091280D" w:rsidRDefault="008C10DB" w:rsidP="000547C2">
      <w:pPr>
        <w:pStyle w:val="Nagwek1"/>
        <w:numPr>
          <w:ilvl w:val="1"/>
          <w:numId w:val="1"/>
        </w:numPr>
        <w:ind w:left="993" w:hanging="633"/>
        <w:rPr>
          <w:sz w:val="32"/>
          <w:szCs w:val="24"/>
        </w:rPr>
      </w:pPr>
      <w:bookmarkStart w:id="8" w:name="_Toc104790626"/>
      <w:r w:rsidRPr="0091280D">
        <w:rPr>
          <w:caps w:val="0"/>
          <w:sz w:val="32"/>
          <w:szCs w:val="24"/>
        </w:rPr>
        <w:t>STOPIEŃ SZCZEGÓŁOWOŚCI PROWADZONYCH OCEN</w:t>
      </w:r>
      <w:bookmarkEnd w:id="8"/>
    </w:p>
    <w:p w14:paraId="48880DE2" w14:textId="00719C2D" w:rsidR="00F04FF9" w:rsidRPr="001A28D5" w:rsidRDefault="00F04FF9" w:rsidP="00F04FF9">
      <w:pPr>
        <w:rPr>
          <w:rFonts w:cstheme="minorHAnsi"/>
          <w:spacing w:val="-4"/>
          <w:szCs w:val="22"/>
        </w:rPr>
      </w:pPr>
      <w:r w:rsidRPr="001374EE">
        <w:rPr>
          <w:rFonts w:cstheme="minorHAnsi"/>
          <w:spacing w:val="-4"/>
          <w:szCs w:val="22"/>
        </w:rPr>
        <w:t>Wymienione w projek</w:t>
      </w:r>
      <w:r>
        <w:rPr>
          <w:rFonts w:cstheme="minorHAnsi"/>
          <w:spacing w:val="-4"/>
          <w:szCs w:val="22"/>
        </w:rPr>
        <w:t>cie</w:t>
      </w:r>
      <w:r w:rsidRPr="001374EE">
        <w:rPr>
          <w:rFonts w:cstheme="minorHAnsi"/>
          <w:spacing w:val="-4"/>
          <w:szCs w:val="22"/>
        </w:rPr>
        <w:t xml:space="preserve"> </w:t>
      </w:r>
      <w:r w:rsidR="00D4052B">
        <w:rPr>
          <w:rFonts w:cstheme="minorHAnsi"/>
          <w:spacing w:val="-4"/>
          <w:szCs w:val="22"/>
        </w:rPr>
        <w:t>FEPZ</w:t>
      </w:r>
      <w:r w:rsidRPr="001374EE">
        <w:rPr>
          <w:rFonts w:cstheme="minorHAnsi"/>
          <w:spacing w:val="-4"/>
          <w:szCs w:val="22"/>
        </w:rPr>
        <w:t xml:space="preserve"> 2021-2027 priorytety i cele ukierunkowane są na realizację szerokiego wachlarza działań i przedsięwzięć</w:t>
      </w:r>
      <w:r>
        <w:rPr>
          <w:rFonts w:cstheme="minorHAnsi"/>
          <w:spacing w:val="-4"/>
          <w:szCs w:val="22"/>
        </w:rPr>
        <w:t>.</w:t>
      </w:r>
      <w:r w:rsidRPr="001374EE">
        <w:rPr>
          <w:rFonts w:cstheme="minorHAnsi"/>
          <w:spacing w:val="-4"/>
          <w:szCs w:val="22"/>
        </w:rPr>
        <w:t xml:space="preserve"> </w:t>
      </w:r>
      <w:r w:rsidRPr="001A28D5">
        <w:rPr>
          <w:rFonts w:cstheme="minorHAnsi"/>
          <w:spacing w:val="-4"/>
          <w:szCs w:val="22"/>
        </w:rPr>
        <w:t xml:space="preserve">Przedmiotem interwencji będą </w:t>
      </w:r>
      <w:r>
        <w:rPr>
          <w:rFonts w:cstheme="minorHAnsi"/>
          <w:spacing w:val="-4"/>
          <w:szCs w:val="22"/>
        </w:rPr>
        <w:t xml:space="preserve">działania </w:t>
      </w:r>
      <w:r w:rsidR="00A95B20">
        <w:rPr>
          <w:rFonts w:cstheme="minorHAnsi"/>
          <w:spacing w:val="-4"/>
          <w:szCs w:val="22"/>
        </w:rPr>
        <w:t xml:space="preserve">związane </w:t>
      </w:r>
      <w:r w:rsidRPr="001A28D5">
        <w:rPr>
          <w:rFonts w:cstheme="minorHAnsi"/>
          <w:spacing w:val="-4"/>
          <w:szCs w:val="22"/>
        </w:rPr>
        <w:t>m.in. w:</w:t>
      </w:r>
    </w:p>
    <w:p w14:paraId="268983D3" w14:textId="77777777" w:rsidR="00F04FF9" w:rsidRPr="001A28D5" w:rsidRDefault="00F04FF9" w:rsidP="00622DC9">
      <w:pPr>
        <w:pStyle w:val="Akapitzlist"/>
        <w:numPr>
          <w:ilvl w:val="0"/>
          <w:numId w:val="17"/>
        </w:numPr>
        <w:rPr>
          <w:rFonts w:cstheme="minorHAnsi"/>
          <w:spacing w:val="-4"/>
          <w:szCs w:val="22"/>
        </w:rPr>
      </w:pPr>
      <w:r w:rsidRPr="001A28D5">
        <w:rPr>
          <w:rFonts w:cstheme="minorHAnsi"/>
          <w:spacing w:val="-4"/>
          <w:szCs w:val="22"/>
        </w:rPr>
        <w:t>działalność badawczo-rozwojową przedsiębiorstw,</w:t>
      </w:r>
    </w:p>
    <w:p w14:paraId="0492FEA3" w14:textId="77777777" w:rsidR="00F04FF9" w:rsidRPr="001A28D5" w:rsidRDefault="00F04FF9" w:rsidP="00622DC9">
      <w:pPr>
        <w:pStyle w:val="Akapitzlist"/>
        <w:numPr>
          <w:ilvl w:val="0"/>
          <w:numId w:val="17"/>
        </w:numPr>
        <w:rPr>
          <w:rFonts w:cstheme="minorHAnsi"/>
          <w:spacing w:val="-4"/>
          <w:szCs w:val="22"/>
        </w:rPr>
      </w:pPr>
      <w:r w:rsidRPr="001A28D5">
        <w:rPr>
          <w:rFonts w:cstheme="minorHAnsi"/>
          <w:spacing w:val="-4"/>
          <w:szCs w:val="22"/>
        </w:rPr>
        <w:t>rozwój małych i średnich przedsiębiorstw,</w:t>
      </w:r>
    </w:p>
    <w:p w14:paraId="163F638C" w14:textId="77777777" w:rsidR="00F04FF9" w:rsidRPr="001A28D5" w:rsidRDefault="00F04FF9" w:rsidP="00622DC9">
      <w:pPr>
        <w:pStyle w:val="Akapitzlist"/>
        <w:numPr>
          <w:ilvl w:val="0"/>
          <w:numId w:val="17"/>
        </w:numPr>
        <w:rPr>
          <w:rFonts w:cstheme="minorHAnsi"/>
          <w:spacing w:val="-4"/>
          <w:szCs w:val="22"/>
        </w:rPr>
      </w:pPr>
      <w:r w:rsidRPr="001A28D5">
        <w:rPr>
          <w:rFonts w:cstheme="minorHAnsi"/>
          <w:spacing w:val="-4"/>
          <w:szCs w:val="22"/>
        </w:rPr>
        <w:t>e-usługi publiczne,</w:t>
      </w:r>
    </w:p>
    <w:p w14:paraId="18DAAB68" w14:textId="77777777" w:rsidR="00F04FF9" w:rsidRPr="001A28D5" w:rsidRDefault="00F04FF9" w:rsidP="00622DC9">
      <w:pPr>
        <w:pStyle w:val="Akapitzlist"/>
        <w:numPr>
          <w:ilvl w:val="0"/>
          <w:numId w:val="17"/>
        </w:numPr>
        <w:rPr>
          <w:rFonts w:cstheme="minorHAnsi"/>
          <w:spacing w:val="-4"/>
          <w:szCs w:val="22"/>
        </w:rPr>
      </w:pPr>
      <w:r w:rsidRPr="001A28D5">
        <w:rPr>
          <w:rFonts w:cstheme="minorHAnsi"/>
          <w:spacing w:val="-4"/>
          <w:szCs w:val="22"/>
        </w:rPr>
        <w:t>rozwój odnawialnych źródeł energii (OZE) i efektywności energetycznej,</w:t>
      </w:r>
    </w:p>
    <w:p w14:paraId="17EE7B71" w14:textId="77777777" w:rsidR="00F04FF9" w:rsidRPr="001A28D5" w:rsidRDefault="00F04FF9" w:rsidP="00622DC9">
      <w:pPr>
        <w:pStyle w:val="Akapitzlist"/>
        <w:numPr>
          <w:ilvl w:val="0"/>
          <w:numId w:val="17"/>
        </w:numPr>
        <w:rPr>
          <w:rFonts w:cstheme="minorHAnsi"/>
          <w:spacing w:val="-4"/>
          <w:szCs w:val="22"/>
        </w:rPr>
      </w:pPr>
      <w:r w:rsidRPr="001A28D5">
        <w:rPr>
          <w:rFonts w:cstheme="minorHAnsi"/>
          <w:spacing w:val="-4"/>
          <w:szCs w:val="22"/>
        </w:rPr>
        <w:t>przystosowanie regionu do zmian klimatu,</w:t>
      </w:r>
    </w:p>
    <w:p w14:paraId="33025C8B" w14:textId="77777777" w:rsidR="00F04FF9" w:rsidRPr="001A28D5" w:rsidRDefault="00F04FF9" w:rsidP="00622DC9">
      <w:pPr>
        <w:pStyle w:val="Akapitzlist"/>
        <w:numPr>
          <w:ilvl w:val="0"/>
          <w:numId w:val="17"/>
        </w:numPr>
        <w:rPr>
          <w:rFonts w:cstheme="minorHAnsi"/>
          <w:spacing w:val="-4"/>
          <w:szCs w:val="22"/>
        </w:rPr>
      </w:pPr>
      <w:r w:rsidRPr="001A28D5">
        <w:rPr>
          <w:rFonts w:cstheme="minorHAnsi"/>
          <w:spacing w:val="-4"/>
          <w:szCs w:val="22"/>
        </w:rPr>
        <w:t>ochronę terenów cennych pod względem przyrodniczym,</w:t>
      </w:r>
    </w:p>
    <w:p w14:paraId="7CA506B3" w14:textId="77777777" w:rsidR="00F04FF9" w:rsidRPr="001A28D5" w:rsidRDefault="00F04FF9" w:rsidP="00622DC9">
      <w:pPr>
        <w:pStyle w:val="Akapitzlist"/>
        <w:numPr>
          <w:ilvl w:val="0"/>
          <w:numId w:val="17"/>
        </w:numPr>
        <w:rPr>
          <w:rFonts w:cstheme="minorHAnsi"/>
          <w:spacing w:val="-4"/>
          <w:szCs w:val="22"/>
        </w:rPr>
      </w:pPr>
      <w:r w:rsidRPr="001A28D5">
        <w:rPr>
          <w:rFonts w:cstheme="minorHAnsi"/>
          <w:spacing w:val="-4"/>
          <w:szCs w:val="22"/>
        </w:rPr>
        <w:t>gospodarkę wodno-ściekową i odpadową,</w:t>
      </w:r>
    </w:p>
    <w:p w14:paraId="61FF08CC" w14:textId="77777777" w:rsidR="00F04FF9" w:rsidRPr="001A28D5" w:rsidRDefault="00F04FF9" w:rsidP="00622DC9">
      <w:pPr>
        <w:pStyle w:val="Akapitzlist"/>
        <w:numPr>
          <w:ilvl w:val="0"/>
          <w:numId w:val="17"/>
        </w:numPr>
        <w:rPr>
          <w:rFonts w:cstheme="minorHAnsi"/>
          <w:spacing w:val="-4"/>
          <w:szCs w:val="22"/>
        </w:rPr>
      </w:pPr>
      <w:r w:rsidRPr="001A28D5">
        <w:rPr>
          <w:rFonts w:cstheme="minorHAnsi"/>
          <w:spacing w:val="-4"/>
          <w:szCs w:val="22"/>
        </w:rPr>
        <w:t>regionalną infrastrukturę transportową,</w:t>
      </w:r>
    </w:p>
    <w:p w14:paraId="1001590C" w14:textId="77777777" w:rsidR="00F04FF9" w:rsidRPr="001A28D5" w:rsidRDefault="00F04FF9" w:rsidP="00622DC9">
      <w:pPr>
        <w:pStyle w:val="Akapitzlist"/>
        <w:numPr>
          <w:ilvl w:val="0"/>
          <w:numId w:val="17"/>
        </w:numPr>
        <w:rPr>
          <w:rFonts w:cstheme="minorHAnsi"/>
          <w:spacing w:val="-4"/>
          <w:szCs w:val="22"/>
        </w:rPr>
      </w:pPr>
      <w:r w:rsidRPr="001A28D5">
        <w:rPr>
          <w:rFonts w:cstheme="minorHAnsi"/>
          <w:spacing w:val="-4"/>
          <w:szCs w:val="22"/>
        </w:rPr>
        <w:t>infrastrukturę kulturalną i turystyczną,</w:t>
      </w:r>
    </w:p>
    <w:p w14:paraId="1EC1DA28" w14:textId="77777777" w:rsidR="00F04FF9" w:rsidRPr="001A28D5" w:rsidRDefault="00F04FF9" w:rsidP="00622DC9">
      <w:pPr>
        <w:pStyle w:val="Akapitzlist"/>
        <w:numPr>
          <w:ilvl w:val="0"/>
          <w:numId w:val="17"/>
        </w:numPr>
        <w:rPr>
          <w:rFonts w:cstheme="minorHAnsi"/>
          <w:spacing w:val="-4"/>
          <w:szCs w:val="22"/>
        </w:rPr>
      </w:pPr>
      <w:r w:rsidRPr="001A28D5">
        <w:rPr>
          <w:rFonts w:cstheme="minorHAnsi"/>
          <w:spacing w:val="-4"/>
          <w:szCs w:val="22"/>
        </w:rPr>
        <w:t>aktywizację zawodową oraz podnoszenie kwalifikacji mieszkańców,</w:t>
      </w:r>
    </w:p>
    <w:p w14:paraId="0DDAFE3C" w14:textId="77777777" w:rsidR="00F04FF9" w:rsidRPr="001A28D5" w:rsidRDefault="00F04FF9" w:rsidP="00622DC9">
      <w:pPr>
        <w:pStyle w:val="Akapitzlist"/>
        <w:numPr>
          <w:ilvl w:val="0"/>
          <w:numId w:val="17"/>
        </w:numPr>
        <w:rPr>
          <w:rFonts w:cstheme="minorHAnsi"/>
          <w:spacing w:val="-4"/>
          <w:szCs w:val="22"/>
        </w:rPr>
      </w:pPr>
      <w:r w:rsidRPr="001A28D5">
        <w:rPr>
          <w:rFonts w:cstheme="minorHAnsi"/>
          <w:spacing w:val="-4"/>
          <w:szCs w:val="22"/>
        </w:rPr>
        <w:t>usługi środowiskowe (usługi społeczne, opieka długookresowa i psychiatryczna, e-usługi, integracja społeczna, ekonomia społeczna, edukacja na potrzeby rynku pracy, profilaktyka w ochronie zdrowia, standardy usług w zakładach leczniczych, integracja imigrantów)</w:t>
      </w:r>
      <w:r>
        <w:rPr>
          <w:rFonts w:cstheme="minorHAnsi"/>
          <w:spacing w:val="-4"/>
          <w:szCs w:val="22"/>
        </w:rPr>
        <w:t>,</w:t>
      </w:r>
    </w:p>
    <w:p w14:paraId="25580523" w14:textId="5871BD3E" w:rsidR="00F04FF9" w:rsidRPr="001374EE" w:rsidRDefault="00F04FF9" w:rsidP="00F04FF9">
      <w:pPr>
        <w:rPr>
          <w:rFonts w:cstheme="minorHAnsi"/>
          <w:spacing w:val="-4"/>
          <w:szCs w:val="22"/>
        </w:rPr>
      </w:pPr>
      <w:r>
        <w:rPr>
          <w:rFonts w:cstheme="minorHAnsi"/>
          <w:spacing w:val="-4"/>
          <w:szCs w:val="22"/>
        </w:rPr>
        <w:t xml:space="preserve">z których </w:t>
      </w:r>
      <w:r w:rsidRPr="001374EE">
        <w:rPr>
          <w:rFonts w:cstheme="minorHAnsi"/>
          <w:spacing w:val="-4"/>
          <w:szCs w:val="22"/>
        </w:rPr>
        <w:t>część będzie mieć charakter „twardy”</w:t>
      </w:r>
      <w:r>
        <w:rPr>
          <w:rFonts w:cstheme="minorHAnsi"/>
          <w:spacing w:val="-4"/>
          <w:szCs w:val="22"/>
        </w:rPr>
        <w:t xml:space="preserve"> - inwestycyjny</w:t>
      </w:r>
      <w:r w:rsidRPr="001374EE">
        <w:rPr>
          <w:rFonts w:cstheme="minorHAnsi"/>
          <w:spacing w:val="-4"/>
          <w:szCs w:val="22"/>
        </w:rPr>
        <w:t xml:space="preserve">, a część „miękki” ukierunkowany na aspekty społeczne. Identyfikacja przewidywanych znaczących oddziaływań projektu </w:t>
      </w:r>
      <w:r w:rsidR="00D4052B">
        <w:rPr>
          <w:rFonts w:cstheme="minorHAnsi"/>
          <w:spacing w:val="-4"/>
          <w:szCs w:val="22"/>
        </w:rPr>
        <w:t>FEPZ</w:t>
      </w:r>
      <w:r w:rsidRPr="001374EE">
        <w:rPr>
          <w:rFonts w:cstheme="minorHAnsi"/>
          <w:spacing w:val="-4"/>
          <w:szCs w:val="22"/>
        </w:rPr>
        <w:t xml:space="preserve"> 2021-2027</w:t>
      </w:r>
      <w:r>
        <w:rPr>
          <w:rFonts w:cstheme="minorHAnsi"/>
          <w:spacing w:val="-4"/>
          <w:szCs w:val="22"/>
        </w:rPr>
        <w:t xml:space="preserve"> </w:t>
      </w:r>
      <w:r w:rsidRPr="001374EE">
        <w:rPr>
          <w:rFonts w:cstheme="minorHAnsi"/>
          <w:spacing w:val="-4"/>
          <w:szCs w:val="22"/>
        </w:rPr>
        <w:t>na poszczególne komponenty środowiska została przeprowadzona dwuetapowo. W pierwszej kolejności wskazano najistotniejsze znaczące oddziaływania wynikające z realizacji działań w ramach poszczególnych priorytetów</w:t>
      </w:r>
      <w:r w:rsidR="00970943">
        <w:rPr>
          <w:rFonts w:cstheme="minorHAnsi"/>
          <w:spacing w:val="-4"/>
          <w:szCs w:val="22"/>
        </w:rPr>
        <w:t xml:space="preserve"> i celów szczegółowych</w:t>
      </w:r>
      <w:r w:rsidRPr="001374EE">
        <w:rPr>
          <w:rFonts w:cstheme="minorHAnsi"/>
          <w:spacing w:val="-4"/>
          <w:szCs w:val="22"/>
        </w:rPr>
        <w:t xml:space="preserve">, a następnie określono ogólne oddziaływania wynikające z realizacji </w:t>
      </w:r>
      <w:r w:rsidR="00D4052B">
        <w:rPr>
          <w:rFonts w:cstheme="minorHAnsi"/>
          <w:spacing w:val="-4"/>
          <w:szCs w:val="22"/>
        </w:rPr>
        <w:t>FEPZ</w:t>
      </w:r>
      <w:r w:rsidRPr="001374EE">
        <w:rPr>
          <w:rFonts w:cstheme="minorHAnsi"/>
          <w:spacing w:val="-4"/>
          <w:szCs w:val="22"/>
        </w:rPr>
        <w:t xml:space="preserve"> 2021-2027. Dla syntetycznego zobrazowania oddziaływań opracowano macierze wskazujące rodzaj oddziaływania (bezpośrednie, pośrednie) oraz jego typ (pozytywne, neutralne lub negatywne). W przypadku zidentyfikowania pozostałych rodzajów oddziaływań (krótkoterminowe, chwilowe, odwracalne itp.) dla danego elementu środowiska – dokonano</w:t>
      </w:r>
      <w:r>
        <w:rPr>
          <w:rFonts w:cstheme="minorHAnsi"/>
          <w:spacing w:val="-4"/>
          <w:szCs w:val="22"/>
        </w:rPr>
        <w:t xml:space="preserve"> </w:t>
      </w:r>
      <w:r w:rsidRPr="001374EE">
        <w:rPr>
          <w:rFonts w:cstheme="minorHAnsi"/>
          <w:spacing w:val="-4"/>
          <w:szCs w:val="22"/>
        </w:rPr>
        <w:t xml:space="preserve">ich słownej charakterystyki. Następnie zebrano możliwe negatywne oddziaływania bezpośrednie, pośrednie, krótko-, średnio- i długoterminowe, chwilowe i stałe, odwracalne i nieodwracalne, o zasięgu lokalnym, regionalnym i krajowym oraz transgranicznym, wraz z określeniem możliwości kumulacji oddziaływań mogących wyniknąć z realizacji projektu </w:t>
      </w:r>
      <w:r w:rsidR="00D4052B">
        <w:rPr>
          <w:rFonts w:cstheme="minorHAnsi"/>
          <w:spacing w:val="-4"/>
          <w:szCs w:val="22"/>
        </w:rPr>
        <w:t>FEPZ</w:t>
      </w:r>
      <w:r w:rsidRPr="001374EE">
        <w:rPr>
          <w:rFonts w:cstheme="minorHAnsi"/>
          <w:spacing w:val="-4"/>
          <w:szCs w:val="22"/>
        </w:rPr>
        <w:t xml:space="preserve"> 2021-2027. Stopień szczegółowości dokonywanej oceny sprowadzono do poziomu działań i oceny ich wpływu na poszczególne komponenty środowiska. Analiza tak zaprezentowanego materiału badawczego umożliwiła sformułowanie wniosków i rekomendacji.</w:t>
      </w:r>
    </w:p>
    <w:p w14:paraId="091AC805" w14:textId="7ECA411D" w:rsidR="002B69BE" w:rsidRPr="002746D5" w:rsidRDefault="00F04FF9" w:rsidP="00F04FF9">
      <w:pPr>
        <w:rPr>
          <w:rFonts w:cstheme="minorHAnsi"/>
          <w:spacing w:val="-4"/>
          <w:szCs w:val="22"/>
        </w:rPr>
      </w:pPr>
      <w:r w:rsidRPr="001374EE">
        <w:rPr>
          <w:rFonts w:cstheme="minorHAnsi"/>
          <w:spacing w:val="-4"/>
          <w:szCs w:val="22"/>
        </w:rPr>
        <w:t>Poziom ogólności dokumentu wyrażający się ramowym charakterem działań, możliwością uzupełnień na dalszych etapach programowania, brakiem szczegółowych kryteriów wyboru projektów, a także brakiem wskazań przestrzennych powoduje, że prowadzenie ocen identyfikujących skutki środowiskowe wynikające z realizacji konkretnych projektów było by nieuzasadnione. W prowadzonych analizach skupiono się na wskazaniu zaleceń odnośnie formułowania kryteriów wyboru projektów pozwalających na spełnienie wymogów ochrony środowiska przy ich realizacji. Dla przyjętej metodyki nie natrafiono na trudności które wynikałyby z niedostatków techniki lub luk we współczesnej wiedzy</w:t>
      </w:r>
      <w:r>
        <w:rPr>
          <w:rFonts w:cstheme="minorHAnsi"/>
          <w:spacing w:val="-4"/>
          <w:szCs w:val="22"/>
        </w:rPr>
        <w:t>.</w:t>
      </w:r>
    </w:p>
    <w:p w14:paraId="6DBFEFFE" w14:textId="77777777" w:rsidR="00A9739D" w:rsidRDefault="00A9739D">
      <w:pPr>
        <w:rPr>
          <w:spacing w:val="15"/>
          <w:sz w:val="32"/>
          <w:szCs w:val="24"/>
        </w:rPr>
      </w:pPr>
      <w:r>
        <w:rPr>
          <w:caps/>
          <w:sz w:val="32"/>
          <w:szCs w:val="24"/>
        </w:rPr>
        <w:br w:type="page"/>
      </w:r>
    </w:p>
    <w:p w14:paraId="14F8FFB0" w14:textId="32FD373D" w:rsidR="00DF1A94" w:rsidRPr="0091280D" w:rsidRDefault="008C10DB" w:rsidP="000547C2">
      <w:pPr>
        <w:pStyle w:val="Nagwek1"/>
        <w:numPr>
          <w:ilvl w:val="0"/>
          <w:numId w:val="1"/>
        </w:numPr>
        <w:rPr>
          <w:sz w:val="32"/>
          <w:szCs w:val="24"/>
        </w:rPr>
      </w:pPr>
      <w:bookmarkStart w:id="9" w:name="_Toc104790627"/>
      <w:r w:rsidRPr="0091280D">
        <w:rPr>
          <w:caps w:val="0"/>
          <w:sz w:val="32"/>
          <w:szCs w:val="24"/>
        </w:rPr>
        <w:t>ANALIZA ZAWARTOŚCI PROJEKTU F</w:t>
      </w:r>
      <w:r w:rsidR="00B767E9">
        <w:rPr>
          <w:caps w:val="0"/>
          <w:sz w:val="32"/>
          <w:szCs w:val="24"/>
        </w:rPr>
        <w:t>EPZ</w:t>
      </w:r>
      <w:r w:rsidRPr="0091280D">
        <w:rPr>
          <w:caps w:val="0"/>
          <w:sz w:val="32"/>
          <w:szCs w:val="24"/>
        </w:rPr>
        <w:t xml:space="preserve"> 2021-2027 I JEGO ZGODNOŚCI Z INNYMI DOKUMENTAMI</w:t>
      </w:r>
      <w:bookmarkEnd w:id="9"/>
    </w:p>
    <w:p w14:paraId="2F75BDD5" w14:textId="30C6B965" w:rsidR="00DF1A94" w:rsidRDefault="008C10DB" w:rsidP="000547C2">
      <w:pPr>
        <w:pStyle w:val="Nagwek1"/>
        <w:numPr>
          <w:ilvl w:val="1"/>
          <w:numId w:val="1"/>
        </w:numPr>
        <w:ind w:left="993" w:hanging="633"/>
        <w:rPr>
          <w:caps w:val="0"/>
          <w:sz w:val="32"/>
          <w:szCs w:val="24"/>
        </w:rPr>
      </w:pPr>
      <w:bookmarkStart w:id="10" w:name="_Toc104790628"/>
      <w:r w:rsidRPr="0091280D">
        <w:rPr>
          <w:caps w:val="0"/>
          <w:sz w:val="32"/>
          <w:szCs w:val="24"/>
        </w:rPr>
        <w:t>ZAWARTOŚĆ PROJEKTU FE</w:t>
      </w:r>
      <w:r w:rsidR="00B767E9">
        <w:rPr>
          <w:caps w:val="0"/>
          <w:sz w:val="32"/>
          <w:szCs w:val="24"/>
        </w:rPr>
        <w:t>PZ</w:t>
      </w:r>
      <w:r w:rsidRPr="0091280D">
        <w:rPr>
          <w:caps w:val="0"/>
          <w:sz w:val="32"/>
          <w:szCs w:val="24"/>
        </w:rPr>
        <w:t xml:space="preserve"> 2021-2027</w:t>
      </w:r>
      <w:bookmarkEnd w:id="10"/>
    </w:p>
    <w:p w14:paraId="24E693E3" w14:textId="1FDD062D" w:rsidR="003920D5" w:rsidRDefault="00D101B0" w:rsidP="003920D5">
      <w:pPr>
        <w:pStyle w:val="paragraph"/>
        <w:spacing w:before="240" w:beforeAutospacing="0" w:after="240" w:afterAutospacing="0" w:line="360" w:lineRule="auto"/>
        <w:jc w:val="both"/>
        <w:textAlignment w:val="baseline"/>
        <w:rPr>
          <w:rStyle w:val="normaltextrun"/>
          <w:rFonts w:ascii="Calibri" w:hAnsi="Calibri" w:cs="Calibri"/>
        </w:rPr>
      </w:pPr>
      <w:r>
        <w:rPr>
          <w:rStyle w:val="normaltextrun"/>
          <w:rFonts w:ascii="Calibri" w:hAnsi="Calibri" w:cs="Calibri"/>
        </w:rPr>
        <w:t>Projekt programu Fundusze Europejskie dla</w:t>
      </w:r>
      <w:r w:rsidR="003920D5">
        <w:rPr>
          <w:rStyle w:val="normaltextrun"/>
          <w:rFonts w:ascii="Calibri" w:hAnsi="Calibri" w:cs="Calibri"/>
        </w:rPr>
        <w:t xml:space="preserve"> Pomorza Zachodniego</w:t>
      </w:r>
      <w:r>
        <w:rPr>
          <w:rStyle w:val="normaltextrun"/>
          <w:rFonts w:ascii="Calibri" w:hAnsi="Calibri" w:cs="Calibri"/>
        </w:rPr>
        <w:t xml:space="preserve"> 2021-2027 zawiera następujące </w:t>
      </w:r>
      <w:r w:rsidR="00C92FFB">
        <w:rPr>
          <w:rStyle w:val="normaltextrun"/>
          <w:rFonts w:ascii="Calibri" w:hAnsi="Calibri" w:cs="Calibri"/>
        </w:rPr>
        <w:t>elementy</w:t>
      </w:r>
      <w:r>
        <w:rPr>
          <w:rStyle w:val="normaltextrun"/>
          <w:rFonts w:ascii="Calibri" w:hAnsi="Calibri" w:cs="Calibri"/>
        </w:rPr>
        <w:t>:</w:t>
      </w:r>
    </w:p>
    <w:p w14:paraId="56574107" w14:textId="6C7CE0DA" w:rsidR="00D101B0" w:rsidRPr="003920D5" w:rsidRDefault="00D101B0" w:rsidP="006E38B9">
      <w:pPr>
        <w:pStyle w:val="paragraph"/>
        <w:numPr>
          <w:ilvl w:val="0"/>
          <w:numId w:val="46"/>
        </w:numPr>
        <w:spacing w:before="0" w:beforeAutospacing="0" w:after="0" w:afterAutospacing="0" w:line="360" w:lineRule="auto"/>
        <w:jc w:val="both"/>
        <w:textAlignment w:val="baseline"/>
        <w:rPr>
          <w:rFonts w:ascii="Segoe UI" w:hAnsi="Segoe UI" w:cs="Segoe UI"/>
          <w:sz w:val="18"/>
          <w:szCs w:val="18"/>
        </w:rPr>
      </w:pPr>
      <w:r>
        <w:rPr>
          <w:rStyle w:val="normaltextrun"/>
          <w:rFonts w:ascii="Calibri" w:hAnsi="Calibri" w:cs="Calibri"/>
        </w:rPr>
        <w:t xml:space="preserve">Strategia programu: główne wyzwania </w:t>
      </w:r>
    </w:p>
    <w:p w14:paraId="6C668C85" w14:textId="0424336F" w:rsidR="00D101B0" w:rsidRDefault="00D101B0" w:rsidP="006E38B9">
      <w:pPr>
        <w:pStyle w:val="paragraph"/>
        <w:numPr>
          <w:ilvl w:val="0"/>
          <w:numId w:val="46"/>
        </w:numPr>
        <w:spacing w:before="0" w:beforeAutospacing="0" w:after="0" w:afterAutospacing="0" w:line="360" w:lineRule="auto"/>
        <w:jc w:val="both"/>
        <w:textAlignment w:val="baseline"/>
        <w:rPr>
          <w:rFonts w:ascii="Calibri" w:hAnsi="Calibri" w:cs="Calibri"/>
        </w:rPr>
      </w:pPr>
      <w:r>
        <w:rPr>
          <w:rStyle w:val="normaltextrun"/>
          <w:rFonts w:ascii="Calibri" w:hAnsi="Calibri" w:cs="Calibri"/>
        </w:rPr>
        <w:t>Priorytety</w:t>
      </w:r>
      <w:r>
        <w:rPr>
          <w:rStyle w:val="eop"/>
          <w:rFonts w:ascii="Calibri" w:hAnsi="Calibri" w:cs="Calibri"/>
        </w:rPr>
        <w:t> </w:t>
      </w:r>
      <w:r w:rsidR="00DC2DDE">
        <w:rPr>
          <w:rStyle w:val="eop"/>
          <w:rFonts w:ascii="Calibri" w:hAnsi="Calibri" w:cs="Calibri"/>
        </w:rPr>
        <w:t>Programu</w:t>
      </w:r>
    </w:p>
    <w:p w14:paraId="3529C87F" w14:textId="77777777" w:rsidR="00D101B0" w:rsidRDefault="00D101B0" w:rsidP="006E38B9">
      <w:pPr>
        <w:pStyle w:val="paragraph"/>
        <w:numPr>
          <w:ilvl w:val="0"/>
          <w:numId w:val="46"/>
        </w:numPr>
        <w:spacing w:before="0" w:beforeAutospacing="0" w:after="0" w:afterAutospacing="0" w:line="360" w:lineRule="auto"/>
        <w:jc w:val="both"/>
        <w:textAlignment w:val="baseline"/>
        <w:rPr>
          <w:rFonts w:ascii="Calibri" w:hAnsi="Calibri" w:cs="Calibri"/>
        </w:rPr>
      </w:pPr>
      <w:r>
        <w:rPr>
          <w:rStyle w:val="normaltextrun"/>
          <w:rFonts w:ascii="Calibri" w:hAnsi="Calibri" w:cs="Calibri"/>
        </w:rPr>
        <w:t>Plan finansowy</w:t>
      </w:r>
      <w:r>
        <w:rPr>
          <w:rStyle w:val="eop"/>
          <w:rFonts w:ascii="Calibri" w:hAnsi="Calibri" w:cs="Calibri"/>
        </w:rPr>
        <w:t> </w:t>
      </w:r>
    </w:p>
    <w:p w14:paraId="1EFD857B" w14:textId="77777777" w:rsidR="00D101B0" w:rsidRDefault="00D101B0" w:rsidP="006E38B9">
      <w:pPr>
        <w:pStyle w:val="paragraph"/>
        <w:numPr>
          <w:ilvl w:val="0"/>
          <w:numId w:val="46"/>
        </w:numPr>
        <w:spacing w:before="0" w:beforeAutospacing="0" w:after="0" w:afterAutospacing="0" w:line="360" w:lineRule="auto"/>
        <w:jc w:val="both"/>
        <w:textAlignment w:val="baseline"/>
        <w:rPr>
          <w:rFonts w:ascii="Calibri" w:hAnsi="Calibri" w:cs="Calibri"/>
        </w:rPr>
      </w:pPr>
      <w:r>
        <w:rPr>
          <w:rStyle w:val="normaltextrun"/>
          <w:rFonts w:ascii="Calibri" w:hAnsi="Calibri" w:cs="Calibri"/>
        </w:rPr>
        <w:t>Warunki podstawowe</w:t>
      </w:r>
      <w:r>
        <w:rPr>
          <w:rStyle w:val="eop"/>
          <w:rFonts w:ascii="Calibri" w:hAnsi="Calibri" w:cs="Calibri"/>
        </w:rPr>
        <w:t> </w:t>
      </w:r>
    </w:p>
    <w:p w14:paraId="7EF69540" w14:textId="77777777" w:rsidR="00D101B0" w:rsidRDefault="00D101B0" w:rsidP="006E38B9">
      <w:pPr>
        <w:pStyle w:val="paragraph"/>
        <w:numPr>
          <w:ilvl w:val="0"/>
          <w:numId w:val="46"/>
        </w:numPr>
        <w:spacing w:before="0" w:beforeAutospacing="0" w:after="0" w:afterAutospacing="0" w:line="360" w:lineRule="auto"/>
        <w:jc w:val="both"/>
        <w:textAlignment w:val="baseline"/>
        <w:rPr>
          <w:rFonts w:ascii="Calibri" w:hAnsi="Calibri" w:cs="Calibri"/>
        </w:rPr>
      </w:pPr>
      <w:r>
        <w:rPr>
          <w:rStyle w:val="normaltextrun"/>
          <w:rFonts w:ascii="Calibri" w:hAnsi="Calibri" w:cs="Calibri"/>
        </w:rPr>
        <w:t>Instytucje programu</w:t>
      </w:r>
      <w:r>
        <w:rPr>
          <w:rStyle w:val="eop"/>
          <w:rFonts w:ascii="Calibri" w:hAnsi="Calibri" w:cs="Calibri"/>
        </w:rPr>
        <w:t> </w:t>
      </w:r>
    </w:p>
    <w:p w14:paraId="54C8A2B9" w14:textId="77777777" w:rsidR="00D101B0" w:rsidRDefault="00D101B0" w:rsidP="006E38B9">
      <w:pPr>
        <w:pStyle w:val="paragraph"/>
        <w:numPr>
          <w:ilvl w:val="0"/>
          <w:numId w:val="46"/>
        </w:numPr>
        <w:spacing w:before="0" w:beforeAutospacing="0" w:after="0" w:afterAutospacing="0" w:line="360" w:lineRule="auto"/>
        <w:jc w:val="both"/>
        <w:textAlignment w:val="baseline"/>
        <w:rPr>
          <w:rFonts w:ascii="Calibri" w:hAnsi="Calibri" w:cs="Calibri"/>
        </w:rPr>
      </w:pPr>
      <w:r>
        <w:rPr>
          <w:rStyle w:val="normaltextrun"/>
          <w:rFonts w:ascii="Calibri" w:hAnsi="Calibri" w:cs="Calibri"/>
        </w:rPr>
        <w:t>Partnerstwo</w:t>
      </w:r>
      <w:r>
        <w:rPr>
          <w:rStyle w:val="eop"/>
          <w:rFonts w:ascii="Calibri" w:hAnsi="Calibri" w:cs="Calibri"/>
        </w:rPr>
        <w:t> </w:t>
      </w:r>
    </w:p>
    <w:p w14:paraId="30177165" w14:textId="77777777" w:rsidR="00D101B0" w:rsidRDefault="00D101B0" w:rsidP="006E38B9">
      <w:pPr>
        <w:pStyle w:val="paragraph"/>
        <w:numPr>
          <w:ilvl w:val="0"/>
          <w:numId w:val="46"/>
        </w:numPr>
        <w:spacing w:before="0" w:beforeAutospacing="0" w:after="0" w:afterAutospacing="0" w:line="360" w:lineRule="auto"/>
        <w:jc w:val="both"/>
        <w:textAlignment w:val="baseline"/>
        <w:rPr>
          <w:rFonts w:ascii="Calibri" w:hAnsi="Calibri" w:cs="Calibri"/>
        </w:rPr>
      </w:pPr>
      <w:r>
        <w:rPr>
          <w:rStyle w:val="normaltextrun"/>
          <w:rFonts w:ascii="Calibri" w:hAnsi="Calibri" w:cs="Calibri"/>
        </w:rPr>
        <w:t>Komunikacja i widoczność</w:t>
      </w:r>
      <w:r>
        <w:rPr>
          <w:rStyle w:val="eop"/>
          <w:rFonts w:ascii="Calibri" w:hAnsi="Calibri" w:cs="Calibri"/>
        </w:rPr>
        <w:t> </w:t>
      </w:r>
    </w:p>
    <w:p w14:paraId="0E65EF89" w14:textId="5ADFFFD9" w:rsidR="00D101B0" w:rsidRDefault="00D101B0" w:rsidP="006E38B9">
      <w:pPr>
        <w:pStyle w:val="paragraph"/>
        <w:numPr>
          <w:ilvl w:val="0"/>
          <w:numId w:val="46"/>
        </w:numPr>
        <w:spacing w:before="0" w:beforeAutospacing="0" w:after="0" w:afterAutospacing="0" w:line="360" w:lineRule="auto"/>
        <w:jc w:val="both"/>
        <w:textAlignment w:val="baseline"/>
        <w:rPr>
          <w:rStyle w:val="eop"/>
          <w:rFonts w:ascii="Calibri" w:hAnsi="Calibri" w:cs="Calibri"/>
        </w:rPr>
      </w:pPr>
      <w:r>
        <w:rPr>
          <w:rStyle w:val="normaltextrun"/>
          <w:rFonts w:ascii="Calibri" w:hAnsi="Calibri" w:cs="Calibri"/>
        </w:rPr>
        <w:t>Stosowanie kosztów jednostkowych, płatności ryczałtowych, stawek ryczałtowych</w:t>
      </w:r>
      <w:r w:rsidR="00D4052B">
        <w:rPr>
          <w:rStyle w:val="normaltextrun"/>
          <w:rFonts w:ascii="Calibri" w:hAnsi="Calibri" w:cs="Calibri"/>
        </w:rPr>
        <w:t xml:space="preserve"> </w:t>
      </w:r>
      <w:r>
        <w:rPr>
          <w:rFonts w:ascii="Calibri" w:hAnsi="Calibri" w:cs="Calibri"/>
        </w:rPr>
        <w:br/>
      </w:r>
      <w:r>
        <w:rPr>
          <w:rStyle w:val="normaltextrun"/>
          <w:rFonts w:ascii="Calibri" w:hAnsi="Calibri" w:cs="Calibri"/>
        </w:rPr>
        <w:t>i finansowania niepowiązanego z kosztami</w:t>
      </w:r>
      <w:r>
        <w:rPr>
          <w:rStyle w:val="eop"/>
          <w:rFonts w:ascii="Calibri" w:hAnsi="Calibri" w:cs="Calibri"/>
        </w:rPr>
        <w:t> </w:t>
      </w:r>
    </w:p>
    <w:p w14:paraId="09CC2E54" w14:textId="7D42BED7" w:rsidR="00CC4BEF" w:rsidRDefault="00CC4BEF" w:rsidP="002B5007">
      <w:pPr>
        <w:pStyle w:val="paragraph"/>
        <w:spacing w:before="0" w:beforeAutospacing="0" w:after="0" w:afterAutospacing="0" w:line="360" w:lineRule="auto"/>
        <w:jc w:val="both"/>
        <w:textAlignment w:val="baseline"/>
        <w:rPr>
          <w:rFonts w:ascii="Calibri" w:hAnsi="Calibri" w:cs="Calibri"/>
        </w:rPr>
      </w:pPr>
      <w:r>
        <w:rPr>
          <w:rStyle w:val="eop"/>
          <w:rFonts w:ascii="Calibri" w:hAnsi="Calibri" w:cs="Calibri"/>
        </w:rPr>
        <w:t xml:space="preserve">Projekt Programu zawiera również o załącznik </w:t>
      </w:r>
      <w:r w:rsidRPr="00CC4BEF">
        <w:rPr>
          <w:rStyle w:val="eop"/>
          <w:rFonts w:ascii="Calibri" w:hAnsi="Calibri" w:cs="Calibri"/>
        </w:rPr>
        <w:t>3</w:t>
      </w:r>
      <w:r>
        <w:rPr>
          <w:rStyle w:val="eop"/>
          <w:rFonts w:ascii="Calibri" w:hAnsi="Calibri" w:cs="Calibri"/>
        </w:rPr>
        <w:t xml:space="preserve"> - </w:t>
      </w:r>
      <w:r w:rsidRPr="00CC4BEF">
        <w:rPr>
          <w:rStyle w:val="eop"/>
          <w:rFonts w:ascii="Calibri" w:hAnsi="Calibri" w:cs="Calibri"/>
        </w:rPr>
        <w:t>Wykaz planowanych operacji o znaczeniu strategicznym wraz z harmonogramem</w:t>
      </w:r>
      <w:r>
        <w:rPr>
          <w:rStyle w:val="eop"/>
          <w:rFonts w:ascii="Calibri" w:hAnsi="Calibri" w:cs="Calibri"/>
        </w:rPr>
        <w:t>.</w:t>
      </w:r>
      <w:r>
        <w:rPr>
          <w:rStyle w:val="normaltextrun"/>
          <w:rFonts w:ascii="Calibri" w:hAnsi="Calibri" w:cs="Calibri"/>
        </w:rPr>
        <w:t xml:space="preserve"> </w:t>
      </w:r>
    </w:p>
    <w:p w14:paraId="77A304F3" w14:textId="4B8208F3" w:rsidR="00D101B0" w:rsidRDefault="00D101B0" w:rsidP="002B5007">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rFonts w:ascii="Calibri" w:hAnsi="Calibri" w:cs="Calibri"/>
        </w:rPr>
        <w:t xml:space="preserve">Projekt programu Fundusze Europejskie dla </w:t>
      </w:r>
      <w:r w:rsidR="00E82168">
        <w:rPr>
          <w:rStyle w:val="normaltextrun"/>
          <w:rFonts w:ascii="Calibri" w:hAnsi="Calibri" w:cs="Calibri"/>
        </w:rPr>
        <w:t>Pomorza Zachodniego</w:t>
      </w:r>
      <w:r>
        <w:rPr>
          <w:rStyle w:val="normaltextrun"/>
          <w:rFonts w:ascii="Calibri" w:hAnsi="Calibri" w:cs="Calibri"/>
        </w:rPr>
        <w:t xml:space="preserve"> 2021-2027 służy realizacji wizji i celów rozwojowych województwa </w:t>
      </w:r>
      <w:r w:rsidR="00DC2DDE">
        <w:rPr>
          <w:rStyle w:val="normaltextrun"/>
          <w:rFonts w:ascii="Calibri" w:hAnsi="Calibri" w:cs="Calibri"/>
        </w:rPr>
        <w:t>zachodniopomorskiego</w:t>
      </w:r>
      <w:r>
        <w:rPr>
          <w:rStyle w:val="normaltextrun"/>
          <w:rFonts w:ascii="Calibri" w:hAnsi="Calibri" w:cs="Calibri"/>
        </w:rPr>
        <w:t xml:space="preserve">, zawartych </w:t>
      </w:r>
      <w:r w:rsidR="00C92FFB">
        <w:rPr>
          <w:rStyle w:val="normaltextrun"/>
          <w:rFonts w:ascii="Calibri" w:hAnsi="Calibri" w:cs="Calibri"/>
        </w:rPr>
        <w:t xml:space="preserve">w </w:t>
      </w:r>
      <w:r>
        <w:rPr>
          <w:rStyle w:val="normaltextrun"/>
          <w:rFonts w:ascii="Calibri" w:hAnsi="Calibri" w:cs="Calibri"/>
        </w:rPr>
        <w:t xml:space="preserve">Strategii Rozwoju Województwa </w:t>
      </w:r>
      <w:r w:rsidR="00DC2DDE">
        <w:rPr>
          <w:rStyle w:val="normaltextrun"/>
          <w:rFonts w:ascii="Calibri" w:hAnsi="Calibri" w:cs="Calibri"/>
        </w:rPr>
        <w:t>Zachodniopomorskiego</w:t>
      </w:r>
      <w:r>
        <w:rPr>
          <w:rStyle w:val="normaltextrun"/>
          <w:rFonts w:ascii="Calibri" w:hAnsi="Calibri" w:cs="Calibri"/>
        </w:rPr>
        <w:t xml:space="preserve"> </w:t>
      </w:r>
      <w:r w:rsidR="00DC2DDE">
        <w:rPr>
          <w:rStyle w:val="normaltextrun"/>
          <w:rFonts w:ascii="Calibri" w:hAnsi="Calibri" w:cs="Calibri"/>
        </w:rPr>
        <w:t xml:space="preserve">do </w:t>
      </w:r>
      <w:r>
        <w:rPr>
          <w:rStyle w:val="normaltextrun"/>
          <w:rFonts w:ascii="Calibri" w:hAnsi="Calibri" w:cs="Calibri"/>
        </w:rPr>
        <w:t xml:space="preserve">2030 i jest jednym z najistotniejszych instrumentów polityki regionalnej. </w:t>
      </w:r>
      <w:r w:rsidR="00D4052B">
        <w:rPr>
          <w:rStyle w:val="normaltextrun"/>
          <w:rFonts w:ascii="Calibri" w:hAnsi="Calibri" w:cs="Calibri"/>
        </w:rPr>
        <w:t>FEPZ</w:t>
      </w:r>
      <w:r>
        <w:rPr>
          <w:rStyle w:val="normaltextrun"/>
          <w:rFonts w:ascii="Calibri" w:hAnsi="Calibri" w:cs="Calibri"/>
        </w:rPr>
        <w:t xml:space="preserve"> 2021-2027 skupia się na realizacji </w:t>
      </w:r>
      <w:r w:rsidR="00784188">
        <w:rPr>
          <w:rStyle w:val="normaltextrun"/>
          <w:rFonts w:ascii="Calibri" w:hAnsi="Calibri" w:cs="Calibri"/>
        </w:rPr>
        <w:t xml:space="preserve">celów </w:t>
      </w:r>
      <w:r>
        <w:rPr>
          <w:rStyle w:val="normaltextrun"/>
          <w:rFonts w:ascii="Calibri" w:hAnsi="Calibri" w:cs="Calibri"/>
        </w:rPr>
        <w:t xml:space="preserve">wskazanych w projekcie Rozporządzenia ogólnego dla polityki spójności na lata 2021-2027. Zakładanym celem interwencji Programu jest wsparcie przedsięwzięć, które na poziomie regionalnej polityki spójności w największym stopniu przyczynią się do realizacji celów określonych w strategii UE Europejski Zielony Ład, której głównym celem jest przekształcenie UE w sprawiedliwe i prosperujące społeczeństwo żyjące w nowoczesnej, </w:t>
      </w:r>
      <w:r>
        <w:rPr>
          <w:rStyle w:val="spellingerror"/>
          <w:rFonts w:ascii="Calibri" w:hAnsi="Calibri" w:cs="Calibri"/>
        </w:rPr>
        <w:t>zasobooszczędnej</w:t>
      </w:r>
      <w:r>
        <w:rPr>
          <w:rStyle w:val="normaltextrun"/>
          <w:rFonts w:ascii="Calibri" w:hAnsi="Calibri" w:cs="Calibri"/>
        </w:rPr>
        <w:t xml:space="preserve"> i konkurencyjnej gospodarce, która w 2050 r. osiągnie zerowy poziom emisji gazów cieplarnianych netto.</w:t>
      </w:r>
      <w:r w:rsidR="00D4052B">
        <w:rPr>
          <w:rStyle w:val="normaltextrun"/>
          <w:rFonts w:ascii="Calibri" w:hAnsi="Calibri" w:cs="Calibri"/>
        </w:rPr>
        <w:t xml:space="preserve"> </w:t>
      </w:r>
    </w:p>
    <w:p w14:paraId="259154FD" w14:textId="6DC4B11E" w:rsidR="00356CDA" w:rsidRDefault="00CE31F0" w:rsidP="00356CDA">
      <w:pPr>
        <w:pStyle w:val="Nagwek1"/>
        <w:numPr>
          <w:ilvl w:val="1"/>
          <w:numId w:val="1"/>
        </w:numPr>
        <w:rPr>
          <w:caps w:val="0"/>
          <w:sz w:val="32"/>
          <w:szCs w:val="24"/>
        </w:rPr>
      </w:pPr>
      <w:bookmarkStart w:id="11" w:name="_Toc104790629"/>
      <w:r w:rsidRPr="0091280D">
        <w:rPr>
          <w:caps w:val="0"/>
          <w:sz w:val="32"/>
          <w:szCs w:val="24"/>
        </w:rPr>
        <w:t>CELE OCHRONY ŚRODOWISKA USTANOWIONE NA SZCZEBLU MIĘDZYNARODOWYM,</w:t>
      </w:r>
      <w:r w:rsidR="00356CDA" w:rsidRPr="0091280D">
        <w:rPr>
          <w:caps w:val="0"/>
          <w:sz w:val="32"/>
          <w:szCs w:val="24"/>
        </w:rPr>
        <w:t xml:space="preserve"> </w:t>
      </w:r>
      <w:r w:rsidRPr="0091280D">
        <w:rPr>
          <w:caps w:val="0"/>
          <w:sz w:val="32"/>
          <w:szCs w:val="24"/>
        </w:rPr>
        <w:t>KRAJOWYM I REGIONALNYM, ISTOTNE</w:t>
      </w:r>
      <w:r w:rsidR="00356CDA" w:rsidRPr="0091280D">
        <w:rPr>
          <w:caps w:val="0"/>
          <w:sz w:val="32"/>
          <w:szCs w:val="24"/>
        </w:rPr>
        <w:t xml:space="preserve"> </w:t>
      </w:r>
      <w:r w:rsidRPr="0091280D">
        <w:rPr>
          <w:caps w:val="0"/>
          <w:sz w:val="32"/>
          <w:szCs w:val="24"/>
        </w:rPr>
        <w:t>DLA</w:t>
      </w:r>
      <w:r w:rsidR="00356CDA" w:rsidRPr="0091280D">
        <w:rPr>
          <w:caps w:val="0"/>
          <w:sz w:val="32"/>
          <w:szCs w:val="24"/>
        </w:rPr>
        <w:t xml:space="preserve"> PROJEKTU PROGRAMU</w:t>
      </w:r>
      <w:bookmarkEnd w:id="11"/>
    </w:p>
    <w:p w14:paraId="6E53D3D6" w14:textId="342622CE" w:rsidR="00C873D8" w:rsidRPr="0091280D" w:rsidRDefault="00C873D8" w:rsidP="00DD1D3B">
      <w:pPr>
        <w:spacing w:before="120" w:after="120"/>
        <w:rPr>
          <w:szCs w:val="22"/>
        </w:rPr>
      </w:pPr>
      <w:r w:rsidRPr="0091280D">
        <w:rPr>
          <w:szCs w:val="22"/>
        </w:rPr>
        <w:t xml:space="preserve">Celem analizy jest przeprowadzenie oceny zgodności projektu </w:t>
      </w:r>
      <w:r w:rsidR="00D4052B">
        <w:rPr>
          <w:szCs w:val="22"/>
        </w:rPr>
        <w:t>FEPZ</w:t>
      </w:r>
      <w:r w:rsidRPr="0091280D">
        <w:rPr>
          <w:szCs w:val="22"/>
        </w:rPr>
        <w:t xml:space="preserve"> 2021-2027</w:t>
      </w:r>
      <w:r>
        <w:rPr>
          <w:szCs w:val="22"/>
        </w:rPr>
        <w:t xml:space="preserve"> </w:t>
      </w:r>
      <w:r w:rsidRPr="0091280D">
        <w:rPr>
          <w:szCs w:val="22"/>
        </w:rPr>
        <w:t>z</w:t>
      </w:r>
      <w:r>
        <w:rPr>
          <w:szCs w:val="22"/>
        </w:rPr>
        <w:t> </w:t>
      </w:r>
      <w:r w:rsidRPr="0091280D">
        <w:rPr>
          <w:szCs w:val="22"/>
        </w:rPr>
        <w:t>celami kluczowych dokumentów strategicznych, szczególnie</w:t>
      </w:r>
      <w:r>
        <w:rPr>
          <w:szCs w:val="22"/>
        </w:rPr>
        <w:t xml:space="preserve"> </w:t>
      </w:r>
      <w:r w:rsidRPr="0091280D">
        <w:rPr>
          <w:szCs w:val="22"/>
        </w:rPr>
        <w:t>z</w:t>
      </w:r>
      <w:r>
        <w:rPr>
          <w:szCs w:val="22"/>
        </w:rPr>
        <w:t> </w:t>
      </w:r>
      <w:r w:rsidRPr="0091280D">
        <w:rPr>
          <w:szCs w:val="22"/>
        </w:rPr>
        <w:t xml:space="preserve">punktu widzenia </w:t>
      </w:r>
      <w:r w:rsidR="00BF5433">
        <w:rPr>
          <w:szCs w:val="22"/>
        </w:rPr>
        <w:t xml:space="preserve">przeprowadzanej </w:t>
      </w:r>
      <w:r w:rsidRPr="0091280D">
        <w:rPr>
          <w:szCs w:val="22"/>
        </w:rPr>
        <w:t xml:space="preserve">prognozy oddziaływania </w:t>
      </w:r>
      <w:r w:rsidR="00BF5433">
        <w:rPr>
          <w:szCs w:val="22"/>
        </w:rPr>
        <w:t xml:space="preserve">projektu Programu </w:t>
      </w:r>
      <w:r w:rsidRPr="0091280D">
        <w:rPr>
          <w:szCs w:val="22"/>
        </w:rPr>
        <w:t>na środowisko. Analizie poddano dokument</w:t>
      </w:r>
      <w:r w:rsidR="000C5C16">
        <w:rPr>
          <w:szCs w:val="22"/>
        </w:rPr>
        <w:t>y</w:t>
      </w:r>
      <w:r w:rsidRPr="0091280D">
        <w:rPr>
          <w:szCs w:val="22"/>
        </w:rPr>
        <w:t xml:space="preserve"> wyznaczające cele, związane z </w:t>
      </w:r>
      <w:r w:rsidR="00D4052B">
        <w:rPr>
          <w:szCs w:val="22"/>
        </w:rPr>
        <w:t>FEPZ</w:t>
      </w:r>
      <w:r>
        <w:rPr>
          <w:szCs w:val="22"/>
        </w:rPr>
        <w:t xml:space="preserve"> 2021-2027 </w:t>
      </w:r>
      <w:r w:rsidRPr="0091280D">
        <w:rPr>
          <w:szCs w:val="22"/>
        </w:rPr>
        <w:t>określone na poziomie międzynarodowym,</w:t>
      </w:r>
      <w:r>
        <w:rPr>
          <w:szCs w:val="22"/>
        </w:rPr>
        <w:t xml:space="preserve"> </w:t>
      </w:r>
      <w:r w:rsidRPr="0091280D">
        <w:rPr>
          <w:szCs w:val="22"/>
        </w:rPr>
        <w:t>w</w:t>
      </w:r>
      <w:r>
        <w:rPr>
          <w:szCs w:val="22"/>
        </w:rPr>
        <w:t> </w:t>
      </w:r>
      <w:r w:rsidRPr="0091280D">
        <w:rPr>
          <w:szCs w:val="22"/>
        </w:rPr>
        <w:t>tym zwłaszcza Unii Europejskiej, poziomie krajowym</w:t>
      </w:r>
      <w:r>
        <w:rPr>
          <w:szCs w:val="22"/>
        </w:rPr>
        <w:t xml:space="preserve"> </w:t>
      </w:r>
      <w:r w:rsidRPr="0091280D">
        <w:rPr>
          <w:szCs w:val="22"/>
        </w:rPr>
        <w:t>i</w:t>
      </w:r>
      <w:r>
        <w:rPr>
          <w:szCs w:val="22"/>
        </w:rPr>
        <w:t> </w:t>
      </w:r>
      <w:r w:rsidRPr="0091280D">
        <w:rPr>
          <w:szCs w:val="22"/>
        </w:rPr>
        <w:t>regionalnym</w:t>
      </w:r>
      <w:r w:rsidR="00786CBD">
        <w:rPr>
          <w:szCs w:val="22"/>
        </w:rPr>
        <w:t xml:space="preserve"> (załącznik 2)</w:t>
      </w:r>
      <w:r w:rsidRPr="0091280D">
        <w:rPr>
          <w:szCs w:val="22"/>
        </w:rPr>
        <w:t xml:space="preserve">. </w:t>
      </w:r>
    </w:p>
    <w:p w14:paraId="20F2B55A" w14:textId="77777777" w:rsidR="00C873D8" w:rsidRPr="0091280D" w:rsidRDefault="00C873D8" w:rsidP="00DD1D3B">
      <w:pPr>
        <w:spacing w:before="120" w:after="120"/>
        <w:rPr>
          <w:szCs w:val="22"/>
        </w:rPr>
      </w:pPr>
      <w:r w:rsidRPr="0091280D">
        <w:rPr>
          <w:szCs w:val="22"/>
        </w:rPr>
        <w:t>Wybrane dokumenty szczebla międzynarodowego</w:t>
      </w:r>
      <w:r>
        <w:rPr>
          <w:szCs w:val="22"/>
        </w:rPr>
        <w:t xml:space="preserve"> </w:t>
      </w:r>
      <w:r w:rsidRPr="0091280D">
        <w:rPr>
          <w:szCs w:val="22"/>
        </w:rPr>
        <w:t>i</w:t>
      </w:r>
      <w:r>
        <w:rPr>
          <w:szCs w:val="22"/>
        </w:rPr>
        <w:t> </w:t>
      </w:r>
      <w:r w:rsidRPr="0091280D">
        <w:rPr>
          <w:szCs w:val="22"/>
        </w:rPr>
        <w:t>wspólnotowego</w:t>
      </w:r>
    </w:p>
    <w:p w14:paraId="1A23F3DF"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Rezolucja Zgromadzenia Ogólnego</w:t>
      </w:r>
      <w:r>
        <w:rPr>
          <w:szCs w:val="22"/>
        </w:rPr>
        <w:t xml:space="preserve"> </w:t>
      </w:r>
      <w:r w:rsidRPr="0091280D">
        <w:rPr>
          <w:szCs w:val="22"/>
        </w:rPr>
        <w:t>z</w:t>
      </w:r>
      <w:r>
        <w:rPr>
          <w:szCs w:val="22"/>
        </w:rPr>
        <w:t> </w:t>
      </w:r>
      <w:r w:rsidRPr="0091280D">
        <w:rPr>
          <w:szCs w:val="22"/>
        </w:rPr>
        <w:t>dn. 25 września 2015 r. 70/1. Przekształcamy nasz świat</w:t>
      </w:r>
      <w:r>
        <w:rPr>
          <w:szCs w:val="22"/>
        </w:rPr>
        <w:t>:</w:t>
      </w:r>
      <w:r w:rsidRPr="00AE7C4A">
        <w:rPr>
          <w:szCs w:val="22"/>
        </w:rPr>
        <w:t xml:space="preserve"> </w:t>
      </w:r>
      <w:r w:rsidRPr="0091280D">
        <w:rPr>
          <w:szCs w:val="22"/>
        </w:rPr>
        <w:t>Agenda na rzecz zrównoważonego rozwoju 2030;</w:t>
      </w:r>
    </w:p>
    <w:p w14:paraId="704F71FF" w14:textId="77777777" w:rsidR="00C873D8" w:rsidRPr="0091280D" w:rsidRDefault="00C873D8" w:rsidP="00622DC9">
      <w:pPr>
        <w:pStyle w:val="Akapitzlist"/>
        <w:numPr>
          <w:ilvl w:val="0"/>
          <w:numId w:val="35"/>
        </w:numPr>
        <w:spacing w:before="120" w:after="120"/>
        <w:ind w:left="714" w:hanging="357"/>
        <w:contextualSpacing w:val="0"/>
        <w:rPr>
          <w:szCs w:val="22"/>
        </w:rPr>
      </w:pPr>
      <w:r w:rsidRPr="00AE7C4A">
        <w:rPr>
          <w:szCs w:val="22"/>
        </w:rPr>
        <w:t>Ramowa konwencja Narodów Zjednoczonych w sprawie zmian klimatu</w:t>
      </w:r>
      <w:r>
        <w:rPr>
          <w:szCs w:val="22"/>
        </w:rPr>
        <w:t>;</w:t>
      </w:r>
    </w:p>
    <w:p w14:paraId="32D5487C"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Porozumienie Paryskie;</w:t>
      </w:r>
    </w:p>
    <w:p w14:paraId="3B4A98D6"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Konwencja</w:t>
      </w:r>
      <w:r>
        <w:rPr>
          <w:szCs w:val="22"/>
        </w:rPr>
        <w:t xml:space="preserve"> </w:t>
      </w:r>
      <w:r w:rsidRPr="0091280D">
        <w:rPr>
          <w:szCs w:val="22"/>
        </w:rPr>
        <w:t>o</w:t>
      </w:r>
      <w:r>
        <w:rPr>
          <w:szCs w:val="22"/>
        </w:rPr>
        <w:t> </w:t>
      </w:r>
      <w:r w:rsidRPr="0091280D">
        <w:rPr>
          <w:szCs w:val="22"/>
        </w:rPr>
        <w:t>różnorodności biologicznej;</w:t>
      </w:r>
    </w:p>
    <w:p w14:paraId="37D610C6"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Europejska konwencja krajobrazowa;</w:t>
      </w:r>
    </w:p>
    <w:p w14:paraId="2A4E5D43"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Konwencja</w:t>
      </w:r>
      <w:r>
        <w:rPr>
          <w:szCs w:val="22"/>
        </w:rPr>
        <w:t xml:space="preserve"> </w:t>
      </w:r>
      <w:r w:rsidRPr="0091280D">
        <w:rPr>
          <w:szCs w:val="22"/>
        </w:rPr>
        <w:t>w</w:t>
      </w:r>
      <w:r>
        <w:rPr>
          <w:szCs w:val="22"/>
        </w:rPr>
        <w:t> </w:t>
      </w:r>
      <w:r w:rsidRPr="0091280D">
        <w:rPr>
          <w:szCs w:val="22"/>
        </w:rPr>
        <w:t>sprawie transgranicznego zanieczyszczania powietrz</w:t>
      </w:r>
      <w:r>
        <w:rPr>
          <w:szCs w:val="22"/>
        </w:rPr>
        <w:t>a na dalekie odległości (LRTAP);</w:t>
      </w:r>
    </w:p>
    <w:p w14:paraId="1B5CAB4F"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Komunikat Komisji do Parlamentu Europejskiego, Rady, Europejskiego Komitetu Ekonomiczno-Społecznego</w:t>
      </w:r>
      <w:r>
        <w:rPr>
          <w:szCs w:val="22"/>
        </w:rPr>
        <w:t xml:space="preserve"> </w:t>
      </w:r>
      <w:r w:rsidRPr="0091280D">
        <w:rPr>
          <w:szCs w:val="22"/>
        </w:rPr>
        <w:t>i</w:t>
      </w:r>
      <w:r>
        <w:rPr>
          <w:szCs w:val="22"/>
        </w:rPr>
        <w:t> </w:t>
      </w:r>
      <w:r w:rsidRPr="0091280D">
        <w:rPr>
          <w:szCs w:val="22"/>
        </w:rPr>
        <w:t xml:space="preserve">Komitetu Regionów Europejski zielony ład (COM(2019) 640 final); </w:t>
      </w:r>
    </w:p>
    <w:p w14:paraId="4D24B29E"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Komunikaty Komisji do Parlamentu Europejskiego, Rady, Europejskiego Komitetu Ekonomiczno-Społecznego</w:t>
      </w:r>
      <w:r>
        <w:rPr>
          <w:szCs w:val="22"/>
        </w:rPr>
        <w:t xml:space="preserve"> </w:t>
      </w:r>
      <w:r w:rsidRPr="0091280D">
        <w:rPr>
          <w:szCs w:val="22"/>
        </w:rPr>
        <w:t>i</w:t>
      </w:r>
      <w:r>
        <w:rPr>
          <w:szCs w:val="22"/>
        </w:rPr>
        <w:t> </w:t>
      </w:r>
      <w:r w:rsidRPr="0091280D">
        <w:rPr>
          <w:szCs w:val="22"/>
        </w:rPr>
        <w:t>Komitetu Regionów zawierające:</w:t>
      </w:r>
      <w:r>
        <w:rPr>
          <w:szCs w:val="22"/>
        </w:rPr>
        <w:t xml:space="preserve"> </w:t>
      </w:r>
      <w:r w:rsidRPr="0091280D">
        <w:rPr>
          <w:szCs w:val="22"/>
        </w:rPr>
        <w:t xml:space="preserve">1) Plan odbudowy po pandemii pt.: Repair and Prepare for the Next Generation COM(2020) 456 final, 2) Propozycję budżetu do ww. planu pt.: The EU budget powering the recovery plan for Europe COM(2020)442 final; </w:t>
      </w:r>
    </w:p>
    <w:p w14:paraId="13E524BA"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Prawo klimatyczne Propozycja Rozporządzenia Parlamentu Europejskiego oraz Rady ustalająca ramy dla osiągnięcia neutralności klimatycznej oraz zmieniająca Rozporządzenie (EU) 2018/1999 (European Climate Law) COM (2020) 80 final;</w:t>
      </w:r>
    </w:p>
    <w:p w14:paraId="58BEB86E"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Komunikat Komisji do Parlamentu Europejskiego, Rady, Europejskiego Komitetu Ekonomiczno-Społecznego</w:t>
      </w:r>
      <w:r>
        <w:rPr>
          <w:szCs w:val="22"/>
        </w:rPr>
        <w:t xml:space="preserve"> </w:t>
      </w:r>
      <w:r w:rsidRPr="0091280D">
        <w:rPr>
          <w:szCs w:val="22"/>
        </w:rPr>
        <w:t>i</w:t>
      </w:r>
      <w:r>
        <w:rPr>
          <w:szCs w:val="22"/>
        </w:rPr>
        <w:t> </w:t>
      </w:r>
      <w:r w:rsidRPr="0091280D">
        <w:rPr>
          <w:szCs w:val="22"/>
        </w:rPr>
        <w:t>Komitetu Regionów, Nowy Plan działania UE dotyczący gospodarki</w:t>
      </w:r>
      <w:r>
        <w:rPr>
          <w:szCs w:val="22"/>
        </w:rPr>
        <w:t xml:space="preserve"> </w:t>
      </w:r>
      <w:r w:rsidRPr="0091280D">
        <w:rPr>
          <w:szCs w:val="22"/>
        </w:rPr>
        <w:t>o</w:t>
      </w:r>
      <w:r>
        <w:rPr>
          <w:szCs w:val="22"/>
        </w:rPr>
        <w:t> </w:t>
      </w:r>
      <w:r w:rsidRPr="0091280D">
        <w:rPr>
          <w:szCs w:val="22"/>
        </w:rPr>
        <w:t>obiegu zamkniętym na rzecz czystej</w:t>
      </w:r>
      <w:r>
        <w:rPr>
          <w:szCs w:val="22"/>
        </w:rPr>
        <w:t xml:space="preserve"> </w:t>
      </w:r>
      <w:r w:rsidRPr="0091280D">
        <w:rPr>
          <w:szCs w:val="22"/>
        </w:rPr>
        <w:t>i</w:t>
      </w:r>
      <w:r>
        <w:rPr>
          <w:szCs w:val="22"/>
        </w:rPr>
        <w:t> </w:t>
      </w:r>
      <w:r w:rsidRPr="0091280D">
        <w:rPr>
          <w:szCs w:val="22"/>
        </w:rPr>
        <w:t>bardziej konkurencyjnej Europy, COM(2020)98 final</w:t>
      </w:r>
      <w:r>
        <w:rPr>
          <w:szCs w:val="22"/>
        </w:rPr>
        <w:t xml:space="preserve"> </w:t>
      </w:r>
      <w:r w:rsidRPr="0091280D">
        <w:rPr>
          <w:szCs w:val="22"/>
        </w:rPr>
        <w:t>z</w:t>
      </w:r>
      <w:r>
        <w:rPr>
          <w:szCs w:val="22"/>
        </w:rPr>
        <w:t> </w:t>
      </w:r>
      <w:r w:rsidRPr="0091280D">
        <w:rPr>
          <w:szCs w:val="22"/>
        </w:rPr>
        <w:t xml:space="preserve">załącznikiem; </w:t>
      </w:r>
    </w:p>
    <w:p w14:paraId="27B62B08"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Komunikat Komisji do Parlamentu Europejskiego, Rady, Europejskiego Komitetu Ekonomiczno-Społecznego</w:t>
      </w:r>
      <w:r>
        <w:rPr>
          <w:szCs w:val="22"/>
        </w:rPr>
        <w:t xml:space="preserve"> </w:t>
      </w:r>
      <w:r w:rsidRPr="0091280D">
        <w:rPr>
          <w:szCs w:val="22"/>
        </w:rPr>
        <w:t>i</w:t>
      </w:r>
      <w:r>
        <w:rPr>
          <w:szCs w:val="22"/>
        </w:rPr>
        <w:t> </w:t>
      </w:r>
      <w:r w:rsidRPr="0091280D">
        <w:rPr>
          <w:szCs w:val="22"/>
        </w:rPr>
        <w:t xml:space="preserve">Komitetu Regionów, Nowa strategia przemysłowa dla Europy, COM(2020) 102 final; </w:t>
      </w:r>
    </w:p>
    <w:p w14:paraId="129D87EF" w14:textId="77777777" w:rsidR="00C873D8" w:rsidRPr="0091280D" w:rsidRDefault="00C873D8" w:rsidP="00622DC9">
      <w:pPr>
        <w:pStyle w:val="Akapitzlist"/>
        <w:numPr>
          <w:ilvl w:val="0"/>
          <w:numId w:val="35"/>
        </w:numPr>
        <w:spacing w:before="120" w:after="120"/>
        <w:ind w:left="714" w:hanging="357"/>
        <w:contextualSpacing w:val="0"/>
        <w:rPr>
          <w:szCs w:val="22"/>
          <w:lang w:val="en-US"/>
        </w:rPr>
      </w:pPr>
      <w:r w:rsidRPr="002824C6">
        <w:rPr>
          <w:szCs w:val="22"/>
          <w:lang w:val="en-US"/>
        </w:rPr>
        <w:t>A roadmap for recovery. Towards a more resilient, sustainable and fair Europe</w:t>
      </w:r>
      <w:r>
        <w:rPr>
          <w:szCs w:val="22"/>
          <w:lang w:val="en-US"/>
        </w:rPr>
        <w:t>;</w:t>
      </w:r>
      <w:r w:rsidRPr="0091280D">
        <w:rPr>
          <w:szCs w:val="22"/>
          <w:lang w:val="en-US"/>
        </w:rPr>
        <w:t xml:space="preserve"> </w:t>
      </w:r>
    </w:p>
    <w:p w14:paraId="40748DE0"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Pakiet legislacyjny dla polityki spójności 2021-2027 opublikowany</w:t>
      </w:r>
      <w:r>
        <w:rPr>
          <w:szCs w:val="22"/>
        </w:rPr>
        <w:t xml:space="preserve"> </w:t>
      </w:r>
      <w:r w:rsidRPr="0091280D">
        <w:rPr>
          <w:szCs w:val="22"/>
        </w:rPr>
        <w:t>w</w:t>
      </w:r>
      <w:r>
        <w:rPr>
          <w:szCs w:val="22"/>
        </w:rPr>
        <w:t> 30/06/2021;</w:t>
      </w:r>
      <w:r w:rsidRPr="0091280D">
        <w:rPr>
          <w:szCs w:val="22"/>
        </w:rPr>
        <w:t xml:space="preserve"> </w:t>
      </w:r>
    </w:p>
    <w:p w14:paraId="5273B11A"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Dokument roboczy służb Komisji Sprawozdanie krajowe – Polska 2019 towarzyszący dokumentowi: Komunikat Komisji do Parlamentu Europejskiego, Rady, Europejskiego Banku Centralnego</w:t>
      </w:r>
      <w:r>
        <w:rPr>
          <w:szCs w:val="22"/>
        </w:rPr>
        <w:t xml:space="preserve"> </w:t>
      </w:r>
      <w:r w:rsidRPr="0091280D">
        <w:rPr>
          <w:szCs w:val="22"/>
        </w:rPr>
        <w:t>i</w:t>
      </w:r>
      <w:r>
        <w:rPr>
          <w:szCs w:val="22"/>
        </w:rPr>
        <w:t> </w:t>
      </w:r>
      <w:r w:rsidRPr="0091280D">
        <w:rPr>
          <w:szCs w:val="22"/>
        </w:rPr>
        <w:t>Eurogrupy Europejski semestr 2019: Ocena postępów</w:t>
      </w:r>
      <w:r>
        <w:rPr>
          <w:szCs w:val="22"/>
        </w:rPr>
        <w:t xml:space="preserve"> </w:t>
      </w:r>
      <w:r w:rsidRPr="0091280D">
        <w:rPr>
          <w:szCs w:val="22"/>
        </w:rPr>
        <w:t>w</w:t>
      </w:r>
      <w:r>
        <w:rPr>
          <w:szCs w:val="22"/>
        </w:rPr>
        <w:t> </w:t>
      </w:r>
      <w:r w:rsidRPr="0091280D">
        <w:rPr>
          <w:szCs w:val="22"/>
        </w:rPr>
        <w:t>zakresie reform strukturalnych, zapobiegania zakłóceniom równowagi makroekonomicznej</w:t>
      </w:r>
      <w:r>
        <w:rPr>
          <w:szCs w:val="22"/>
        </w:rPr>
        <w:t xml:space="preserve"> </w:t>
      </w:r>
      <w:r w:rsidRPr="0091280D">
        <w:rPr>
          <w:szCs w:val="22"/>
        </w:rPr>
        <w:t>i</w:t>
      </w:r>
      <w:r>
        <w:rPr>
          <w:szCs w:val="22"/>
        </w:rPr>
        <w:t> </w:t>
      </w:r>
      <w:r w:rsidRPr="0091280D">
        <w:rPr>
          <w:szCs w:val="22"/>
        </w:rPr>
        <w:t xml:space="preserve">ich korygowania oraz wyniki szczegółowych ocen sytuacji na mocy rozporządzenia (UE) nr 1176/2011 {COM(2019) 150 final}; </w:t>
      </w:r>
    </w:p>
    <w:p w14:paraId="3B5E0D69" w14:textId="77777777" w:rsidR="00C873D8" w:rsidRPr="00A32028" w:rsidRDefault="00C873D8" w:rsidP="00622DC9">
      <w:pPr>
        <w:pStyle w:val="Akapitzlist"/>
        <w:numPr>
          <w:ilvl w:val="0"/>
          <w:numId w:val="35"/>
        </w:numPr>
        <w:spacing w:before="120" w:after="120"/>
        <w:rPr>
          <w:szCs w:val="22"/>
        </w:rPr>
      </w:pPr>
      <w:r w:rsidRPr="00A32028">
        <w:rPr>
          <w:szCs w:val="22"/>
        </w:rPr>
        <w:t>Komunikat Komisji do Parlamentu Europejskiego, Rady, Europejskiego Komitetu Ekonomiczno - Społecznego i Komitetu Regionów Czysta planeta dla wszystkich - Europejska długoterminowa wizja strategiczna dobrze prosperującej, nowoczesnej, konkurencyjnej i neutralnej dla klimatu gospodarki</w:t>
      </w:r>
      <w:r>
        <w:rPr>
          <w:szCs w:val="22"/>
        </w:rPr>
        <w:t xml:space="preserve"> </w:t>
      </w:r>
      <w:r w:rsidRPr="00A32028">
        <w:rPr>
          <w:szCs w:val="22"/>
        </w:rPr>
        <w:t xml:space="preserve">COM(2018) 773 </w:t>
      </w:r>
      <w:r>
        <w:rPr>
          <w:szCs w:val="22"/>
        </w:rPr>
        <w:t>f</w:t>
      </w:r>
      <w:r w:rsidRPr="00A32028">
        <w:rPr>
          <w:szCs w:val="22"/>
        </w:rPr>
        <w:t>inal</w:t>
      </w:r>
      <w:r>
        <w:rPr>
          <w:szCs w:val="22"/>
        </w:rPr>
        <w:t>;</w:t>
      </w:r>
    </w:p>
    <w:p w14:paraId="22353C41" w14:textId="77777777" w:rsidR="00C873D8" w:rsidRPr="00A32028" w:rsidRDefault="00C873D8" w:rsidP="00622DC9">
      <w:pPr>
        <w:pStyle w:val="Akapitzlist"/>
        <w:numPr>
          <w:ilvl w:val="0"/>
          <w:numId w:val="35"/>
        </w:numPr>
        <w:spacing w:before="120" w:after="120"/>
        <w:rPr>
          <w:szCs w:val="22"/>
        </w:rPr>
      </w:pPr>
      <w:r w:rsidRPr="00A32028">
        <w:rPr>
          <w:szCs w:val="22"/>
        </w:rPr>
        <w:t>Biała Księga: Adaptacja do zmian klimatu: europejskie ramy działania (2009), COM(2009) 147 final</w:t>
      </w:r>
      <w:r>
        <w:rPr>
          <w:szCs w:val="22"/>
        </w:rPr>
        <w:t>;</w:t>
      </w:r>
    </w:p>
    <w:p w14:paraId="6F554B8C" w14:textId="77777777" w:rsidR="00C873D8" w:rsidRPr="00A32028" w:rsidRDefault="00C873D8" w:rsidP="00622DC9">
      <w:pPr>
        <w:pStyle w:val="Akapitzlist"/>
        <w:numPr>
          <w:ilvl w:val="0"/>
          <w:numId w:val="35"/>
        </w:numPr>
        <w:spacing w:before="120" w:after="120"/>
        <w:rPr>
          <w:szCs w:val="22"/>
        </w:rPr>
      </w:pPr>
      <w:r w:rsidRPr="00A32028">
        <w:rPr>
          <w:szCs w:val="22"/>
        </w:rPr>
        <w:t>Komunikat Komisji do Parlamentu Europejskiego, Rady, Europejskiego Komitetu Ekonomiczno - Społecznego i Komitetu Regionów, Strategia UE adaptacji do zmiany klimatu (COM(2013)216 wersja ostateczna)</w:t>
      </w:r>
      <w:r>
        <w:rPr>
          <w:szCs w:val="22"/>
        </w:rPr>
        <w:t>;</w:t>
      </w:r>
    </w:p>
    <w:p w14:paraId="36403411" w14:textId="77777777" w:rsidR="00C873D8" w:rsidRPr="00A32028" w:rsidRDefault="00C873D8" w:rsidP="00622DC9">
      <w:pPr>
        <w:pStyle w:val="Akapitzlist"/>
        <w:numPr>
          <w:ilvl w:val="0"/>
          <w:numId w:val="35"/>
        </w:numPr>
        <w:spacing w:before="120" w:after="120"/>
        <w:rPr>
          <w:szCs w:val="22"/>
        </w:rPr>
      </w:pPr>
      <w:r w:rsidRPr="00A32028">
        <w:rPr>
          <w:szCs w:val="22"/>
        </w:rPr>
        <w:t>Biała Księga: Plan utworzenia jednolitego europejskiego obszaru transportu – dążenie do osiągnięcia konkurencyjnego i zasobooszczędnego systemu transportu (COM(2011) 144 final)</w:t>
      </w:r>
      <w:r>
        <w:rPr>
          <w:szCs w:val="22"/>
        </w:rPr>
        <w:t>;</w:t>
      </w:r>
    </w:p>
    <w:p w14:paraId="581A53E7" w14:textId="77777777" w:rsidR="00C873D8" w:rsidRPr="00A32028" w:rsidRDefault="00C873D8" w:rsidP="00622DC9">
      <w:pPr>
        <w:pStyle w:val="Akapitzlist"/>
        <w:numPr>
          <w:ilvl w:val="0"/>
          <w:numId w:val="35"/>
        </w:numPr>
        <w:spacing w:before="120" w:after="120"/>
        <w:rPr>
          <w:szCs w:val="22"/>
        </w:rPr>
      </w:pPr>
      <w:r w:rsidRPr="00A32028">
        <w:rPr>
          <w:szCs w:val="22"/>
        </w:rPr>
        <w:t>Komunikat Komisji do Parlamentu Europejskiego, Rady, Europejskiego Komitetu Ekonomiczno - Społecznego i Komitetu Regionów, Strategia na rzecz zrównoważonej i inteligentnej mobilności - europejski transport na drodze ku przyszlości (COM) 789 final)</w:t>
      </w:r>
      <w:r>
        <w:rPr>
          <w:szCs w:val="22"/>
        </w:rPr>
        <w:t>;</w:t>
      </w:r>
    </w:p>
    <w:p w14:paraId="0511BC0F" w14:textId="77777777" w:rsidR="00C873D8" w:rsidRPr="00A32028" w:rsidRDefault="00C873D8" w:rsidP="00622DC9">
      <w:pPr>
        <w:pStyle w:val="Akapitzlist"/>
        <w:numPr>
          <w:ilvl w:val="0"/>
          <w:numId w:val="35"/>
        </w:numPr>
        <w:spacing w:before="120" w:after="120"/>
        <w:rPr>
          <w:szCs w:val="22"/>
        </w:rPr>
      </w:pPr>
      <w:r w:rsidRPr="00A32028">
        <w:rPr>
          <w:szCs w:val="22"/>
        </w:rPr>
        <w:t>Rozporządzenie Parlamentu Europejskiego i Rady (UE) Nr 1315/2013 z dnia 11 grudnia 2013 r. w sprawie unijnych wytycznych dotyczących rozwoju transeuropejskiej sieci transportowej i uchylające decyzję nr 661/2010/UE</w:t>
      </w:r>
      <w:r>
        <w:rPr>
          <w:szCs w:val="22"/>
        </w:rPr>
        <w:t>;</w:t>
      </w:r>
    </w:p>
    <w:p w14:paraId="14683796" w14:textId="77777777" w:rsidR="00C873D8" w:rsidRPr="00A32028" w:rsidRDefault="00C873D8" w:rsidP="00622DC9">
      <w:pPr>
        <w:pStyle w:val="Akapitzlist"/>
        <w:numPr>
          <w:ilvl w:val="0"/>
          <w:numId w:val="35"/>
        </w:numPr>
        <w:spacing w:before="120" w:after="120"/>
        <w:rPr>
          <w:szCs w:val="22"/>
        </w:rPr>
      </w:pPr>
      <w:r w:rsidRPr="00A32028">
        <w:rPr>
          <w:szCs w:val="22"/>
        </w:rPr>
        <w:t>Rozporządzenie Parlamentu Europejskiego i Rady (UE) z dnia 11 grudnia 2013 r. nr 1316/2013 ustanawiające instrument Łącząc Europę, zmieniające rozporządzenie (UE) nr 913/2010 oraz uchylające rozporządzenia (WE) nr 680/2007 i (WE) nr 67/2010;</w:t>
      </w:r>
    </w:p>
    <w:p w14:paraId="7D292871" w14:textId="77777777" w:rsidR="00C873D8" w:rsidRPr="00A32028" w:rsidRDefault="00C873D8" w:rsidP="00622DC9">
      <w:pPr>
        <w:pStyle w:val="Akapitzlist"/>
        <w:numPr>
          <w:ilvl w:val="0"/>
          <w:numId w:val="35"/>
        </w:numPr>
        <w:spacing w:before="120" w:after="120"/>
        <w:rPr>
          <w:szCs w:val="22"/>
        </w:rPr>
      </w:pPr>
      <w:r w:rsidRPr="00A32028">
        <w:rPr>
          <w:szCs w:val="22"/>
        </w:rPr>
        <w:t>XII Ogólny unijny program działań w zakresie środowiska do 2020 r. Dobrze żyć w granicach naszej planety (7 EAP)</w:t>
      </w:r>
      <w:r>
        <w:rPr>
          <w:szCs w:val="22"/>
        </w:rPr>
        <w:t>;</w:t>
      </w:r>
    </w:p>
    <w:p w14:paraId="2F0164AC" w14:textId="77777777" w:rsidR="00C873D8" w:rsidRPr="00A32028" w:rsidRDefault="00C873D8" w:rsidP="00622DC9">
      <w:pPr>
        <w:pStyle w:val="Akapitzlist"/>
        <w:numPr>
          <w:ilvl w:val="0"/>
          <w:numId w:val="35"/>
        </w:numPr>
        <w:spacing w:before="120" w:after="120"/>
        <w:rPr>
          <w:szCs w:val="22"/>
        </w:rPr>
      </w:pPr>
      <w:r w:rsidRPr="00A32028">
        <w:rPr>
          <w:szCs w:val="22"/>
        </w:rPr>
        <w:t xml:space="preserve">Komunikat Komisji do Parlamentu Europejskiego, Rady, Europejskiego Komitetu Ekonomiczno - Społecznego i Komitetu Regionów, Europa, która chroni czyste powietrze dla wszystkich, t. zw. Pakiet czyste powietrze, COM(2018) 330 final </w:t>
      </w:r>
    </w:p>
    <w:p w14:paraId="637FEA6E" w14:textId="0F366DC4" w:rsidR="00C873D8" w:rsidRPr="00A32028" w:rsidRDefault="00C873D8" w:rsidP="00622DC9">
      <w:pPr>
        <w:pStyle w:val="Akapitzlist"/>
        <w:numPr>
          <w:ilvl w:val="0"/>
          <w:numId w:val="35"/>
        </w:numPr>
        <w:spacing w:before="120" w:after="120"/>
        <w:rPr>
          <w:szCs w:val="22"/>
        </w:rPr>
      </w:pPr>
      <w:r w:rsidRPr="00A32028">
        <w:rPr>
          <w:szCs w:val="22"/>
        </w:rPr>
        <w:t>Komunikat Komisji do Parlamentu Europejskiego, Rady, Europejskiego Komitetu Ekonomiczno - Społecznego i Komitetu Regionów, Czysta energia dla wszystkich Europejczyków t</w:t>
      </w:r>
      <w:r w:rsidR="0013641A">
        <w:rPr>
          <w:szCs w:val="22"/>
        </w:rPr>
        <w:t>z</w:t>
      </w:r>
      <w:r w:rsidRPr="00A32028">
        <w:rPr>
          <w:szCs w:val="22"/>
        </w:rPr>
        <w:t>w. Pakiet zimowy</w:t>
      </w:r>
      <w:r>
        <w:rPr>
          <w:szCs w:val="22"/>
        </w:rPr>
        <w:t xml:space="preserve"> </w:t>
      </w:r>
      <w:r w:rsidRPr="00A32028">
        <w:rPr>
          <w:szCs w:val="22"/>
        </w:rPr>
        <w:t>COM(2016) 860</w:t>
      </w:r>
      <w:r>
        <w:rPr>
          <w:szCs w:val="22"/>
        </w:rPr>
        <w:t>;</w:t>
      </w:r>
    </w:p>
    <w:p w14:paraId="3D5176E5" w14:textId="77777777" w:rsidR="00C873D8" w:rsidRPr="00BF4C26" w:rsidRDefault="00C873D8" w:rsidP="00622DC9">
      <w:pPr>
        <w:pStyle w:val="Akapitzlist"/>
        <w:numPr>
          <w:ilvl w:val="0"/>
          <w:numId w:val="35"/>
        </w:numPr>
        <w:spacing w:before="120" w:after="120"/>
        <w:rPr>
          <w:szCs w:val="22"/>
        </w:rPr>
      </w:pPr>
      <w:r w:rsidRPr="00BF4C26">
        <w:rPr>
          <w:szCs w:val="22"/>
        </w:rPr>
        <w:t>Komunikat Komisji do Parlamentu Europejskiego, Rady, Europejskiego Komitetu Ekonomiczno - Społecznego i Komitetu Regionów, EU Biodiversity Strategy for 2030, Bringing nature back into our lives</w:t>
      </w:r>
      <w:r>
        <w:rPr>
          <w:szCs w:val="22"/>
        </w:rPr>
        <w:t xml:space="preserve"> </w:t>
      </w:r>
      <w:r w:rsidRPr="00BF4C26">
        <w:rPr>
          <w:szCs w:val="22"/>
        </w:rPr>
        <w:t>COM(2020) 380 final</w:t>
      </w:r>
      <w:r>
        <w:rPr>
          <w:szCs w:val="22"/>
        </w:rPr>
        <w:t>;</w:t>
      </w:r>
    </w:p>
    <w:p w14:paraId="794B0F79" w14:textId="77777777" w:rsidR="00C873D8" w:rsidRPr="00BF4C26" w:rsidRDefault="00C873D8" w:rsidP="00622DC9">
      <w:pPr>
        <w:pStyle w:val="Akapitzlist"/>
        <w:numPr>
          <w:ilvl w:val="0"/>
          <w:numId w:val="35"/>
        </w:numPr>
        <w:spacing w:before="120" w:after="120"/>
        <w:rPr>
          <w:szCs w:val="22"/>
        </w:rPr>
      </w:pPr>
      <w:r w:rsidRPr="00BF4C26">
        <w:rPr>
          <w:szCs w:val="22"/>
        </w:rPr>
        <w:t>Agenda Terytorialna Unii Europejskiej W kierunku sprzyjającej społecznemu włączeniu, inteligentnej</w:t>
      </w:r>
      <w:r>
        <w:rPr>
          <w:szCs w:val="22"/>
        </w:rPr>
        <w:t xml:space="preserve"> </w:t>
      </w:r>
      <w:r w:rsidRPr="00BF4C26">
        <w:rPr>
          <w:szCs w:val="22"/>
        </w:rPr>
        <w:t>i zrównoważonej Europy zróżnicowanych regionów</w:t>
      </w:r>
      <w:r>
        <w:rPr>
          <w:szCs w:val="22"/>
        </w:rPr>
        <w:t>;</w:t>
      </w:r>
    </w:p>
    <w:p w14:paraId="4F9D7E75" w14:textId="77777777" w:rsidR="00C873D8" w:rsidRPr="00A32028" w:rsidRDefault="00C873D8" w:rsidP="00622DC9">
      <w:pPr>
        <w:pStyle w:val="Akapitzlist"/>
        <w:numPr>
          <w:ilvl w:val="0"/>
          <w:numId w:val="35"/>
        </w:numPr>
        <w:spacing w:before="120" w:after="120"/>
        <w:rPr>
          <w:szCs w:val="22"/>
        </w:rPr>
      </w:pPr>
      <w:r w:rsidRPr="00A32028">
        <w:rPr>
          <w:szCs w:val="22"/>
        </w:rPr>
        <w:t xml:space="preserve">Horyzont 2020 i Horyzont Europa; </w:t>
      </w:r>
    </w:p>
    <w:p w14:paraId="68091EC0" w14:textId="77777777" w:rsidR="00C873D8" w:rsidRPr="00A32028" w:rsidRDefault="00C873D8" w:rsidP="00622DC9">
      <w:pPr>
        <w:pStyle w:val="Akapitzlist"/>
        <w:numPr>
          <w:ilvl w:val="0"/>
          <w:numId w:val="35"/>
        </w:numPr>
        <w:spacing w:before="120" w:after="120"/>
        <w:rPr>
          <w:szCs w:val="22"/>
          <w:lang w:val="en-US"/>
        </w:rPr>
      </w:pPr>
      <w:r w:rsidRPr="00A32028">
        <w:rPr>
          <w:szCs w:val="22"/>
          <w:lang w:val="en-US"/>
        </w:rPr>
        <w:t>The European Parliament resolution; European Year of Greener Cities 2020</w:t>
      </w:r>
      <w:r>
        <w:rPr>
          <w:szCs w:val="22"/>
          <w:lang w:val="en-US"/>
        </w:rPr>
        <w:t>;</w:t>
      </w:r>
    </w:p>
    <w:p w14:paraId="40ED9A32" w14:textId="68DBFE18" w:rsidR="00C873D8" w:rsidRPr="00BF4C26" w:rsidRDefault="00C873D8" w:rsidP="00622DC9">
      <w:pPr>
        <w:pStyle w:val="Akapitzlist"/>
        <w:numPr>
          <w:ilvl w:val="0"/>
          <w:numId w:val="35"/>
        </w:numPr>
        <w:spacing w:before="120" w:after="120"/>
        <w:rPr>
          <w:szCs w:val="22"/>
        </w:rPr>
      </w:pPr>
      <w:r w:rsidRPr="00BF4C26">
        <w:rPr>
          <w:szCs w:val="22"/>
        </w:rPr>
        <w:t>Komunikat Komisji do Parlamentu Europejskiego, Rady, Europejskiego Komitetu Ekonomiczno - Społecznego i Komitetu Regionów, Strategia „od pola do stołu” Na rzecz sprawiedliwego, zdrowego i przyjaznego dla środowiska systemu żywnościowego,</w:t>
      </w:r>
      <w:r>
        <w:rPr>
          <w:szCs w:val="22"/>
        </w:rPr>
        <w:t xml:space="preserve"> </w:t>
      </w:r>
      <w:r w:rsidRPr="00BF4C26">
        <w:rPr>
          <w:szCs w:val="22"/>
        </w:rPr>
        <w:t>COM(2020)381</w:t>
      </w:r>
      <w:r w:rsidR="00446FAC">
        <w:rPr>
          <w:szCs w:val="22"/>
        </w:rPr>
        <w:t>;</w:t>
      </w:r>
    </w:p>
    <w:p w14:paraId="2D5F12E5" w14:textId="07C9414A" w:rsidR="00BB72E8" w:rsidRPr="00C30A1C" w:rsidRDefault="00C873D8" w:rsidP="00622DC9">
      <w:pPr>
        <w:pStyle w:val="Akapitzlist"/>
        <w:numPr>
          <w:ilvl w:val="0"/>
          <w:numId w:val="35"/>
        </w:numPr>
        <w:spacing w:before="120" w:after="120"/>
        <w:contextualSpacing w:val="0"/>
        <w:rPr>
          <w:szCs w:val="22"/>
        </w:rPr>
      </w:pPr>
      <w:r w:rsidRPr="00A32028">
        <w:rPr>
          <w:szCs w:val="22"/>
        </w:rPr>
        <w:t>Konkluzje Rady Europejskiej z 12 grudnia 2019 r.</w:t>
      </w:r>
    </w:p>
    <w:p w14:paraId="403FAB5D" w14:textId="1A3B097C" w:rsidR="00C873D8" w:rsidRPr="0091280D" w:rsidRDefault="00C873D8" w:rsidP="00DD1D3B">
      <w:pPr>
        <w:spacing w:before="120" w:after="120"/>
        <w:rPr>
          <w:szCs w:val="22"/>
        </w:rPr>
      </w:pPr>
      <w:r w:rsidRPr="0091280D">
        <w:rPr>
          <w:szCs w:val="22"/>
        </w:rPr>
        <w:t>Wybrane dokumenty strategiczne szczebla krajowego</w:t>
      </w:r>
      <w:r w:rsidR="00542160">
        <w:rPr>
          <w:szCs w:val="22"/>
        </w:rPr>
        <w:t>:</w:t>
      </w:r>
    </w:p>
    <w:p w14:paraId="659DF74F"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Strategia na rzecz odpowiedzialnego rozwoju do roku 2020 (z perspektywą do 2030r.);</w:t>
      </w:r>
    </w:p>
    <w:p w14:paraId="78257A72"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 xml:space="preserve">Krajowa strategia rozwoju regionalnego 2030; </w:t>
      </w:r>
    </w:p>
    <w:p w14:paraId="50D76511"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 xml:space="preserve">Polityka energetyczna Polski do 2040 roku; </w:t>
      </w:r>
    </w:p>
    <w:p w14:paraId="724D2E8A"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 xml:space="preserve">Strategia zrównoważonego rozwoju transportu do 2030 roku; </w:t>
      </w:r>
    </w:p>
    <w:p w14:paraId="15FF5D85" w14:textId="77777777" w:rsidR="00C873D8" w:rsidRDefault="00C873D8" w:rsidP="00622DC9">
      <w:pPr>
        <w:pStyle w:val="Akapitzlist"/>
        <w:numPr>
          <w:ilvl w:val="0"/>
          <w:numId w:val="35"/>
        </w:numPr>
        <w:spacing w:before="120" w:after="120"/>
        <w:ind w:left="714" w:hanging="357"/>
        <w:contextualSpacing w:val="0"/>
        <w:rPr>
          <w:szCs w:val="22"/>
        </w:rPr>
      </w:pPr>
      <w:r w:rsidRPr="0091280D">
        <w:rPr>
          <w:szCs w:val="22"/>
        </w:rPr>
        <w:t>Polityka ekologiczna państwa 2030 – strategia rozwoju</w:t>
      </w:r>
      <w:r>
        <w:rPr>
          <w:szCs w:val="22"/>
        </w:rPr>
        <w:t xml:space="preserve"> </w:t>
      </w:r>
      <w:r w:rsidRPr="0091280D">
        <w:rPr>
          <w:szCs w:val="22"/>
        </w:rPr>
        <w:t>w</w:t>
      </w:r>
      <w:r>
        <w:rPr>
          <w:szCs w:val="22"/>
        </w:rPr>
        <w:t> </w:t>
      </w:r>
      <w:r w:rsidRPr="0091280D">
        <w:rPr>
          <w:szCs w:val="22"/>
        </w:rPr>
        <w:t>obszarze środowiska</w:t>
      </w:r>
      <w:r>
        <w:rPr>
          <w:szCs w:val="22"/>
        </w:rPr>
        <w:t xml:space="preserve"> </w:t>
      </w:r>
      <w:r w:rsidRPr="0091280D">
        <w:rPr>
          <w:szCs w:val="22"/>
        </w:rPr>
        <w:t>i</w:t>
      </w:r>
      <w:r>
        <w:rPr>
          <w:szCs w:val="22"/>
        </w:rPr>
        <w:t> </w:t>
      </w:r>
      <w:r w:rsidRPr="0091280D">
        <w:rPr>
          <w:szCs w:val="22"/>
        </w:rPr>
        <w:t xml:space="preserve">gospodarki wodnej; </w:t>
      </w:r>
    </w:p>
    <w:p w14:paraId="00B374B0" w14:textId="77777777" w:rsidR="00C873D8" w:rsidRPr="0054098A" w:rsidRDefault="00C873D8" w:rsidP="00622DC9">
      <w:pPr>
        <w:pStyle w:val="Akapitzlist"/>
        <w:numPr>
          <w:ilvl w:val="0"/>
          <w:numId w:val="35"/>
        </w:numPr>
        <w:spacing w:before="120" w:after="120"/>
        <w:ind w:left="714" w:hanging="357"/>
        <w:contextualSpacing w:val="0"/>
        <w:rPr>
          <w:szCs w:val="22"/>
        </w:rPr>
      </w:pPr>
      <w:r w:rsidRPr="0091280D">
        <w:rPr>
          <w:szCs w:val="22"/>
        </w:rPr>
        <w:t>Krajowy plan na rzecz energii</w:t>
      </w:r>
      <w:r>
        <w:rPr>
          <w:szCs w:val="22"/>
        </w:rPr>
        <w:t xml:space="preserve"> </w:t>
      </w:r>
      <w:r w:rsidRPr="0091280D">
        <w:rPr>
          <w:szCs w:val="22"/>
        </w:rPr>
        <w:t>i</w:t>
      </w:r>
      <w:r>
        <w:rPr>
          <w:szCs w:val="22"/>
        </w:rPr>
        <w:t> </w:t>
      </w:r>
      <w:r w:rsidRPr="0091280D">
        <w:rPr>
          <w:szCs w:val="22"/>
        </w:rPr>
        <w:t xml:space="preserve">klimatu na lata 2021-2030; </w:t>
      </w:r>
    </w:p>
    <w:p w14:paraId="7F902E58"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 xml:space="preserve">Krajowy program ograniczania zanieczyszczenia powietrza; </w:t>
      </w:r>
    </w:p>
    <w:p w14:paraId="594EDED4" w14:textId="77777777" w:rsidR="00C873D8" w:rsidRPr="0091280D" w:rsidRDefault="00C873D8" w:rsidP="00622DC9">
      <w:pPr>
        <w:pStyle w:val="Akapitzlist"/>
        <w:numPr>
          <w:ilvl w:val="0"/>
          <w:numId w:val="35"/>
        </w:numPr>
        <w:spacing w:before="120" w:after="120"/>
        <w:ind w:left="714" w:hanging="357"/>
        <w:contextualSpacing w:val="0"/>
        <w:rPr>
          <w:szCs w:val="22"/>
        </w:rPr>
      </w:pPr>
      <w:r w:rsidRPr="0022564D">
        <w:rPr>
          <w:szCs w:val="22"/>
        </w:rPr>
        <w:t>Aktualizacja Krajowego Programu ochrony powietrza do 2025 r. (z perspektywą do 2030 r. oraz do 2040 r.)</w:t>
      </w:r>
      <w:r>
        <w:rPr>
          <w:szCs w:val="22"/>
        </w:rPr>
        <w:t>;</w:t>
      </w:r>
    </w:p>
    <w:p w14:paraId="41C74FF2"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 xml:space="preserve">Plan rozwoju elektromobilności; </w:t>
      </w:r>
    </w:p>
    <w:p w14:paraId="1652C418"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 xml:space="preserve">Krajowy plan gospodarki odpadami 2022; </w:t>
      </w:r>
    </w:p>
    <w:p w14:paraId="003983A5" w14:textId="77777777" w:rsidR="00C873D8" w:rsidRPr="008D417B" w:rsidRDefault="00C873D8" w:rsidP="00622DC9">
      <w:pPr>
        <w:pStyle w:val="Akapitzlist"/>
        <w:numPr>
          <w:ilvl w:val="0"/>
          <w:numId w:val="35"/>
        </w:numPr>
        <w:spacing w:before="120" w:after="120"/>
        <w:ind w:left="714" w:hanging="357"/>
        <w:contextualSpacing w:val="0"/>
        <w:rPr>
          <w:szCs w:val="22"/>
        </w:rPr>
      </w:pPr>
      <w:r w:rsidRPr="008D417B">
        <w:rPr>
          <w:szCs w:val="22"/>
        </w:rPr>
        <w:t>Strategia Rozwoju Kapitału Społecznego (współdziałanie, kultura, kreatywność) 2030;</w:t>
      </w:r>
    </w:p>
    <w:p w14:paraId="397C09E3" w14:textId="77777777" w:rsidR="00C873D8" w:rsidRPr="008D417B" w:rsidRDefault="00C873D8" w:rsidP="00622DC9">
      <w:pPr>
        <w:pStyle w:val="Akapitzlist"/>
        <w:numPr>
          <w:ilvl w:val="0"/>
          <w:numId w:val="35"/>
        </w:numPr>
        <w:spacing w:before="120" w:after="120"/>
        <w:ind w:left="714" w:hanging="357"/>
        <w:contextualSpacing w:val="0"/>
        <w:rPr>
          <w:szCs w:val="22"/>
        </w:rPr>
      </w:pPr>
      <w:r w:rsidRPr="008D417B">
        <w:rPr>
          <w:szCs w:val="22"/>
        </w:rPr>
        <w:t>Strategi</w:t>
      </w:r>
      <w:r>
        <w:rPr>
          <w:szCs w:val="22"/>
        </w:rPr>
        <w:t>a</w:t>
      </w:r>
      <w:r w:rsidRPr="008D417B">
        <w:rPr>
          <w:szCs w:val="22"/>
        </w:rPr>
        <w:t xml:space="preserve"> Rozwoju Kapitału Ludzkiego</w:t>
      </w:r>
      <w:r>
        <w:rPr>
          <w:szCs w:val="22"/>
        </w:rPr>
        <w:t xml:space="preserve"> 2030;</w:t>
      </w:r>
    </w:p>
    <w:p w14:paraId="6694251A"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Aktualizacja krajowego programu oczyszczania ścieków komunalny</w:t>
      </w:r>
      <w:r>
        <w:rPr>
          <w:szCs w:val="22"/>
        </w:rPr>
        <w:t>ch (VI)</w:t>
      </w:r>
      <w:r w:rsidRPr="0091280D">
        <w:rPr>
          <w:szCs w:val="22"/>
        </w:rPr>
        <w:t>;</w:t>
      </w:r>
    </w:p>
    <w:p w14:paraId="5C60444A"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Plany zarządzania ryzykiem powodziowym;</w:t>
      </w:r>
    </w:p>
    <w:p w14:paraId="7428AFA9"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Plan przeciwdziałania skutkom suszy;</w:t>
      </w:r>
    </w:p>
    <w:p w14:paraId="57E7CBFF"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Założenia do Programu przeciwdziałania niedoborowi wody na lata 2021-2027</w:t>
      </w:r>
      <w:r>
        <w:rPr>
          <w:szCs w:val="22"/>
        </w:rPr>
        <w:t xml:space="preserve"> </w:t>
      </w:r>
      <w:r w:rsidRPr="0091280D">
        <w:rPr>
          <w:szCs w:val="22"/>
        </w:rPr>
        <w:t>z</w:t>
      </w:r>
      <w:r>
        <w:rPr>
          <w:szCs w:val="22"/>
        </w:rPr>
        <w:t> </w:t>
      </w:r>
      <w:r w:rsidRPr="0091280D">
        <w:rPr>
          <w:szCs w:val="22"/>
        </w:rPr>
        <w:t>perspektywą do roku 2030;</w:t>
      </w:r>
    </w:p>
    <w:p w14:paraId="7289DB29"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Aktualizacja Programu wodno-środowiskowego kraju;</w:t>
      </w:r>
    </w:p>
    <w:p w14:paraId="2DA9B8D2"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Strategiczny plan adaptacji dla sektorów</w:t>
      </w:r>
      <w:r>
        <w:rPr>
          <w:szCs w:val="22"/>
        </w:rPr>
        <w:t xml:space="preserve"> </w:t>
      </w:r>
      <w:r w:rsidRPr="0091280D">
        <w:rPr>
          <w:szCs w:val="22"/>
        </w:rPr>
        <w:t>i</w:t>
      </w:r>
      <w:r>
        <w:rPr>
          <w:szCs w:val="22"/>
        </w:rPr>
        <w:t> </w:t>
      </w:r>
      <w:r w:rsidRPr="0091280D">
        <w:rPr>
          <w:szCs w:val="22"/>
        </w:rPr>
        <w:t>obszarów wrażliwych na zmiany klimatu do roku 2020</w:t>
      </w:r>
      <w:r>
        <w:rPr>
          <w:szCs w:val="22"/>
        </w:rPr>
        <w:t xml:space="preserve"> </w:t>
      </w:r>
      <w:r w:rsidRPr="0091280D">
        <w:rPr>
          <w:szCs w:val="22"/>
        </w:rPr>
        <w:t>z</w:t>
      </w:r>
      <w:r>
        <w:rPr>
          <w:szCs w:val="22"/>
        </w:rPr>
        <w:t> </w:t>
      </w:r>
      <w:r w:rsidRPr="0091280D">
        <w:rPr>
          <w:szCs w:val="22"/>
        </w:rPr>
        <w:t>perspektywą do roku 2030 (SPA 2020);</w:t>
      </w:r>
    </w:p>
    <w:p w14:paraId="63240CC1"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Program budowy dróg krajowych na lata 2014-2023 (z perspektywą do 2025 r.);</w:t>
      </w:r>
    </w:p>
    <w:p w14:paraId="790A385A" w14:textId="77777777"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Krajowy program kolejowy do 2023 roku;</w:t>
      </w:r>
    </w:p>
    <w:p w14:paraId="1820D8A6" w14:textId="53E6E08F" w:rsidR="00C873D8" w:rsidRPr="0091280D" w:rsidRDefault="00C873D8" w:rsidP="00622DC9">
      <w:pPr>
        <w:pStyle w:val="Akapitzlist"/>
        <w:numPr>
          <w:ilvl w:val="0"/>
          <w:numId w:val="35"/>
        </w:numPr>
        <w:spacing w:before="120" w:after="120"/>
        <w:ind w:left="714" w:hanging="357"/>
        <w:contextualSpacing w:val="0"/>
        <w:rPr>
          <w:szCs w:val="22"/>
        </w:rPr>
      </w:pPr>
      <w:r w:rsidRPr="0091280D">
        <w:rPr>
          <w:szCs w:val="22"/>
        </w:rPr>
        <w:t>Założenia do planów rozwoju śródlądowych dróg wodnych</w:t>
      </w:r>
      <w:r>
        <w:rPr>
          <w:szCs w:val="22"/>
        </w:rPr>
        <w:t xml:space="preserve"> </w:t>
      </w:r>
      <w:r w:rsidRPr="0091280D">
        <w:rPr>
          <w:szCs w:val="22"/>
        </w:rPr>
        <w:t>w</w:t>
      </w:r>
      <w:r>
        <w:rPr>
          <w:szCs w:val="22"/>
        </w:rPr>
        <w:t> </w:t>
      </w:r>
      <w:r w:rsidRPr="0091280D">
        <w:rPr>
          <w:szCs w:val="22"/>
        </w:rPr>
        <w:t>Polsce na lata 2016–2020</w:t>
      </w:r>
      <w:r>
        <w:rPr>
          <w:szCs w:val="22"/>
        </w:rPr>
        <w:t xml:space="preserve"> </w:t>
      </w:r>
      <w:r w:rsidRPr="0091280D">
        <w:rPr>
          <w:szCs w:val="22"/>
        </w:rPr>
        <w:t>z</w:t>
      </w:r>
      <w:r>
        <w:rPr>
          <w:szCs w:val="22"/>
        </w:rPr>
        <w:t> </w:t>
      </w:r>
      <w:r w:rsidRPr="0091280D">
        <w:rPr>
          <w:szCs w:val="22"/>
        </w:rPr>
        <w:t>perspektywą do roku 2030</w:t>
      </w:r>
      <w:r w:rsidR="00EE2021">
        <w:rPr>
          <w:szCs w:val="22"/>
        </w:rPr>
        <w:t>.</w:t>
      </w:r>
    </w:p>
    <w:p w14:paraId="3F2406D6" w14:textId="4DE811BA" w:rsidR="00C873D8" w:rsidRPr="006C03F3" w:rsidRDefault="00C873D8" w:rsidP="00DD1D3B">
      <w:pPr>
        <w:spacing w:before="120" w:after="120"/>
        <w:rPr>
          <w:szCs w:val="22"/>
        </w:rPr>
      </w:pPr>
      <w:r w:rsidRPr="006C03F3">
        <w:rPr>
          <w:szCs w:val="22"/>
        </w:rPr>
        <w:t>Wybrane dokumenty szczebla regionalnego</w:t>
      </w:r>
      <w:r w:rsidR="00561B98">
        <w:rPr>
          <w:szCs w:val="22"/>
        </w:rPr>
        <w:t>:</w:t>
      </w:r>
    </w:p>
    <w:p w14:paraId="22A0CABE" w14:textId="38AD9FAB" w:rsidR="008003F7" w:rsidRPr="008003F7" w:rsidRDefault="008003F7" w:rsidP="00622DC9">
      <w:pPr>
        <w:pStyle w:val="Akapitzlist"/>
        <w:numPr>
          <w:ilvl w:val="0"/>
          <w:numId w:val="35"/>
        </w:numPr>
        <w:spacing w:before="120" w:after="120"/>
        <w:ind w:left="714" w:hanging="357"/>
        <w:contextualSpacing w:val="0"/>
        <w:rPr>
          <w:szCs w:val="22"/>
        </w:rPr>
      </w:pPr>
      <w:r w:rsidRPr="008003F7">
        <w:rPr>
          <w:szCs w:val="22"/>
        </w:rPr>
        <w:t>Strategia Rozwoju Województwa Zachodniopomorskiego do roku 2030;</w:t>
      </w:r>
    </w:p>
    <w:p w14:paraId="54CD1FB8" w14:textId="77777777" w:rsidR="00665323" w:rsidRDefault="00665323" w:rsidP="00665323">
      <w:pPr>
        <w:pStyle w:val="Akapitzlist"/>
        <w:numPr>
          <w:ilvl w:val="0"/>
          <w:numId w:val="35"/>
        </w:numPr>
        <w:spacing w:before="120" w:after="120"/>
        <w:ind w:left="714" w:hanging="357"/>
        <w:contextualSpacing w:val="0"/>
        <w:rPr>
          <w:szCs w:val="22"/>
        </w:rPr>
      </w:pPr>
      <w:r w:rsidRPr="008003F7">
        <w:rPr>
          <w:szCs w:val="22"/>
        </w:rPr>
        <w:t xml:space="preserve">Program ochrony środowiska województwa zachodniopomorskiego 2030; </w:t>
      </w:r>
    </w:p>
    <w:p w14:paraId="0D8EA787" w14:textId="29A79AB4" w:rsidR="008003F7" w:rsidRPr="008003F7" w:rsidRDefault="008003F7" w:rsidP="00622DC9">
      <w:pPr>
        <w:pStyle w:val="Akapitzlist"/>
        <w:numPr>
          <w:ilvl w:val="0"/>
          <w:numId w:val="35"/>
        </w:numPr>
        <w:spacing w:before="120" w:after="120"/>
        <w:ind w:left="714" w:hanging="357"/>
        <w:contextualSpacing w:val="0"/>
        <w:rPr>
          <w:szCs w:val="22"/>
        </w:rPr>
      </w:pPr>
      <w:r w:rsidRPr="008003F7">
        <w:rPr>
          <w:szCs w:val="22"/>
        </w:rPr>
        <w:t>Plan Gospodarki Odpadami dla Województwa Zachodniopomorskiego na lata 2020-2026 z uwzględnieniem perspektywy na lata 2027-2032;</w:t>
      </w:r>
    </w:p>
    <w:p w14:paraId="3A5AA7D3" w14:textId="6F51AE42" w:rsidR="008003F7" w:rsidRPr="008003F7" w:rsidRDefault="008003F7" w:rsidP="00622DC9">
      <w:pPr>
        <w:pStyle w:val="Akapitzlist"/>
        <w:numPr>
          <w:ilvl w:val="0"/>
          <w:numId w:val="35"/>
        </w:numPr>
        <w:spacing w:before="120" w:after="120"/>
        <w:ind w:left="714" w:hanging="357"/>
        <w:contextualSpacing w:val="0"/>
        <w:rPr>
          <w:szCs w:val="22"/>
        </w:rPr>
      </w:pPr>
      <w:r w:rsidRPr="008003F7">
        <w:rPr>
          <w:szCs w:val="22"/>
        </w:rPr>
        <w:t>Plan zagospodarowania przestrzennego województwa zachodniopomorskiego przyjęty uchwałą nr XVII/214/20 Sejmiku Województwa Zachodniopomorskiego z dnia 24 czerwca 2020 r. został opublikowany w Dzienniku Urzędowym Województwa Zachodniopomorskiego z dnia 27 lipca 2020 r. poz. 3564.</w:t>
      </w:r>
    </w:p>
    <w:p w14:paraId="1D84485F" w14:textId="6B5516DA" w:rsidR="00C873D8" w:rsidRPr="0091280D" w:rsidRDefault="00C873D8" w:rsidP="008003F7">
      <w:pPr>
        <w:spacing w:before="120" w:after="120"/>
        <w:rPr>
          <w:szCs w:val="22"/>
        </w:rPr>
      </w:pPr>
      <w:r w:rsidRPr="0091280D">
        <w:rPr>
          <w:szCs w:val="22"/>
        </w:rPr>
        <w:t>W analizach wykorzystano również wykonane dla tych dokumentów prognozy oddziaływania na środowisko. Analiza ww. dokumentów</w:t>
      </w:r>
      <w:r>
        <w:rPr>
          <w:szCs w:val="22"/>
        </w:rPr>
        <w:t xml:space="preserve"> </w:t>
      </w:r>
      <w:r w:rsidRPr="0091280D">
        <w:rPr>
          <w:szCs w:val="22"/>
        </w:rPr>
        <w:t>i</w:t>
      </w:r>
      <w:r>
        <w:rPr>
          <w:szCs w:val="22"/>
        </w:rPr>
        <w:t> </w:t>
      </w:r>
      <w:r w:rsidRPr="0091280D">
        <w:rPr>
          <w:szCs w:val="22"/>
        </w:rPr>
        <w:t xml:space="preserve">wykonanych do nich prognoz miała pozwolić </w:t>
      </w:r>
      <w:r>
        <w:rPr>
          <w:szCs w:val="22"/>
        </w:rPr>
        <w:br/>
      </w:r>
      <w:r w:rsidRPr="0091280D">
        <w:rPr>
          <w:szCs w:val="22"/>
        </w:rPr>
        <w:t>na wskazanie:</w:t>
      </w:r>
    </w:p>
    <w:p w14:paraId="76D92878" w14:textId="77777777" w:rsidR="00C873D8" w:rsidRPr="0091280D" w:rsidRDefault="00C873D8" w:rsidP="00622DC9">
      <w:pPr>
        <w:pStyle w:val="Akapitzlist"/>
        <w:numPr>
          <w:ilvl w:val="0"/>
          <w:numId w:val="37"/>
        </w:numPr>
        <w:spacing w:before="120" w:after="120"/>
        <w:ind w:left="714" w:hanging="357"/>
        <w:contextualSpacing w:val="0"/>
        <w:rPr>
          <w:szCs w:val="22"/>
        </w:rPr>
      </w:pPr>
      <w:r w:rsidRPr="0091280D">
        <w:rPr>
          <w:szCs w:val="22"/>
        </w:rPr>
        <w:t>głównych celów</w:t>
      </w:r>
      <w:r>
        <w:rPr>
          <w:szCs w:val="22"/>
        </w:rPr>
        <w:t xml:space="preserve"> </w:t>
      </w:r>
      <w:r w:rsidRPr="0091280D">
        <w:rPr>
          <w:szCs w:val="22"/>
        </w:rPr>
        <w:t>i</w:t>
      </w:r>
      <w:r>
        <w:rPr>
          <w:szCs w:val="22"/>
        </w:rPr>
        <w:t> </w:t>
      </w:r>
      <w:r w:rsidRPr="0091280D">
        <w:rPr>
          <w:szCs w:val="22"/>
        </w:rPr>
        <w:t xml:space="preserve">podstawowych typów przedsięwzięć przewidzianych do realizacji </w:t>
      </w:r>
      <w:r>
        <w:rPr>
          <w:szCs w:val="22"/>
        </w:rPr>
        <w:br/>
      </w:r>
      <w:r w:rsidRPr="0091280D">
        <w:rPr>
          <w:szCs w:val="22"/>
        </w:rPr>
        <w:t>w ramach dokumentów będących przedmiotem oceny oddziaływania na środowisko;</w:t>
      </w:r>
    </w:p>
    <w:p w14:paraId="03F27A22" w14:textId="77777777" w:rsidR="00C873D8" w:rsidRPr="0091280D" w:rsidRDefault="00C873D8" w:rsidP="00622DC9">
      <w:pPr>
        <w:pStyle w:val="Akapitzlist"/>
        <w:numPr>
          <w:ilvl w:val="0"/>
          <w:numId w:val="37"/>
        </w:numPr>
        <w:spacing w:before="120" w:after="120"/>
        <w:ind w:left="714" w:hanging="357"/>
        <w:contextualSpacing w:val="0"/>
        <w:rPr>
          <w:szCs w:val="22"/>
        </w:rPr>
      </w:pPr>
      <w:r w:rsidRPr="0091280D">
        <w:rPr>
          <w:szCs w:val="22"/>
        </w:rPr>
        <w:t>głównych rodzajów oddziaływań,</w:t>
      </w:r>
      <w:r>
        <w:rPr>
          <w:szCs w:val="22"/>
        </w:rPr>
        <w:t xml:space="preserve"> </w:t>
      </w:r>
      <w:r w:rsidRPr="0091280D">
        <w:rPr>
          <w:szCs w:val="22"/>
        </w:rPr>
        <w:t>z</w:t>
      </w:r>
      <w:r>
        <w:rPr>
          <w:szCs w:val="22"/>
        </w:rPr>
        <w:t> </w:t>
      </w:r>
      <w:r w:rsidRPr="0091280D">
        <w:rPr>
          <w:szCs w:val="22"/>
        </w:rPr>
        <w:t>wyszczególnieniem oddziaływań skumulowanych oraz transgranicznych;</w:t>
      </w:r>
    </w:p>
    <w:p w14:paraId="08442B9E" w14:textId="77777777" w:rsidR="00C873D8" w:rsidRPr="0091280D" w:rsidRDefault="00C873D8" w:rsidP="00622DC9">
      <w:pPr>
        <w:pStyle w:val="Akapitzlist"/>
        <w:numPr>
          <w:ilvl w:val="0"/>
          <w:numId w:val="37"/>
        </w:numPr>
        <w:spacing w:before="120" w:after="120"/>
        <w:ind w:left="714" w:hanging="357"/>
        <w:contextualSpacing w:val="0"/>
        <w:rPr>
          <w:szCs w:val="22"/>
        </w:rPr>
      </w:pPr>
      <w:r w:rsidRPr="0091280D">
        <w:rPr>
          <w:szCs w:val="22"/>
        </w:rPr>
        <w:t>wskazanych działań zapobiegawczych, ograniczających lub kompensujących negatywne oddziaływania na środowisko;</w:t>
      </w:r>
    </w:p>
    <w:p w14:paraId="3A4A07E4" w14:textId="77777777" w:rsidR="00C873D8" w:rsidRPr="0091280D" w:rsidRDefault="00C873D8" w:rsidP="00622DC9">
      <w:pPr>
        <w:pStyle w:val="Akapitzlist"/>
        <w:numPr>
          <w:ilvl w:val="0"/>
          <w:numId w:val="37"/>
        </w:numPr>
        <w:spacing w:before="120" w:after="120"/>
        <w:ind w:left="714" w:hanging="357"/>
        <w:contextualSpacing w:val="0"/>
        <w:rPr>
          <w:szCs w:val="22"/>
        </w:rPr>
      </w:pPr>
      <w:r w:rsidRPr="0091280D">
        <w:rPr>
          <w:szCs w:val="22"/>
        </w:rPr>
        <w:t>proponowanych wskaźników monitorowania skutków realizacji postanowień dokumentu poddawanego strategicznej ocenie oddziaływania na środowisko.</w:t>
      </w:r>
    </w:p>
    <w:p w14:paraId="451D9836" w14:textId="77777777" w:rsidR="00C873D8" w:rsidRPr="0091280D" w:rsidRDefault="00C873D8" w:rsidP="00DD1D3B">
      <w:pPr>
        <w:spacing w:before="120" w:after="120"/>
        <w:rPr>
          <w:szCs w:val="22"/>
        </w:rPr>
      </w:pPr>
      <w:r w:rsidRPr="0091280D">
        <w:rPr>
          <w:szCs w:val="22"/>
        </w:rPr>
        <w:t>Informacje zawarte</w:t>
      </w:r>
      <w:r>
        <w:rPr>
          <w:szCs w:val="22"/>
        </w:rPr>
        <w:t xml:space="preserve"> </w:t>
      </w:r>
      <w:r w:rsidRPr="0091280D">
        <w:rPr>
          <w:szCs w:val="22"/>
        </w:rPr>
        <w:t>w</w:t>
      </w:r>
      <w:r>
        <w:rPr>
          <w:szCs w:val="22"/>
        </w:rPr>
        <w:t> </w:t>
      </w:r>
      <w:r w:rsidRPr="0091280D">
        <w:rPr>
          <w:szCs w:val="22"/>
        </w:rPr>
        <w:t>ww. dokumentach zostały wykorzystane do analiz oddziaływania na środowisko</w:t>
      </w:r>
      <w:r>
        <w:rPr>
          <w:szCs w:val="22"/>
        </w:rPr>
        <w:t xml:space="preserve"> </w:t>
      </w:r>
      <w:r w:rsidRPr="0091280D">
        <w:rPr>
          <w:szCs w:val="22"/>
        </w:rPr>
        <w:t>i</w:t>
      </w:r>
      <w:r>
        <w:rPr>
          <w:szCs w:val="22"/>
        </w:rPr>
        <w:t> </w:t>
      </w:r>
      <w:r w:rsidRPr="0091280D">
        <w:rPr>
          <w:szCs w:val="22"/>
        </w:rPr>
        <w:t>w znacznym stopniu wspomogły ocenę</w:t>
      </w:r>
      <w:r>
        <w:rPr>
          <w:szCs w:val="22"/>
        </w:rPr>
        <w:t xml:space="preserve"> </w:t>
      </w:r>
      <w:r w:rsidRPr="0091280D">
        <w:rPr>
          <w:szCs w:val="22"/>
        </w:rPr>
        <w:t>w</w:t>
      </w:r>
      <w:r>
        <w:rPr>
          <w:szCs w:val="22"/>
        </w:rPr>
        <w:t> </w:t>
      </w:r>
      <w:r w:rsidRPr="0091280D">
        <w:rPr>
          <w:szCs w:val="22"/>
        </w:rPr>
        <w:t>zakresie oddziaływań na ludzi, elementy przyrodnicze oraz zabytki, co przedstawiono</w:t>
      </w:r>
      <w:r>
        <w:rPr>
          <w:szCs w:val="22"/>
        </w:rPr>
        <w:t xml:space="preserve"> </w:t>
      </w:r>
      <w:r w:rsidRPr="0091280D">
        <w:rPr>
          <w:szCs w:val="22"/>
        </w:rPr>
        <w:t>w</w:t>
      </w:r>
      <w:r>
        <w:rPr>
          <w:szCs w:val="22"/>
        </w:rPr>
        <w:t> </w:t>
      </w:r>
      <w:r w:rsidRPr="0091280D">
        <w:rPr>
          <w:szCs w:val="22"/>
        </w:rPr>
        <w:t>dalszych punktach opracowania.</w:t>
      </w:r>
    </w:p>
    <w:p w14:paraId="1B65160D" w14:textId="36120A5C" w:rsidR="00C873D8" w:rsidRPr="0091280D" w:rsidRDefault="00C873D8" w:rsidP="00DD1D3B">
      <w:pPr>
        <w:spacing w:before="120" w:after="120"/>
        <w:rPr>
          <w:szCs w:val="22"/>
        </w:rPr>
      </w:pPr>
      <w:r w:rsidRPr="0091280D">
        <w:rPr>
          <w:szCs w:val="22"/>
        </w:rPr>
        <w:t>Projekt Programu wskazuje na powiązanie</w:t>
      </w:r>
      <w:r>
        <w:rPr>
          <w:szCs w:val="22"/>
        </w:rPr>
        <w:t xml:space="preserve"> </w:t>
      </w:r>
      <w:r w:rsidRPr="0091280D">
        <w:rPr>
          <w:szCs w:val="22"/>
        </w:rPr>
        <w:t>z</w:t>
      </w:r>
      <w:r>
        <w:rPr>
          <w:szCs w:val="22"/>
        </w:rPr>
        <w:t> </w:t>
      </w:r>
      <w:r w:rsidRPr="0091280D">
        <w:rPr>
          <w:szCs w:val="22"/>
        </w:rPr>
        <w:t>dokumentami strategicznymi europejskimi, krajowymi</w:t>
      </w:r>
      <w:r>
        <w:rPr>
          <w:szCs w:val="22"/>
        </w:rPr>
        <w:t xml:space="preserve"> </w:t>
      </w:r>
      <w:r w:rsidRPr="0091280D">
        <w:rPr>
          <w:szCs w:val="22"/>
        </w:rPr>
        <w:t>i</w:t>
      </w:r>
      <w:r>
        <w:rPr>
          <w:szCs w:val="22"/>
        </w:rPr>
        <w:t> </w:t>
      </w:r>
      <w:r w:rsidRPr="0091280D">
        <w:rPr>
          <w:szCs w:val="22"/>
        </w:rPr>
        <w:t>regionalnymi,</w:t>
      </w:r>
      <w:r>
        <w:rPr>
          <w:szCs w:val="22"/>
        </w:rPr>
        <w:t xml:space="preserve"> </w:t>
      </w:r>
      <w:r w:rsidRPr="0091280D">
        <w:rPr>
          <w:szCs w:val="22"/>
        </w:rPr>
        <w:t>w</w:t>
      </w:r>
      <w:r>
        <w:rPr>
          <w:szCs w:val="22"/>
        </w:rPr>
        <w:t> </w:t>
      </w:r>
      <w:r w:rsidRPr="0091280D">
        <w:rPr>
          <w:szCs w:val="22"/>
        </w:rPr>
        <w:t>tym</w:t>
      </w:r>
      <w:r>
        <w:rPr>
          <w:szCs w:val="22"/>
        </w:rPr>
        <w:t xml:space="preserve"> </w:t>
      </w:r>
      <w:r w:rsidRPr="0091280D">
        <w:rPr>
          <w:szCs w:val="22"/>
        </w:rPr>
        <w:t>w</w:t>
      </w:r>
      <w:r>
        <w:rPr>
          <w:szCs w:val="22"/>
        </w:rPr>
        <w:t> </w:t>
      </w:r>
      <w:r w:rsidRPr="0091280D">
        <w:rPr>
          <w:szCs w:val="22"/>
        </w:rPr>
        <w:t xml:space="preserve">szczególności Strategią na rzecz odpowiedzialnego rozwoju do roku 2020 (z perspektywą do 2030r.), Krajową strategią rozwoju regionalnego 2030; </w:t>
      </w:r>
      <w:r w:rsidR="002A3572" w:rsidRPr="002A3572">
        <w:rPr>
          <w:szCs w:val="22"/>
        </w:rPr>
        <w:t>Strategi</w:t>
      </w:r>
      <w:r w:rsidR="00C92FFB">
        <w:rPr>
          <w:szCs w:val="22"/>
        </w:rPr>
        <w:t>ą</w:t>
      </w:r>
      <w:r w:rsidR="002A3572" w:rsidRPr="002A3572">
        <w:rPr>
          <w:szCs w:val="22"/>
        </w:rPr>
        <w:t xml:space="preserve"> Rozwoju Województwa Zachodniopomorskiego do roku 2030</w:t>
      </w:r>
      <w:r w:rsidRPr="0091280D">
        <w:rPr>
          <w:szCs w:val="22"/>
        </w:rPr>
        <w:t xml:space="preserve">. </w:t>
      </w:r>
    </w:p>
    <w:p w14:paraId="100BC0AD" w14:textId="5331210B" w:rsidR="00C873D8" w:rsidRPr="0091280D" w:rsidRDefault="00C873D8" w:rsidP="00DD1D3B">
      <w:pPr>
        <w:spacing w:before="120" w:after="120"/>
        <w:rPr>
          <w:szCs w:val="22"/>
        </w:rPr>
      </w:pPr>
      <w:r w:rsidRPr="0091280D">
        <w:rPr>
          <w:szCs w:val="22"/>
        </w:rPr>
        <w:t xml:space="preserve">Przeprowadzona analiza spójności projektu </w:t>
      </w:r>
      <w:r w:rsidR="00D4052B">
        <w:rPr>
          <w:szCs w:val="22"/>
        </w:rPr>
        <w:t>FEPZ</w:t>
      </w:r>
      <w:r w:rsidRPr="0091280D">
        <w:rPr>
          <w:szCs w:val="22"/>
        </w:rPr>
        <w:t xml:space="preserve"> 2021-2027</w:t>
      </w:r>
      <w:r>
        <w:rPr>
          <w:szCs w:val="22"/>
        </w:rPr>
        <w:t xml:space="preserve"> </w:t>
      </w:r>
      <w:r w:rsidRPr="0091280D">
        <w:rPr>
          <w:szCs w:val="22"/>
        </w:rPr>
        <w:t>z</w:t>
      </w:r>
      <w:r>
        <w:rPr>
          <w:szCs w:val="22"/>
        </w:rPr>
        <w:t> </w:t>
      </w:r>
      <w:r w:rsidRPr="0091280D">
        <w:rPr>
          <w:szCs w:val="22"/>
        </w:rPr>
        <w:t>dokumentami strategicznymi międzynarodowymi, unijnymi, krajowymi</w:t>
      </w:r>
      <w:r>
        <w:rPr>
          <w:szCs w:val="22"/>
        </w:rPr>
        <w:t xml:space="preserve"> </w:t>
      </w:r>
      <w:r w:rsidRPr="0091280D">
        <w:rPr>
          <w:szCs w:val="22"/>
        </w:rPr>
        <w:t>i</w:t>
      </w:r>
      <w:r>
        <w:rPr>
          <w:szCs w:val="22"/>
        </w:rPr>
        <w:t> </w:t>
      </w:r>
      <w:r w:rsidRPr="0091280D">
        <w:rPr>
          <w:szCs w:val="22"/>
        </w:rPr>
        <w:t>regionalnymi wskazuje, że:</w:t>
      </w:r>
    </w:p>
    <w:p w14:paraId="2DEB590F" w14:textId="77777777" w:rsidR="00C873D8" w:rsidRPr="0091280D" w:rsidRDefault="00C873D8" w:rsidP="00622DC9">
      <w:pPr>
        <w:pStyle w:val="Akapitzlist"/>
        <w:numPr>
          <w:ilvl w:val="0"/>
          <w:numId w:val="36"/>
        </w:numPr>
        <w:spacing w:before="120" w:after="120"/>
        <w:ind w:left="714" w:hanging="357"/>
        <w:contextualSpacing w:val="0"/>
        <w:rPr>
          <w:szCs w:val="22"/>
        </w:rPr>
      </w:pPr>
      <w:r>
        <w:rPr>
          <w:szCs w:val="22"/>
        </w:rPr>
        <w:t xml:space="preserve">w </w:t>
      </w:r>
      <w:r w:rsidRPr="0091280D">
        <w:rPr>
          <w:szCs w:val="22"/>
        </w:rPr>
        <w:t>analizowan</w:t>
      </w:r>
      <w:r>
        <w:rPr>
          <w:szCs w:val="22"/>
        </w:rPr>
        <w:t>ych</w:t>
      </w:r>
      <w:r w:rsidRPr="0091280D">
        <w:rPr>
          <w:szCs w:val="22"/>
        </w:rPr>
        <w:t xml:space="preserve"> dokument</w:t>
      </w:r>
      <w:r>
        <w:rPr>
          <w:szCs w:val="22"/>
        </w:rPr>
        <w:t>ach obrano</w:t>
      </w:r>
      <w:r w:rsidRPr="0091280D">
        <w:rPr>
          <w:szCs w:val="22"/>
        </w:rPr>
        <w:t xml:space="preserve"> </w:t>
      </w:r>
      <w:r>
        <w:rPr>
          <w:szCs w:val="22"/>
        </w:rPr>
        <w:t>jako najważniejsze</w:t>
      </w:r>
      <w:r w:rsidRPr="0091280D">
        <w:rPr>
          <w:szCs w:val="22"/>
        </w:rPr>
        <w:t xml:space="preserve"> </w:t>
      </w:r>
      <w:r>
        <w:rPr>
          <w:szCs w:val="22"/>
        </w:rPr>
        <w:t xml:space="preserve">następujące </w:t>
      </w:r>
      <w:r w:rsidRPr="0091280D">
        <w:rPr>
          <w:szCs w:val="22"/>
        </w:rPr>
        <w:t>wyzwania</w:t>
      </w:r>
      <w:r>
        <w:rPr>
          <w:szCs w:val="22"/>
        </w:rPr>
        <w:t xml:space="preserve"> </w:t>
      </w:r>
      <w:r w:rsidRPr="0091280D">
        <w:rPr>
          <w:szCs w:val="22"/>
        </w:rPr>
        <w:t>i</w:t>
      </w:r>
      <w:r>
        <w:rPr>
          <w:szCs w:val="22"/>
        </w:rPr>
        <w:t> </w:t>
      </w:r>
      <w:r w:rsidRPr="0091280D">
        <w:rPr>
          <w:szCs w:val="22"/>
        </w:rPr>
        <w:t>kierunki działań: zrównoważony rozwój (w kierunku zielonej</w:t>
      </w:r>
      <w:r>
        <w:rPr>
          <w:szCs w:val="22"/>
        </w:rPr>
        <w:t xml:space="preserve"> </w:t>
      </w:r>
      <w:r w:rsidRPr="0091280D">
        <w:rPr>
          <w:szCs w:val="22"/>
        </w:rPr>
        <w:t>i</w:t>
      </w:r>
      <w:r>
        <w:rPr>
          <w:szCs w:val="22"/>
        </w:rPr>
        <w:t> </w:t>
      </w:r>
      <w:r w:rsidRPr="0091280D">
        <w:rPr>
          <w:szCs w:val="22"/>
        </w:rPr>
        <w:t>cyrkulacyjnej gospodarki), ograniczenie emisji gazów cieplarnianych, wykorzystanie odnawialnych źródeł emisji, poprawa efektywności energetycznej, ochrona</w:t>
      </w:r>
      <w:r>
        <w:rPr>
          <w:szCs w:val="22"/>
        </w:rPr>
        <w:t xml:space="preserve"> </w:t>
      </w:r>
      <w:r w:rsidRPr="0091280D">
        <w:rPr>
          <w:szCs w:val="22"/>
        </w:rPr>
        <w:t>i</w:t>
      </w:r>
      <w:r>
        <w:rPr>
          <w:szCs w:val="22"/>
        </w:rPr>
        <w:t> </w:t>
      </w:r>
      <w:r w:rsidRPr="0091280D">
        <w:rPr>
          <w:szCs w:val="22"/>
        </w:rPr>
        <w:t>poprawa stanu środowiska</w:t>
      </w:r>
      <w:r>
        <w:rPr>
          <w:szCs w:val="22"/>
        </w:rPr>
        <w:t xml:space="preserve"> </w:t>
      </w:r>
      <w:r w:rsidRPr="0091280D">
        <w:rPr>
          <w:szCs w:val="22"/>
        </w:rPr>
        <w:t>w</w:t>
      </w:r>
      <w:r>
        <w:rPr>
          <w:szCs w:val="22"/>
        </w:rPr>
        <w:t> </w:t>
      </w:r>
      <w:r w:rsidRPr="0091280D">
        <w:rPr>
          <w:szCs w:val="22"/>
        </w:rPr>
        <w:t>tym przyrody</w:t>
      </w:r>
      <w:r>
        <w:rPr>
          <w:szCs w:val="22"/>
        </w:rPr>
        <w:t xml:space="preserve"> </w:t>
      </w:r>
      <w:r w:rsidRPr="0091280D">
        <w:rPr>
          <w:szCs w:val="22"/>
        </w:rPr>
        <w:t>i</w:t>
      </w:r>
      <w:r>
        <w:rPr>
          <w:szCs w:val="22"/>
        </w:rPr>
        <w:t> </w:t>
      </w:r>
      <w:r w:rsidRPr="0091280D">
        <w:rPr>
          <w:szCs w:val="22"/>
        </w:rPr>
        <w:t>różnorodności biologicznej,</w:t>
      </w:r>
      <w:r>
        <w:rPr>
          <w:szCs w:val="22"/>
        </w:rPr>
        <w:t xml:space="preserve"> </w:t>
      </w:r>
      <w:r w:rsidRPr="0091280D">
        <w:rPr>
          <w:szCs w:val="22"/>
        </w:rPr>
        <w:t>w</w:t>
      </w:r>
      <w:r>
        <w:rPr>
          <w:szCs w:val="22"/>
        </w:rPr>
        <w:t> </w:t>
      </w:r>
      <w:r w:rsidRPr="0091280D">
        <w:rPr>
          <w:szCs w:val="22"/>
        </w:rPr>
        <w:t>tym ochrona ekosystemów, ograniczenie emisji zanieczyszczeń do środowiska,</w:t>
      </w:r>
      <w:r>
        <w:rPr>
          <w:szCs w:val="22"/>
        </w:rPr>
        <w:t xml:space="preserve"> </w:t>
      </w:r>
      <w:r w:rsidRPr="0091280D">
        <w:rPr>
          <w:szCs w:val="22"/>
        </w:rPr>
        <w:t>a</w:t>
      </w:r>
      <w:r>
        <w:rPr>
          <w:szCs w:val="22"/>
        </w:rPr>
        <w:t> </w:t>
      </w:r>
      <w:r w:rsidRPr="0091280D">
        <w:rPr>
          <w:szCs w:val="22"/>
        </w:rPr>
        <w:t>szczególnie do powietrza, zapewnienie bezpieczeństwa środowiska miejskiego; zapobieganie ryzyku klęsk żywiołowych</w:t>
      </w:r>
      <w:r>
        <w:rPr>
          <w:szCs w:val="22"/>
        </w:rPr>
        <w:t xml:space="preserve"> </w:t>
      </w:r>
      <w:r w:rsidRPr="0091280D">
        <w:rPr>
          <w:szCs w:val="22"/>
        </w:rPr>
        <w:t>i</w:t>
      </w:r>
      <w:r>
        <w:rPr>
          <w:szCs w:val="22"/>
        </w:rPr>
        <w:t> </w:t>
      </w:r>
      <w:r w:rsidRPr="0091280D">
        <w:rPr>
          <w:szCs w:val="22"/>
        </w:rPr>
        <w:t>odporności na klęski żywiołowe, poprawy stanu innowacyjności</w:t>
      </w:r>
      <w:r>
        <w:rPr>
          <w:szCs w:val="22"/>
        </w:rPr>
        <w:t xml:space="preserve"> </w:t>
      </w:r>
      <w:r w:rsidRPr="0091280D">
        <w:rPr>
          <w:szCs w:val="22"/>
        </w:rPr>
        <w:t>i</w:t>
      </w:r>
      <w:r>
        <w:rPr>
          <w:szCs w:val="22"/>
        </w:rPr>
        <w:t> </w:t>
      </w:r>
      <w:r w:rsidRPr="0091280D">
        <w:rPr>
          <w:szCs w:val="22"/>
        </w:rPr>
        <w:t>przedsiębiorczości jaki</w:t>
      </w:r>
      <w:r>
        <w:rPr>
          <w:szCs w:val="22"/>
        </w:rPr>
        <w:t xml:space="preserve"> </w:t>
      </w:r>
      <w:r w:rsidRPr="0091280D">
        <w:rPr>
          <w:szCs w:val="22"/>
        </w:rPr>
        <w:t>i</w:t>
      </w:r>
      <w:r>
        <w:rPr>
          <w:szCs w:val="22"/>
        </w:rPr>
        <w:t> </w:t>
      </w:r>
      <w:r w:rsidRPr="0091280D">
        <w:rPr>
          <w:szCs w:val="22"/>
        </w:rPr>
        <w:t>wspierania ludzi</w:t>
      </w:r>
      <w:r>
        <w:rPr>
          <w:szCs w:val="22"/>
        </w:rPr>
        <w:t xml:space="preserve"> </w:t>
      </w:r>
      <w:r w:rsidRPr="0091280D">
        <w:rPr>
          <w:szCs w:val="22"/>
        </w:rPr>
        <w:t>i</w:t>
      </w:r>
      <w:r>
        <w:rPr>
          <w:szCs w:val="22"/>
        </w:rPr>
        <w:t> </w:t>
      </w:r>
      <w:r w:rsidRPr="0091280D">
        <w:rPr>
          <w:szCs w:val="22"/>
        </w:rPr>
        <w:t xml:space="preserve">społeczeństw; </w:t>
      </w:r>
    </w:p>
    <w:p w14:paraId="38C44E5F" w14:textId="4AB6E0DF" w:rsidR="00C873D8" w:rsidRPr="0091280D" w:rsidRDefault="00C873D8" w:rsidP="00622DC9">
      <w:pPr>
        <w:pStyle w:val="Akapitzlist"/>
        <w:numPr>
          <w:ilvl w:val="0"/>
          <w:numId w:val="36"/>
        </w:numPr>
        <w:spacing w:before="120" w:after="120"/>
        <w:ind w:left="714" w:hanging="357"/>
        <w:contextualSpacing w:val="0"/>
        <w:rPr>
          <w:szCs w:val="22"/>
        </w:rPr>
      </w:pPr>
      <w:r w:rsidRPr="0091280D">
        <w:rPr>
          <w:szCs w:val="22"/>
        </w:rPr>
        <w:t xml:space="preserve">zapisy projektu </w:t>
      </w:r>
      <w:r w:rsidR="00D4052B">
        <w:rPr>
          <w:szCs w:val="22"/>
        </w:rPr>
        <w:t>FEPZ</w:t>
      </w:r>
      <w:r w:rsidRPr="0091280D">
        <w:rPr>
          <w:szCs w:val="22"/>
        </w:rPr>
        <w:t xml:space="preserve"> 2021-2027 nawiązują do celów analizowanych dokumentów zarówno</w:t>
      </w:r>
      <w:r>
        <w:rPr>
          <w:szCs w:val="22"/>
        </w:rPr>
        <w:t xml:space="preserve"> </w:t>
      </w:r>
      <w:r w:rsidRPr="0091280D">
        <w:rPr>
          <w:szCs w:val="22"/>
        </w:rPr>
        <w:t>w</w:t>
      </w:r>
      <w:r>
        <w:rPr>
          <w:szCs w:val="22"/>
        </w:rPr>
        <w:t> </w:t>
      </w:r>
      <w:r w:rsidRPr="0091280D">
        <w:rPr>
          <w:szCs w:val="22"/>
        </w:rPr>
        <w:t>zakresie przedsiębiorczości, życia</w:t>
      </w:r>
      <w:r>
        <w:rPr>
          <w:szCs w:val="22"/>
        </w:rPr>
        <w:t xml:space="preserve"> </w:t>
      </w:r>
      <w:r w:rsidRPr="0091280D">
        <w:rPr>
          <w:szCs w:val="22"/>
        </w:rPr>
        <w:t>i</w:t>
      </w:r>
      <w:r>
        <w:rPr>
          <w:szCs w:val="22"/>
        </w:rPr>
        <w:t> </w:t>
      </w:r>
      <w:r w:rsidRPr="0091280D">
        <w:rPr>
          <w:szCs w:val="22"/>
        </w:rPr>
        <w:t>zdrowia społeczeństwa, ograniczenia emisji gazów cieplarnianych, jak też</w:t>
      </w:r>
      <w:r>
        <w:rPr>
          <w:szCs w:val="22"/>
        </w:rPr>
        <w:t xml:space="preserve"> </w:t>
      </w:r>
      <w:r w:rsidRPr="0091280D">
        <w:rPr>
          <w:szCs w:val="22"/>
        </w:rPr>
        <w:t>i</w:t>
      </w:r>
      <w:r>
        <w:rPr>
          <w:szCs w:val="22"/>
        </w:rPr>
        <w:t> </w:t>
      </w:r>
      <w:r w:rsidRPr="0091280D">
        <w:rPr>
          <w:szCs w:val="22"/>
        </w:rPr>
        <w:t>w zakresie ograniczenia emisji zanieczyszczeń do środowiska (w tym powietrza)</w:t>
      </w:r>
      <w:r>
        <w:rPr>
          <w:szCs w:val="22"/>
        </w:rPr>
        <w:t xml:space="preserve"> </w:t>
      </w:r>
      <w:r w:rsidRPr="0091280D">
        <w:rPr>
          <w:szCs w:val="22"/>
        </w:rPr>
        <w:t>i</w:t>
      </w:r>
      <w:r>
        <w:rPr>
          <w:szCs w:val="22"/>
        </w:rPr>
        <w:t> </w:t>
      </w:r>
      <w:r w:rsidRPr="0091280D">
        <w:rPr>
          <w:szCs w:val="22"/>
        </w:rPr>
        <w:t>poprawy jego jakości;</w:t>
      </w:r>
    </w:p>
    <w:p w14:paraId="5DFF55A5" w14:textId="77777777" w:rsidR="00C873D8" w:rsidRPr="0091280D" w:rsidRDefault="00C873D8" w:rsidP="00622DC9">
      <w:pPr>
        <w:pStyle w:val="Akapitzlist"/>
        <w:numPr>
          <w:ilvl w:val="0"/>
          <w:numId w:val="36"/>
        </w:numPr>
        <w:spacing w:before="120" w:after="120"/>
        <w:ind w:left="714" w:hanging="357"/>
        <w:contextualSpacing w:val="0"/>
        <w:rPr>
          <w:szCs w:val="22"/>
        </w:rPr>
      </w:pPr>
      <w:r w:rsidRPr="0091280D">
        <w:rPr>
          <w:szCs w:val="22"/>
        </w:rPr>
        <w:t>dokumenty UE wskazują, że poza działaniami na rzecz klimatu, również podejmowane są działania</w:t>
      </w:r>
      <w:r>
        <w:rPr>
          <w:szCs w:val="22"/>
        </w:rPr>
        <w:t xml:space="preserve"> </w:t>
      </w:r>
      <w:r w:rsidRPr="0091280D">
        <w:rPr>
          <w:szCs w:val="22"/>
        </w:rPr>
        <w:t>w</w:t>
      </w:r>
      <w:r>
        <w:rPr>
          <w:szCs w:val="22"/>
        </w:rPr>
        <w:t> </w:t>
      </w:r>
      <w:r w:rsidRPr="0091280D">
        <w:rPr>
          <w:szCs w:val="22"/>
        </w:rPr>
        <w:t>celu poprawy jakości powietrza, redukcji ilości odpadów, poprawy stanu wód, jak również jakości życia społeczeństw</w:t>
      </w:r>
      <w:r>
        <w:rPr>
          <w:szCs w:val="22"/>
        </w:rPr>
        <w:t xml:space="preserve"> </w:t>
      </w:r>
      <w:r w:rsidRPr="0091280D">
        <w:rPr>
          <w:szCs w:val="22"/>
        </w:rPr>
        <w:t>i</w:t>
      </w:r>
      <w:r>
        <w:rPr>
          <w:szCs w:val="22"/>
        </w:rPr>
        <w:t> </w:t>
      </w:r>
      <w:r w:rsidRPr="0091280D">
        <w:rPr>
          <w:szCs w:val="22"/>
        </w:rPr>
        <w:t>relacji międzyludzkich;</w:t>
      </w:r>
    </w:p>
    <w:p w14:paraId="2785918E" w14:textId="77777777" w:rsidR="00C873D8" w:rsidRPr="0091280D" w:rsidRDefault="00C873D8" w:rsidP="00622DC9">
      <w:pPr>
        <w:pStyle w:val="Akapitzlist"/>
        <w:numPr>
          <w:ilvl w:val="0"/>
          <w:numId w:val="36"/>
        </w:numPr>
        <w:spacing w:before="120" w:after="120"/>
        <w:ind w:left="714" w:hanging="357"/>
        <w:contextualSpacing w:val="0"/>
        <w:rPr>
          <w:szCs w:val="22"/>
        </w:rPr>
      </w:pPr>
      <w:r>
        <w:rPr>
          <w:szCs w:val="22"/>
        </w:rPr>
        <w:t>b</w:t>
      </w:r>
      <w:r w:rsidRPr="0091280D">
        <w:rPr>
          <w:szCs w:val="22"/>
        </w:rPr>
        <w:t>iorąc pod uwagę przedstawione</w:t>
      </w:r>
      <w:r>
        <w:rPr>
          <w:szCs w:val="22"/>
        </w:rPr>
        <w:t xml:space="preserve"> </w:t>
      </w:r>
      <w:r w:rsidRPr="0091280D">
        <w:rPr>
          <w:szCs w:val="22"/>
        </w:rPr>
        <w:t>w</w:t>
      </w:r>
      <w:r>
        <w:rPr>
          <w:szCs w:val="22"/>
        </w:rPr>
        <w:t> </w:t>
      </w:r>
      <w:r w:rsidRPr="0091280D">
        <w:rPr>
          <w:szCs w:val="22"/>
        </w:rPr>
        <w:t>analizowanych dokumentach zamierzenia UE należy spodziewać się zaostrzenia przepisów dotyczących emisji zanieczyszczeń powietrza oraz norm jakości powietrza, tym bardziej, że obecne standardy jakości powietrza UE są łagodniejsze od zaleceń Światowej Organizacji Zdrowia (WHO)</w:t>
      </w:r>
      <w:r>
        <w:rPr>
          <w:szCs w:val="22"/>
        </w:rPr>
        <w:t xml:space="preserve"> </w:t>
      </w:r>
      <w:r w:rsidRPr="0091280D">
        <w:rPr>
          <w:szCs w:val="22"/>
        </w:rPr>
        <w:t>z</w:t>
      </w:r>
      <w:r>
        <w:rPr>
          <w:szCs w:val="22"/>
        </w:rPr>
        <w:t> </w:t>
      </w:r>
      <w:r w:rsidRPr="0091280D">
        <w:rPr>
          <w:szCs w:val="22"/>
        </w:rPr>
        <w:t>punktu widzenia ochrony zdrowia;</w:t>
      </w:r>
    </w:p>
    <w:p w14:paraId="4A2DBCAB" w14:textId="28DB9068" w:rsidR="00C873D8" w:rsidRPr="0091280D" w:rsidRDefault="00C873D8" w:rsidP="00622DC9">
      <w:pPr>
        <w:pStyle w:val="Akapitzlist"/>
        <w:numPr>
          <w:ilvl w:val="0"/>
          <w:numId w:val="36"/>
        </w:numPr>
        <w:spacing w:before="120" w:after="120"/>
        <w:ind w:left="714" w:hanging="357"/>
        <w:contextualSpacing w:val="0"/>
        <w:rPr>
          <w:szCs w:val="22"/>
        </w:rPr>
      </w:pPr>
      <w:r w:rsidRPr="0091280D">
        <w:rPr>
          <w:szCs w:val="22"/>
        </w:rPr>
        <w:t>proponowan</w:t>
      </w:r>
      <w:r>
        <w:rPr>
          <w:szCs w:val="22"/>
        </w:rPr>
        <w:t>y</w:t>
      </w:r>
      <w:r w:rsidRPr="0091280D">
        <w:rPr>
          <w:szCs w:val="22"/>
        </w:rPr>
        <w:t xml:space="preserve"> projekt </w:t>
      </w:r>
      <w:r w:rsidR="00D4052B">
        <w:rPr>
          <w:szCs w:val="22"/>
        </w:rPr>
        <w:t>FEPZ</w:t>
      </w:r>
      <w:r w:rsidRPr="0091280D">
        <w:rPr>
          <w:szCs w:val="22"/>
        </w:rPr>
        <w:t xml:space="preserve"> 2021-2027 wspiera realizację celów </w:t>
      </w:r>
      <w:r>
        <w:rPr>
          <w:szCs w:val="22"/>
        </w:rPr>
        <w:t xml:space="preserve">ujętych w dokumentach programowych </w:t>
      </w:r>
      <w:r w:rsidRPr="0091280D">
        <w:rPr>
          <w:szCs w:val="22"/>
        </w:rPr>
        <w:t xml:space="preserve">na poziomie krajowym; </w:t>
      </w:r>
    </w:p>
    <w:p w14:paraId="57ABBBEB" w14:textId="4ACC66C1" w:rsidR="00C873D8" w:rsidRPr="0091280D" w:rsidRDefault="00C873D8" w:rsidP="00622DC9">
      <w:pPr>
        <w:pStyle w:val="Akapitzlist"/>
        <w:numPr>
          <w:ilvl w:val="0"/>
          <w:numId w:val="36"/>
        </w:numPr>
        <w:spacing w:before="120" w:after="120"/>
        <w:ind w:left="714" w:hanging="357"/>
        <w:contextualSpacing w:val="0"/>
        <w:rPr>
          <w:szCs w:val="22"/>
        </w:rPr>
      </w:pPr>
      <w:r w:rsidRPr="0091280D">
        <w:rPr>
          <w:szCs w:val="22"/>
        </w:rPr>
        <w:t xml:space="preserve">z uwagi na charakter </w:t>
      </w:r>
      <w:r>
        <w:rPr>
          <w:szCs w:val="22"/>
        </w:rPr>
        <w:t>Programu</w:t>
      </w:r>
      <w:r w:rsidRPr="0091280D">
        <w:rPr>
          <w:szCs w:val="22"/>
        </w:rPr>
        <w:t xml:space="preserve"> wspiera </w:t>
      </w:r>
      <w:r>
        <w:rPr>
          <w:szCs w:val="22"/>
        </w:rPr>
        <w:t xml:space="preserve">on </w:t>
      </w:r>
      <w:r w:rsidRPr="0091280D">
        <w:rPr>
          <w:szCs w:val="22"/>
        </w:rPr>
        <w:t>realizację zawartych</w:t>
      </w:r>
      <w:r>
        <w:rPr>
          <w:szCs w:val="22"/>
        </w:rPr>
        <w:t xml:space="preserve"> </w:t>
      </w:r>
      <w:r w:rsidRPr="0091280D">
        <w:rPr>
          <w:szCs w:val="22"/>
        </w:rPr>
        <w:t>w</w:t>
      </w:r>
      <w:r>
        <w:rPr>
          <w:szCs w:val="22"/>
        </w:rPr>
        <w:t xml:space="preserve"> analizowanych dokumentach celów </w:t>
      </w:r>
      <w:r w:rsidRPr="0091280D">
        <w:rPr>
          <w:szCs w:val="22"/>
        </w:rPr>
        <w:t>w</w:t>
      </w:r>
      <w:r>
        <w:rPr>
          <w:szCs w:val="22"/>
        </w:rPr>
        <w:t> </w:t>
      </w:r>
      <w:r w:rsidRPr="0091280D">
        <w:rPr>
          <w:szCs w:val="22"/>
        </w:rPr>
        <w:t xml:space="preserve">sposób selektywny. </w:t>
      </w:r>
      <w:r w:rsidR="00D4052B">
        <w:rPr>
          <w:szCs w:val="22"/>
        </w:rPr>
        <w:t>FEPZ</w:t>
      </w:r>
      <w:r>
        <w:rPr>
          <w:szCs w:val="22"/>
        </w:rPr>
        <w:t xml:space="preserve"> 2021 – 2027 </w:t>
      </w:r>
      <w:r w:rsidRPr="0091280D">
        <w:rPr>
          <w:szCs w:val="22"/>
        </w:rPr>
        <w:t>wspiera realizację wybranych, kluczowych zadań istotnych dla gospodarki, środowiska</w:t>
      </w:r>
      <w:r>
        <w:rPr>
          <w:szCs w:val="22"/>
        </w:rPr>
        <w:t xml:space="preserve"> </w:t>
      </w:r>
      <w:r w:rsidRPr="0091280D">
        <w:rPr>
          <w:szCs w:val="22"/>
        </w:rPr>
        <w:t>i</w:t>
      </w:r>
      <w:r>
        <w:rPr>
          <w:szCs w:val="22"/>
        </w:rPr>
        <w:t> </w:t>
      </w:r>
      <w:r w:rsidRPr="0091280D">
        <w:rPr>
          <w:szCs w:val="22"/>
        </w:rPr>
        <w:t xml:space="preserve">społeczeństwa; </w:t>
      </w:r>
    </w:p>
    <w:p w14:paraId="7255115E" w14:textId="660D4457" w:rsidR="00C873D8" w:rsidRDefault="00C873D8" w:rsidP="00622DC9">
      <w:pPr>
        <w:pStyle w:val="Akapitzlist"/>
        <w:numPr>
          <w:ilvl w:val="0"/>
          <w:numId w:val="36"/>
        </w:numPr>
        <w:spacing w:before="120" w:after="120"/>
        <w:ind w:left="714" w:hanging="357"/>
        <w:contextualSpacing w:val="0"/>
        <w:rPr>
          <w:szCs w:val="22"/>
        </w:rPr>
      </w:pPr>
      <w:r w:rsidRPr="0091280D">
        <w:rPr>
          <w:szCs w:val="22"/>
        </w:rPr>
        <w:t xml:space="preserve">nie zidentyfikowano </w:t>
      </w:r>
      <w:r>
        <w:rPr>
          <w:szCs w:val="22"/>
        </w:rPr>
        <w:t xml:space="preserve">w </w:t>
      </w:r>
      <w:r w:rsidR="00D4052B">
        <w:rPr>
          <w:szCs w:val="22"/>
        </w:rPr>
        <w:t>FEPZ</w:t>
      </w:r>
      <w:r>
        <w:rPr>
          <w:szCs w:val="22"/>
        </w:rPr>
        <w:t xml:space="preserve"> 2021 – 2027 </w:t>
      </w:r>
      <w:r w:rsidRPr="0091280D">
        <w:rPr>
          <w:szCs w:val="22"/>
        </w:rPr>
        <w:t>obszarów sprzecznych</w:t>
      </w:r>
      <w:r>
        <w:rPr>
          <w:szCs w:val="22"/>
        </w:rPr>
        <w:t xml:space="preserve"> </w:t>
      </w:r>
      <w:r w:rsidRPr="0091280D">
        <w:rPr>
          <w:szCs w:val="22"/>
        </w:rPr>
        <w:t>z</w:t>
      </w:r>
      <w:r>
        <w:rPr>
          <w:szCs w:val="22"/>
        </w:rPr>
        <w:t> </w:t>
      </w:r>
      <w:r w:rsidRPr="0091280D">
        <w:rPr>
          <w:szCs w:val="22"/>
        </w:rPr>
        <w:t>celami ochrony środowiska analizowanych dokumentów strategicznych, realizacja szeregu przedsięwzięć objętych Programem, mogących znacząco oddziaływać na środowisko, wymagać będzie analiz szczegółowych</w:t>
      </w:r>
      <w:r>
        <w:rPr>
          <w:szCs w:val="22"/>
        </w:rPr>
        <w:t xml:space="preserve"> </w:t>
      </w:r>
      <w:r w:rsidRPr="0091280D">
        <w:rPr>
          <w:szCs w:val="22"/>
        </w:rPr>
        <w:t>w</w:t>
      </w:r>
      <w:r>
        <w:rPr>
          <w:szCs w:val="22"/>
        </w:rPr>
        <w:t> </w:t>
      </w:r>
      <w:r w:rsidRPr="0091280D">
        <w:rPr>
          <w:szCs w:val="22"/>
        </w:rPr>
        <w:t>ramach procedury ocen oddziaływania na środowisko</w:t>
      </w:r>
      <w:r w:rsidR="00DD1D3B">
        <w:rPr>
          <w:szCs w:val="22"/>
        </w:rPr>
        <w:t>.</w:t>
      </w:r>
    </w:p>
    <w:p w14:paraId="0C75FBA3" w14:textId="77777777" w:rsidR="002E6D5C" w:rsidRDefault="002E6D5C">
      <w:pPr>
        <w:rPr>
          <w:spacing w:val="15"/>
          <w:sz w:val="32"/>
          <w:szCs w:val="24"/>
        </w:rPr>
      </w:pPr>
      <w:r>
        <w:rPr>
          <w:caps/>
          <w:sz w:val="32"/>
          <w:szCs w:val="24"/>
        </w:rPr>
        <w:br w:type="page"/>
      </w:r>
    </w:p>
    <w:p w14:paraId="3D83FBCD" w14:textId="245FCD6C" w:rsidR="00DF1A94" w:rsidRPr="0091280D" w:rsidRDefault="00263227" w:rsidP="008B279B">
      <w:pPr>
        <w:pStyle w:val="Nagwek1"/>
        <w:numPr>
          <w:ilvl w:val="0"/>
          <w:numId w:val="1"/>
        </w:numPr>
        <w:rPr>
          <w:caps w:val="0"/>
          <w:sz w:val="32"/>
          <w:szCs w:val="24"/>
        </w:rPr>
      </w:pPr>
      <w:bookmarkStart w:id="12" w:name="_Toc104790630"/>
      <w:r w:rsidRPr="0091280D">
        <w:rPr>
          <w:caps w:val="0"/>
          <w:sz w:val="32"/>
          <w:szCs w:val="24"/>
        </w:rPr>
        <w:t>OCENA SKUTKÓW REALIZACJI PROJEKTU FE</w:t>
      </w:r>
      <w:r w:rsidR="008D6401">
        <w:rPr>
          <w:caps w:val="0"/>
          <w:sz w:val="32"/>
          <w:szCs w:val="24"/>
        </w:rPr>
        <w:t>PZ</w:t>
      </w:r>
      <w:r w:rsidRPr="0091280D">
        <w:rPr>
          <w:caps w:val="0"/>
          <w:sz w:val="32"/>
          <w:szCs w:val="24"/>
        </w:rPr>
        <w:t xml:space="preserve"> 2021-2027 Z UWZGLĘDNIENIEM ODDZIAŁYWANIA NA POSZCZEGÓLNE ELEMENTY ŚRODOWISKA</w:t>
      </w:r>
      <w:bookmarkEnd w:id="12"/>
    </w:p>
    <w:p w14:paraId="5CB5B5AB" w14:textId="31A4B99D" w:rsidR="006E38B9" w:rsidRPr="006E38B9" w:rsidRDefault="006E38B9" w:rsidP="006E38B9">
      <w:pPr>
        <w:rPr>
          <w:rFonts w:eastAsia="Times New Roman" w:cstheme="minorHAnsi"/>
          <w:szCs w:val="24"/>
        </w:rPr>
      </w:pPr>
      <w:bookmarkStart w:id="13" w:name="_Toc80283929"/>
      <w:r w:rsidRPr="006E38B9">
        <w:rPr>
          <w:rFonts w:eastAsia="Times New Roman" w:cstheme="minorHAnsi"/>
          <w:szCs w:val="24"/>
        </w:rPr>
        <w:t xml:space="preserve">Ocena skutków realizacji projektu programu Fundusze Europejskie dla Przymorza Zachodniego 2021-2027 została poprzedzana szczegółową analizą </w:t>
      </w:r>
      <w:r>
        <w:rPr>
          <w:rFonts w:eastAsia="Times New Roman" w:cstheme="minorHAnsi"/>
          <w:szCs w:val="24"/>
        </w:rPr>
        <w:t>aktualnego stanu środowiska w województwie zachodniopomorskim. Dla zachowania przejrzystości dokumentu, w tym w szczególności przedstawienia kluczowych z punktu widzenia wyników analiz opisy aktualnego stanu środowiska zostały umieszczone w załączniku 3 do dokumentu.</w:t>
      </w:r>
    </w:p>
    <w:p w14:paraId="2BAC6D62" w14:textId="7FFEAA85" w:rsidR="008434E8" w:rsidRPr="0091280D" w:rsidRDefault="008434E8" w:rsidP="00F2794A">
      <w:pPr>
        <w:pStyle w:val="Nagwek1"/>
        <w:numPr>
          <w:ilvl w:val="1"/>
          <w:numId w:val="4"/>
        </w:numPr>
        <w:rPr>
          <w:sz w:val="32"/>
          <w:szCs w:val="24"/>
        </w:rPr>
      </w:pPr>
      <w:bookmarkStart w:id="14" w:name="_Toc104790631"/>
      <w:r w:rsidRPr="0091280D">
        <w:rPr>
          <w:caps w:val="0"/>
          <w:sz w:val="32"/>
          <w:szCs w:val="24"/>
        </w:rPr>
        <w:t>PRZEWIDYWANE ZNACZĄCE ODDZIAŁYWANIA NA RÓŻNORODNOŚĆ BIOLOGICZNĄ, W TYM ROŚLINY, ZWIERZĘTA I OBSZARY NATURA 2000</w:t>
      </w:r>
      <w:bookmarkEnd w:id="13"/>
      <w:bookmarkEnd w:id="14"/>
    </w:p>
    <w:p w14:paraId="357895DA" w14:textId="77777777" w:rsidR="009F1607" w:rsidRPr="00841EA4" w:rsidRDefault="009F1607" w:rsidP="009F1607">
      <w:pPr>
        <w:rPr>
          <w:rFonts w:eastAsia="Times New Roman" w:cstheme="minorHAnsi"/>
          <w:szCs w:val="24"/>
        </w:rPr>
      </w:pPr>
      <w:r w:rsidRPr="00841EA4">
        <w:rPr>
          <w:rFonts w:eastAsia="Times New Roman" w:cstheme="minorHAnsi"/>
          <w:szCs w:val="24"/>
        </w:rPr>
        <w:t>W wyniku realizacji większości działań w ramach Priorytetu</w:t>
      </w:r>
      <w:r w:rsidRPr="00841EA4">
        <w:rPr>
          <w:rFonts w:eastAsia="Times New Roman" w:cstheme="minorHAnsi"/>
          <w:i/>
          <w:szCs w:val="24"/>
        </w:rPr>
        <w:t xml:space="preserve"> </w:t>
      </w:r>
      <w:r w:rsidRPr="00841EA4">
        <w:rPr>
          <w:rFonts w:eastAsia="Times New Roman" w:cstheme="minorHAnsi"/>
          <w:szCs w:val="24"/>
        </w:rPr>
        <w:t>1.</w:t>
      </w:r>
      <w:r w:rsidRPr="00841EA4">
        <w:rPr>
          <w:rFonts w:eastAsia="Times New Roman" w:cstheme="minorHAnsi"/>
          <w:b/>
          <w:i/>
          <w:szCs w:val="24"/>
        </w:rPr>
        <w:t xml:space="preserve"> </w:t>
      </w:r>
      <w:r w:rsidRPr="00841EA4">
        <w:rPr>
          <w:rFonts w:cstheme="minorHAnsi"/>
          <w:b/>
          <w:i/>
        </w:rPr>
        <w:t>FUNDUSZE EUROPEJSKIE NA RZECZ PRZEDSIĘBIORCZEGO POMORZA ZACHODNIEGO</w:t>
      </w:r>
      <w:r w:rsidRPr="00841EA4">
        <w:rPr>
          <w:rFonts w:eastAsia="Times New Roman" w:cstheme="minorHAnsi"/>
          <w:b/>
          <w:i/>
          <w:szCs w:val="24"/>
        </w:rPr>
        <w:t xml:space="preserve"> </w:t>
      </w:r>
      <w:r w:rsidRPr="00841EA4">
        <w:rPr>
          <w:rFonts w:eastAsia="Times New Roman" w:cstheme="minorHAnsi"/>
          <w:szCs w:val="24"/>
        </w:rPr>
        <w:t>nie przewiduje się negatywnego oddziaływania na różnorodność biologiczną, w tym rośliny, zwierzęta, obszary chronione, w tym obszary Natura 2000. Potencjalne negatywne oddziaływanie na bioróżnorodność może nastąpić podczas realizacji projektów, które obejmować będą inwestycje w rozwój infrastruktury badawczej - budowa/modernizacja infrastruktury badawczej w przedsiębiorstwach (</w:t>
      </w:r>
      <w:r w:rsidRPr="00841EA4">
        <w:rPr>
          <w:rFonts w:eastAsia="Times New Roman" w:cstheme="minorHAnsi"/>
          <w:i/>
          <w:szCs w:val="24"/>
        </w:rPr>
        <w:t xml:space="preserve">cs (i): Rozwijanie i wzmacnianie zdolności badawczych i innowacyjnych oraz /wykorzystywanie zaawansowanych technologii), </w:t>
      </w:r>
      <w:r w:rsidRPr="00841EA4">
        <w:rPr>
          <w:rFonts w:eastAsia="Times New Roman" w:cstheme="minorHAnsi"/>
          <w:szCs w:val="24"/>
        </w:rPr>
        <w:t>wsparcie rozwoju przedsiębiorstw poprzez inwestycje w środki trwałe, inwestycje rozwojowe przedsiębiorstw; inwestycje przedsiębiorstw na obszarze SSW, tworzenie i rozwój nowych przedsiębiorstw</w:t>
      </w:r>
      <w:r w:rsidRPr="00841EA4">
        <w:rPr>
          <w:rFonts w:eastAsia="Times New Roman" w:cstheme="minorHAnsi"/>
          <w:i/>
          <w:szCs w:val="24"/>
        </w:rPr>
        <w:t xml:space="preserve"> </w:t>
      </w:r>
      <w:r w:rsidRPr="00841EA4">
        <w:rPr>
          <w:rFonts w:eastAsia="Times New Roman" w:cstheme="minorHAnsi"/>
          <w:szCs w:val="24"/>
        </w:rPr>
        <w:t>(</w:t>
      </w:r>
      <w:r w:rsidRPr="00841EA4">
        <w:rPr>
          <w:rFonts w:eastAsia="Times New Roman" w:cstheme="minorHAnsi"/>
          <w:i/>
          <w:szCs w:val="24"/>
        </w:rPr>
        <w:t>cs (iii): Wzmacnianie trwałego wzrostu i konkurencyjności MŚP oraz tworzenie miejsc pracy w MŚP, w tym poprzez inwestycje produkcyjne</w:t>
      </w:r>
      <w:r w:rsidRPr="00841EA4">
        <w:rPr>
          <w:rFonts w:eastAsia="Times New Roman" w:cstheme="minorHAnsi"/>
          <w:szCs w:val="24"/>
        </w:rPr>
        <w:t>)</w:t>
      </w:r>
      <w:r w:rsidRPr="00841EA4">
        <w:rPr>
          <w:rFonts w:eastAsia="Times New Roman" w:cstheme="minorHAnsi"/>
          <w:i/>
          <w:szCs w:val="24"/>
        </w:rPr>
        <w:t xml:space="preserve">. </w:t>
      </w:r>
      <w:r w:rsidRPr="00841EA4">
        <w:rPr>
          <w:rFonts w:eastAsia="Times New Roman" w:cstheme="minorHAnsi"/>
          <w:szCs w:val="24"/>
        </w:rPr>
        <w:t xml:space="preserve">Oddziaływania te będą krótkoterminowe (związane z fazą realizacji inwestycji) i mogą obejmować emisję zanieczyszczeń, hałas, płoszenie zwierząt i ich wzmożoną śmiertelność w związku z prowadzonymi pracami budowlanymi, wycinkę drzew i krzewów, zniszczenia wierzchniej warstwy gleby. Niemniej jednak wyżej wymienione oddziaływania będą odwracalne, o zasięgu lokalnym. Pośredniego pozytywnego oddziaływania na zasoby przyrody można upatrywać w związku z realizacją zadań w ramach celu szczegółowego </w:t>
      </w:r>
      <w:r w:rsidRPr="00841EA4">
        <w:rPr>
          <w:rFonts w:eastAsia="Times New Roman" w:cstheme="minorHAnsi"/>
          <w:i/>
          <w:szCs w:val="24"/>
        </w:rPr>
        <w:t>cs (i):</w:t>
      </w:r>
      <w:r w:rsidRPr="00841EA4">
        <w:rPr>
          <w:rFonts w:eastAsia="Times New Roman" w:cstheme="minorHAnsi"/>
          <w:szCs w:val="24"/>
        </w:rPr>
        <w:t xml:space="preserve"> </w:t>
      </w:r>
      <w:r w:rsidRPr="00841EA4">
        <w:rPr>
          <w:rFonts w:eastAsia="Times New Roman" w:cstheme="minorHAnsi"/>
          <w:i/>
          <w:szCs w:val="24"/>
        </w:rPr>
        <w:t xml:space="preserve">Rozwijanie i wzmacnianie zdolności badawczych i innowacyjnych oraz /wykorzystywanie zaawansowanych technologii </w:t>
      </w:r>
      <w:r w:rsidRPr="00841EA4">
        <w:rPr>
          <w:rFonts w:eastAsia="Times New Roman" w:cstheme="minorHAnsi"/>
          <w:szCs w:val="24"/>
        </w:rPr>
        <w:t>poprzez rozwój zielonych technologii oraz w wyniku transformacji do zielonej gospodarki (green economy).</w:t>
      </w:r>
    </w:p>
    <w:p w14:paraId="6E198C42" w14:textId="69EFC8C4" w:rsidR="009F1607" w:rsidRPr="00841EA4" w:rsidRDefault="009F1607" w:rsidP="009F1607">
      <w:pPr>
        <w:rPr>
          <w:rFonts w:eastAsia="Times New Roman" w:cstheme="minorHAnsi"/>
          <w:szCs w:val="24"/>
        </w:rPr>
      </w:pPr>
      <w:r w:rsidRPr="00841EA4">
        <w:rPr>
          <w:rFonts w:eastAsia="Times New Roman" w:cstheme="minorHAnsi"/>
          <w:color w:val="353838"/>
          <w:szCs w:val="24"/>
        </w:rPr>
        <w:t xml:space="preserve">W obszarze Priorytetu 2. </w:t>
      </w:r>
      <w:r w:rsidRPr="00841EA4">
        <w:rPr>
          <w:rFonts w:eastAsia="Times New Roman" w:cstheme="minorHAnsi"/>
          <w:b/>
          <w:bCs/>
          <w:i/>
          <w:iCs/>
          <w:color w:val="353838"/>
          <w:szCs w:val="24"/>
        </w:rPr>
        <w:t>FUNDUSZE EUROPEJSKIE NA RZECZ ZIELONEGO POMORZA ZACHODNIEGO</w:t>
      </w:r>
      <w:r w:rsidRPr="00841EA4">
        <w:rPr>
          <w:rFonts w:eastAsia="Times New Roman" w:cstheme="minorHAnsi"/>
          <w:bCs/>
          <w:iCs/>
          <w:color w:val="353838"/>
          <w:szCs w:val="24"/>
        </w:rPr>
        <w:t>,</w:t>
      </w:r>
      <w:r w:rsidRPr="00841EA4">
        <w:rPr>
          <w:rFonts w:eastAsia="Times New Roman" w:cstheme="minorHAnsi"/>
          <w:b/>
          <w:bCs/>
          <w:i/>
          <w:iCs/>
          <w:color w:val="353838"/>
          <w:szCs w:val="24"/>
        </w:rPr>
        <w:t xml:space="preserve"> </w:t>
      </w:r>
      <w:r w:rsidRPr="00841EA4">
        <w:rPr>
          <w:rFonts w:eastAsia="Times New Roman" w:cstheme="minorHAnsi"/>
          <w:szCs w:val="24"/>
        </w:rPr>
        <w:t xml:space="preserve">w wyniku realizacji zaplanowanych działań upatruje się głównie pozytywnego, długoterminowego oddziaływania na środowisko, w tym na różnorodność biologiczną, rośliny, zwierzęta, obszary chronione, w tym obszary Natura 2000. Realizacja przewidzianych działań w ramach celu szczegółowego </w:t>
      </w:r>
      <w:r w:rsidRPr="00841EA4">
        <w:rPr>
          <w:rFonts w:eastAsia="Times New Roman" w:cstheme="minorHAnsi"/>
          <w:i/>
          <w:szCs w:val="24"/>
        </w:rPr>
        <w:t>cs (i):</w:t>
      </w:r>
      <w:r w:rsidRPr="00841EA4">
        <w:rPr>
          <w:rFonts w:eastAsia="Times New Roman" w:cstheme="minorHAnsi"/>
          <w:szCs w:val="24"/>
        </w:rPr>
        <w:t xml:space="preserve"> Wspieranie</w:t>
      </w:r>
      <w:r w:rsidRPr="00841EA4">
        <w:rPr>
          <w:rFonts w:eastAsia="Times New Roman" w:cstheme="minorHAnsi"/>
          <w:i/>
          <w:szCs w:val="24"/>
        </w:rPr>
        <w:t xml:space="preserve"> efektywności energetycznej i redukcji emisji gazów cieplarnianych </w:t>
      </w:r>
      <w:r w:rsidRPr="00841EA4">
        <w:rPr>
          <w:rFonts w:eastAsia="Times New Roman" w:cstheme="minorHAnsi"/>
          <w:szCs w:val="24"/>
        </w:rPr>
        <w:t xml:space="preserve">oraz </w:t>
      </w:r>
      <w:r w:rsidRPr="00841EA4">
        <w:rPr>
          <w:rFonts w:eastAsia="Times New Roman" w:cstheme="minorHAnsi"/>
          <w:i/>
          <w:szCs w:val="24"/>
        </w:rPr>
        <w:t>cs (ii)</w:t>
      </w:r>
      <w:r>
        <w:rPr>
          <w:rFonts w:eastAsia="Times New Roman" w:cstheme="minorHAnsi"/>
          <w:i/>
          <w:szCs w:val="24"/>
        </w:rPr>
        <w:t>:</w:t>
      </w:r>
      <w:r w:rsidRPr="00841EA4">
        <w:rPr>
          <w:rFonts w:eastAsia="Times New Roman" w:cstheme="minorHAnsi"/>
          <w:i/>
          <w:szCs w:val="24"/>
        </w:rPr>
        <w:t xml:space="preserve"> Wspieranie energii odnawialnej zgodnie z dyrektywą (UE) 2018/2001, w tym z określonymi w niej kryteriami zrównoważonego rozwoju, </w:t>
      </w:r>
      <w:r w:rsidRPr="00841EA4">
        <w:rPr>
          <w:rFonts w:eastAsia="Times New Roman" w:cstheme="minorHAnsi"/>
          <w:szCs w:val="24"/>
        </w:rPr>
        <w:t xml:space="preserve">w perspektywie długoterminowej przyczyni się pośrednio do poprawy stanu środowiska, w tym zasobów przyrodniczych, w szczególności poprzez zmniejszenie emisji gazów cieplarnianych i poprawy jakości powietrza wskutek redukcji niskiej emisji, poprawę efektywności energetycznej i wzrost wykorzystania OZE. Ponadto pośredniego pozytywnego wpływu można upatrywać w wyniku realizacji projektów obejmujących </w:t>
      </w:r>
      <w:r w:rsidRPr="00841EA4">
        <w:rPr>
          <w:rFonts w:eastAsia="Times New Roman" w:cstheme="minorHAnsi"/>
          <w:color w:val="000000"/>
          <w:szCs w:val="24"/>
        </w:rPr>
        <w:t>promocję, doradztwo, podnoszenie świadomości i wiedzy mieszkanek i mieszkańców, przedsiębiorców i władz publicznych, m.in. w zakresie działań na rzecz niskoemisyjnej gospodarki o obiegu zamkniętym, w tym efektywności energetycznej i wykorzystania OZE, przyczyniając się do kształtowania proekologicznych postaw.</w:t>
      </w:r>
      <w:r w:rsidRPr="00841EA4">
        <w:rPr>
          <w:rFonts w:eastAsia="Times New Roman" w:cstheme="minorHAnsi"/>
          <w:szCs w:val="24"/>
        </w:rPr>
        <w:t xml:space="preserve"> Działania w ramach celu szczegółowego </w:t>
      </w:r>
      <w:r w:rsidRPr="00841EA4">
        <w:rPr>
          <w:rFonts w:eastAsia="Times New Roman" w:cstheme="minorHAnsi"/>
          <w:i/>
          <w:szCs w:val="24"/>
        </w:rPr>
        <w:t>cs (iv): Wspieranie przystosowania się do zmian klimatu i zapobiegania ryzyku związanemu z klęskami żywiołowymi i katastrofami, a także odporności, z uwzględnieniem podejścia ekosystemowego</w:t>
      </w:r>
      <w:r w:rsidRPr="00841EA4">
        <w:rPr>
          <w:rFonts w:eastAsia="Times New Roman" w:cstheme="minorHAnsi"/>
          <w:szCs w:val="24"/>
        </w:rPr>
        <w:t xml:space="preserve"> będą się wiązały z pozytywnym wpływem na zasoby przyrody, którego można upatrywać jako efekt </w:t>
      </w:r>
      <w:r w:rsidRPr="00841EA4">
        <w:rPr>
          <w:rFonts w:eastAsia="Calibri" w:cstheme="minorHAnsi"/>
          <w:szCs w:val="24"/>
        </w:rPr>
        <w:t xml:space="preserve">dostosowania do zmian klimatycznych z poszanowaniem środowiska, zwłaszcza ekosystemów wodnych oraz różnorodności biologicznej. </w:t>
      </w:r>
      <w:r w:rsidR="00154DC4" w:rsidRPr="00841EA4">
        <w:rPr>
          <w:rFonts w:eastAsia="Calibri" w:cstheme="minorHAnsi"/>
          <w:szCs w:val="24"/>
        </w:rPr>
        <w:t xml:space="preserve">. </w:t>
      </w:r>
      <w:r w:rsidR="00154DC4">
        <w:rPr>
          <w:rFonts w:eastAsia="Calibri" w:cstheme="minorHAnsi"/>
          <w:szCs w:val="24"/>
        </w:rPr>
        <w:t xml:space="preserve">Pozytywny wpływ będzie także następował poprzez </w:t>
      </w:r>
      <w:r w:rsidR="00154DC4" w:rsidRPr="00133AA3">
        <w:rPr>
          <w:rFonts w:eastAsia="Calibri" w:cstheme="minorHAnsi"/>
          <w:szCs w:val="24"/>
        </w:rPr>
        <w:t>wzmocnienie potencjałów przyrodniczych w przestrzeni miejskiej i pozamiejskiej</w:t>
      </w:r>
      <w:r w:rsidR="00154DC4">
        <w:rPr>
          <w:rFonts w:eastAsia="Calibri" w:cstheme="minorHAnsi"/>
          <w:szCs w:val="24"/>
        </w:rPr>
        <w:t>.</w:t>
      </w:r>
      <w:r w:rsidR="00154DC4" w:rsidRPr="00133AA3">
        <w:rPr>
          <w:rFonts w:eastAsia="Calibri" w:cstheme="minorHAnsi"/>
          <w:szCs w:val="24"/>
        </w:rPr>
        <w:t xml:space="preserve"> </w:t>
      </w:r>
      <w:r w:rsidRPr="00841EA4">
        <w:rPr>
          <w:rFonts w:eastAsia="Times New Roman" w:cstheme="minorHAnsi"/>
          <w:szCs w:val="24"/>
        </w:rPr>
        <w:t>Zielone przestrzenie miejskie ograniczą zanieczyszczenie powietrza, wody, fale upałów i susz oraz umożliwiają utrzymanie swego rodzaju więzi między człowiekiem a przyrodą.</w:t>
      </w:r>
      <w:r w:rsidR="00D4052B">
        <w:rPr>
          <w:rFonts w:eastAsia="Times New Roman" w:cstheme="minorHAnsi"/>
          <w:szCs w:val="24"/>
        </w:rPr>
        <w:t xml:space="preserve"> </w:t>
      </w:r>
      <w:r w:rsidRPr="00841EA4">
        <w:rPr>
          <w:rFonts w:eastAsia="Times New Roman" w:cstheme="minorHAnsi"/>
          <w:szCs w:val="24"/>
        </w:rPr>
        <w:t>Elementy odpowiednio zaprojektowanej i zagospodarowanej</w:t>
      </w:r>
      <w:r w:rsidR="00D4052B">
        <w:rPr>
          <w:rFonts w:eastAsia="Times New Roman" w:cstheme="minorHAnsi"/>
          <w:szCs w:val="24"/>
        </w:rPr>
        <w:t xml:space="preserve"> </w:t>
      </w:r>
      <w:r w:rsidRPr="00841EA4">
        <w:rPr>
          <w:rFonts w:eastAsia="Times New Roman" w:cstheme="minorHAnsi"/>
          <w:szCs w:val="24"/>
        </w:rPr>
        <w:t>błękitno-zielonej</w:t>
      </w:r>
      <w:r w:rsidR="00D4052B">
        <w:rPr>
          <w:rFonts w:eastAsia="Times New Roman" w:cstheme="minorHAnsi"/>
          <w:szCs w:val="24"/>
        </w:rPr>
        <w:t xml:space="preserve"> </w:t>
      </w:r>
      <w:r w:rsidRPr="00841EA4">
        <w:rPr>
          <w:rFonts w:eastAsia="Times New Roman" w:cstheme="minorHAnsi"/>
          <w:szCs w:val="24"/>
        </w:rPr>
        <w:t xml:space="preserve">infrastruktury regulują mikroklimat, pełnią funkcje retencyjne, ale przede wszystkim stanowią cenne siedliska fauny i flory. Pozytywnie na zasoby bioróżnorodności, szczególnie na terenach zurbanizowanych, wpłyną działania obejmujące gospodarowanie wodami opadowymi polegające na ich </w:t>
      </w:r>
      <w:r w:rsidRPr="00841EA4">
        <w:rPr>
          <w:rFonts w:eastAsia="Times New Roman" w:cstheme="minorHAnsi"/>
          <w:szCs w:val="24"/>
          <w:lang w:eastAsia="pl-PL" w:bidi="pl-PL"/>
        </w:rPr>
        <w:t>zatrzymaniu w miejscu ich opadu</w:t>
      </w:r>
      <w:r w:rsidRPr="00841EA4">
        <w:rPr>
          <w:rFonts w:eastAsia="Times New Roman" w:cstheme="minorHAnsi"/>
          <w:szCs w:val="24"/>
        </w:rPr>
        <w:t xml:space="preserve"> w formie np. ogrodów deszczowych, zielonych dachów, poprzez lokalne obniżenia z bioretencją, rozszczelnienie powierzchni nieprzepuszczalnych. Ponadto wspierane będą także działania zapobiegające utracie różnorodności biologicznej oraz mające na celu zachowanie spójności ekosystemów miejskich, np. poprzez zadrzewienia, parki kieszonkowe i parki miejskie, skwery. Inwestycje te w szczególności powinny być oparte na podejściu ekosystemowym, zapewniającym równowagę pomiędzy ochroną i trwałym użytkowaniem lokalnych zasobów przyrody. Ma to szczególne znaczenie, gdyż interakcje między zasobami różnorodności biologicznej a zmianami klimatu są obustronne, mianowicie skutki zmian klimatu odciskają piętno na systemach przyrodniczych, ich kondycji i trwałości, wpływają na zasoby bioróżnorodności, a także na funkcjonowanie całych ekosystemów. Z kolei systemy przyrodnicze, ich jakość, bogactwo, a w konsekwencji ich kondycja, w istotnym stopniu warunkuje pełnienie przez nie funkcji: zaopatrzeniowej, regulacyjnej, kulturowej i wspomagającej. Dodatkowo, w miastach, w których występuje koncentracja problemów i zagrożeń związanych ze zmianami klimatu oraz istnieje konieczność podjęcia planistycznych działań adaptacyjnych, możliwe będzie uzyskanie wsparcia w ramach Programu na przygotowanie miejskich planów adaptacji. W wyniku działań na rzecz ochrony i odtworzenia naturalnych lub seminaturalnych ekosystemów retencjonujących wodę (np. torfowiska, tereny podmokłe, stawy, starorzecza) w celu spowolnienia odpływu wody ze zlewni, niwelacji skutków suszy, kształtowania zasobów wodnych oraz ochrony środowiska, także można upatrywać pozytywnego wpływu na bioróżnorodność poprzez kreowanie nowych siedlisk, przywracanie naturalnych warunków siedliskowych. Pośredniego pozytywnego wpływu można upatrywać w efektach inicjatyw związanych z edukacją mieszkanek i mieszkańców poprzez wzrost ich świadomości ekologicznej, kształtowanie postaw i zachowań proekologicznych. Realizacja działań w ramach celu szczegółowego </w:t>
      </w:r>
      <w:r w:rsidRPr="00841EA4">
        <w:rPr>
          <w:rFonts w:eastAsia="Times New Roman" w:cstheme="minorHAnsi"/>
          <w:i/>
          <w:szCs w:val="24"/>
        </w:rPr>
        <w:t xml:space="preserve">cs (v): Wspieranie dostępu do wody oraz zrównoważonej gospodarki wodnej </w:t>
      </w:r>
      <w:r w:rsidRPr="00841EA4">
        <w:rPr>
          <w:rFonts w:eastAsia="Times New Roman" w:cstheme="minorHAnsi"/>
          <w:szCs w:val="24"/>
        </w:rPr>
        <w:t>(inwestycje w obszarze gospodarki wodno-ściekowej) obejmuje m.in projekty polegające na usuwaniu zanieczyszczeń spoczywających w korytach rzek/dolin zalewowych oraz na dnie jezior oraz w ich strefie brzegowej, a także inwestycje w rozwój infrastruktury kanalizacyjnej oraz oczyszczania ścieków komunalnych, co</w:t>
      </w:r>
      <w:r w:rsidRPr="00841EA4">
        <w:rPr>
          <w:rFonts w:eastAsia="Times New Roman" w:cstheme="minorHAnsi"/>
          <w:i/>
          <w:szCs w:val="24"/>
        </w:rPr>
        <w:t xml:space="preserve"> </w:t>
      </w:r>
      <w:r w:rsidRPr="00841EA4">
        <w:rPr>
          <w:rFonts w:eastAsia="Times New Roman" w:cstheme="minorHAnsi"/>
          <w:szCs w:val="24"/>
        </w:rPr>
        <w:t xml:space="preserve">będzie pozytywnie oddziaływać na zasoby bioróżnorodności, w szczególności siedliska wodne i wodozależne poprzez ograniczenie zanieczyszczenia wód. Działania planowane do realizacji w zakresie gospodarki wodno-ściekowej pozytywnie wpłyną na zachowanie naturalnych warunków hydrologicznych na terenach podmokłych, w dolinach rzek oraz w jeziorach. Ograniczenie zanieczyszczenia wód powierzchniowych biogenami pochodzenia rolniczego oraz rozwój sieci kanalizacyjnej i infrastruktury oczyszczalni ścieków przyczyni się do zachowania w jak najlepszym stanie siedlisk hydrogenicznych, a także ekosystemów rzek, jezior, Zalewu Szczecińskiego oraz Bałtyku. Pozytywne oddziaływanie na siedliska, a także gatunki związane ze strefą przybrzeżną oraz wodami Bałtyku można upatrywać w wyniku ograniczenia dopływu zanieczyszczeń do wód, a przez to poprawy ich jakości, co w znacznej mierze determinuje stan zachowania siedlisk i gatunków cennych, w tym chronionych. </w:t>
      </w:r>
    </w:p>
    <w:p w14:paraId="6526A56D" w14:textId="77777777" w:rsidR="009F1607" w:rsidRPr="00841EA4" w:rsidRDefault="009F1607" w:rsidP="009F1607">
      <w:pPr>
        <w:rPr>
          <w:rFonts w:eastAsia="Times New Roman" w:cstheme="minorHAnsi"/>
          <w:szCs w:val="24"/>
        </w:rPr>
      </w:pPr>
      <w:r w:rsidRPr="00841EA4">
        <w:rPr>
          <w:rFonts w:eastAsia="Times New Roman" w:cstheme="minorHAnsi"/>
          <w:szCs w:val="24"/>
        </w:rPr>
        <w:t xml:space="preserve">W związku z realizacją działań w ramach celu szczegółowego </w:t>
      </w:r>
      <w:r w:rsidRPr="00841EA4">
        <w:rPr>
          <w:rFonts w:eastAsia="Times New Roman" w:cstheme="minorHAnsi"/>
          <w:i/>
          <w:szCs w:val="24"/>
        </w:rPr>
        <w:t>cs (vi):</w:t>
      </w:r>
      <w:r w:rsidRPr="00841EA4">
        <w:rPr>
          <w:rFonts w:eastAsia="Times New Roman" w:cstheme="minorHAnsi"/>
          <w:szCs w:val="24"/>
        </w:rPr>
        <w:t xml:space="preserve"> </w:t>
      </w:r>
      <w:r w:rsidRPr="00841EA4">
        <w:rPr>
          <w:rFonts w:eastAsia="Times New Roman" w:cstheme="minorHAnsi"/>
          <w:i/>
          <w:szCs w:val="24"/>
        </w:rPr>
        <w:t>Wspieranie transformacji w kierunku gospodarki o obiegu zamkniętym i gospodarki zasobooszczędnej,</w:t>
      </w:r>
      <w:r w:rsidRPr="00841EA4">
        <w:rPr>
          <w:rFonts w:eastAsia="Times New Roman" w:cstheme="minorHAnsi"/>
          <w:szCs w:val="24"/>
        </w:rPr>
        <w:t xml:space="preserve"> pozytywnego wpływu można upatrywać jako efekt promowania rozwiązań zmierzających do strategii „zero waste” i strategii opartych o technologie przyjazne dla środowiska, jako efekt usprawnienia systemu przyjmowania i przetwarzania odpadów komunalnych i innych niż komunalne, ograniczając negatywny wpływ odpadów na zasoby przyrody. Pośrednich pozytywnych oddziaływań na środowisko, w tym na zasoby przyrodnicze można upatrywać także jako efekt kampanii edukacyjnych oraz systemu doradztwa, w kontekście wzrostu świadomości konsumentów, przedsiębiorców i podmiotów publicznych oraz zmianę ich postaw i modeli biznesowych na zgodne z GOZ.</w:t>
      </w:r>
    </w:p>
    <w:p w14:paraId="0155FFEE" w14:textId="28573E12" w:rsidR="009F1607" w:rsidRPr="00841EA4" w:rsidRDefault="009F1607" w:rsidP="00D41923">
      <w:pPr>
        <w:spacing w:before="60" w:after="60"/>
        <w:rPr>
          <w:rFonts w:cstheme="minorHAnsi"/>
          <w:szCs w:val="24"/>
        </w:rPr>
      </w:pPr>
      <w:r w:rsidRPr="00841EA4">
        <w:rPr>
          <w:rFonts w:eastAsia="Times New Roman" w:cstheme="minorHAnsi"/>
          <w:szCs w:val="24"/>
        </w:rPr>
        <w:t xml:space="preserve">Realną odpowiedź na potrzebę ochrony bioróżnorodności oraz wzmacnianie systemu obszarów chronionych stanowią projekty w ramach celu szczegółowego </w:t>
      </w:r>
      <w:r w:rsidRPr="00841EA4">
        <w:rPr>
          <w:rFonts w:eastAsia="Times New Roman" w:cstheme="minorHAnsi"/>
          <w:i/>
          <w:szCs w:val="24"/>
        </w:rPr>
        <w:t>cs (vii):</w:t>
      </w:r>
      <w:r w:rsidRPr="00841EA4">
        <w:rPr>
          <w:rFonts w:eastAsia="Times New Roman" w:cstheme="minorHAnsi"/>
          <w:szCs w:val="24"/>
        </w:rPr>
        <w:t xml:space="preserve"> </w:t>
      </w:r>
      <w:r w:rsidRPr="00841EA4">
        <w:rPr>
          <w:rFonts w:eastAsia="Times New Roman" w:cstheme="minorHAnsi"/>
          <w:i/>
          <w:szCs w:val="24"/>
        </w:rPr>
        <w:t xml:space="preserve">Wzmacnianie ochrony i zachowania przyrody, różnorodności biologicznej oraz zielonej infrastruktury, w tym na obszarach miejskich, oraz ograniczanie wszelkich rodzajów zanieczyszczenia. </w:t>
      </w:r>
      <w:r w:rsidRPr="00841EA4">
        <w:rPr>
          <w:rFonts w:eastAsia="Times New Roman" w:cstheme="minorHAnsi"/>
          <w:szCs w:val="24"/>
        </w:rPr>
        <w:t>Działania te mają na celu wzmocnienie ochrony przyrody i krajobrazu, zahamowanie spadku różnorodności biologicznej</w:t>
      </w:r>
      <w:r w:rsidR="00154DC4">
        <w:rPr>
          <w:rFonts w:eastAsia="Times New Roman" w:cstheme="minorHAnsi"/>
          <w:szCs w:val="24"/>
        </w:rPr>
        <w:t>.</w:t>
      </w:r>
      <w:r w:rsidRPr="00841EA4">
        <w:rPr>
          <w:rFonts w:eastAsia="Times New Roman" w:cstheme="minorHAnsi"/>
          <w:szCs w:val="24"/>
        </w:rPr>
        <w:t xml:space="preserve"> </w:t>
      </w:r>
      <w:r w:rsidR="00154DC4">
        <w:rPr>
          <w:rFonts w:eastAsia="Times New Roman" w:cstheme="minorHAnsi"/>
          <w:szCs w:val="24"/>
        </w:rPr>
        <w:t xml:space="preserve"> </w:t>
      </w:r>
      <w:r w:rsidRPr="00841EA4">
        <w:rPr>
          <w:rFonts w:eastAsia="Times New Roman" w:cstheme="minorHAnsi"/>
          <w:szCs w:val="24"/>
        </w:rPr>
        <w:t>W ramach tego procesu niezbędna jest kontynuacja działań dotyczących ochrony ekosystemów, różnorodności biologicznej, likwidacja zagrożenia dla rodzimych gatunków, a także zwiększenie świadomości ekologicznej społeczeństwa i zachęcanie do działań na rzecz ochrony środowiska naturalnego. Kluczowym zadaniem będzie zatrzymanie postępującej degradacji środowiska, zanikania siedlisk na skutek eutrofizacji lub wpływu zmian klimatu, pogarszania warunków hydrologicznych czy ekspansji gatunków obcych. Ważnym elementem będzie zarządzanie środowiskowe, mające odzwierciedlenie w dokumentach planistycznych, co zwiększy dbałość o obszary chronione i ich integralność, dając możliwość lepszego zaplanowania działań w kierunku obniżania niekorzystnego oddziaływania na środowisko i obszary cenne przyrodniczo. Planowane do realizacji typy projektów obejmujące: ochronę siedlisk i gatunków (ochrona in-situ, ex-situ) oraz ochronę dziedzictwa przyrodniczego i jego zasobów, budowę lub przebudowę azyli dla zwierząt, opracowanie dokumentacji planistycznej dla obszarów chronionych oraz inwentaryzacja zasobów przyrodniczych i krajobrazowych, ograniczenie skutków antropopresji na tereny chronione i cenne przyrodniczo, wsparcie ośrodków edukacji ekologicznej oraz działania edukacyjne, rekultywacja terenów zdegradowanych, w tym nielegalnych składowisk odpadów oraz remediacja (w tym dekontaminacja) terenów zanieczyszczonych z potencjalnym przeznaczeniem na cele przyrodnicze oraz do rozwoju nowych terenów zielonych i zielonej infrastruktury, w sposób bezpośredni jak i pośredni pozytywnie wpłyną na zasoby bioróżnorodności, obszary chronione, w tym obszary Natura 2000, oraz ich integralność. W ramach wsparcia przewiduje się opracowanie lub aktualizację dokumentów planistycznych dla obszarów chronionych – parków krajobrazowych oraz projekty dotyczące sporządzenia lub aktualizacji inwentaryzacji przyrodniczej i krajobrazowej</w:t>
      </w:r>
      <w:r w:rsidRPr="00841EA4">
        <w:rPr>
          <w:rFonts w:eastAsia="Times New Roman" w:cstheme="minorHAnsi"/>
          <w:szCs w:val="24"/>
          <w:vertAlign w:val="superscript"/>
        </w:rPr>
        <w:footnoteReference w:id="6"/>
      </w:r>
      <w:r w:rsidRPr="00841EA4">
        <w:rPr>
          <w:rFonts w:eastAsia="Times New Roman" w:cstheme="minorHAnsi"/>
          <w:szCs w:val="24"/>
        </w:rPr>
        <w:t>. Efektem podjętych działań będzie poprawa efektywności zarządzania obszarami o szczególnych walorach przyrodniczych. Ponadto wdrażanie zapisów dokumentów planistycznych dla obszarów chronionych, w szczególności dla parków krajobrazowych i rezerwatów przyrody, obejmie działania w zakresie ochrony, odtwarzania lub przywracania właściwego stanu siedlisk przyrodniczych i populacji zagrożonych gatunków, ze szczególnym uwzględnieniem obszarów wodno-błotnych jako tych najbardziej zagrożonych</w:t>
      </w:r>
      <w:r w:rsidRPr="00841EA4">
        <w:rPr>
          <w:rFonts w:eastAsia="Times New Roman" w:cstheme="minorHAnsi"/>
          <w:szCs w:val="24"/>
          <w:vertAlign w:val="superscript"/>
        </w:rPr>
        <w:footnoteReference w:id="7"/>
      </w:r>
      <w:r w:rsidRPr="00841EA4">
        <w:rPr>
          <w:rFonts w:eastAsia="Times New Roman" w:cstheme="minorHAnsi"/>
          <w:szCs w:val="24"/>
        </w:rPr>
        <w:t xml:space="preserve">. </w:t>
      </w:r>
    </w:p>
    <w:p w14:paraId="5B4808BA" w14:textId="77777777" w:rsidR="009F1607" w:rsidRPr="00841EA4" w:rsidRDefault="009F1607" w:rsidP="009F1607">
      <w:pPr>
        <w:spacing w:before="60" w:after="60"/>
        <w:rPr>
          <w:rFonts w:eastAsia="Times New Roman" w:cstheme="minorHAnsi"/>
          <w:szCs w:val="24"/>
        </w:rPr>
      </w:pPr>
      <w:r w:rsidRPr="00841EA4">
        <w:rPr>
          <w:rFonts w:eastAsia="Times New Roman" w:cstheme="minorHAnsi"/>
          <w:szCs w:val="24"/>
        </w:rPr>
        <w:t xml:space="preserve">Planowane działania edukacyjne w ramach analizowanego Priorytetu 2 przyczynią się do wzrostu świadomości ekologicznej mieszkanek i mieszkańców w zakresie ochrony przyrody, dziedzictwa przyrodniczego, wpływu zmian klimatycznych na różnorodność biologiczną oraz do promowania postaw proekologicznych. W kontekście długoterminowym realizacja ww. projektów przyczyni się do ochrony ekosystemów, różnorodności biologicznej, ograniczenia zagrożenia dla rodzimych gatunków, wzmacniania systemu ochrony przyrody i jego spójności, a także zwiększenia świadomości ekologicznej społeczeństwa i zachęcania do działań na rzecz ochrony środowiska naturalnego. </w:t>
      </w:r>
    </w:p>
    <w:p w14:paraId="7583BB68" w14:textId="55C92485" w:rsidR="009F1607" w:rsidRPr="00841EA4" w:rsidRDefault="009F1607" w:rsidP="009F1607">
      <w:pPr>
        <w:rPr>
          <w:rFonts w:eastAsia="Times New Roman" w:cstheme="minorHAnsi"/>
          <w:szCs w:val="24"/>
        </w:rPr>
      </w:pPr>
      <w:r w:rsidRPr="00841EA4">
        <w:rPr>
          <w:rFonts w:eastAsia="Times New Roman" w:cstheme="minorHAnsi"/>
          <w:szCs w:val="24"/>
        </w:rPr>
        <w:t>Potencjalnego negatywnego oddziaływania można oczekiwać w związku z realizacją prac obejmujących: modernizację energetyczną budynków, budowę/rozbudowę/modernizację systemów ciepłowniczych i chłodniczych (sieci) (</w:t>
      </w:r>
      <w:bookmarkStart w:id="15" w:name="_Toc100212912"/>
      <w:r w:rsidRPr="00841EA4">
        <w:rPr>
          <w:rFonts w:eastAsia="Times New Roman" w:cstheme="minorHAnsi"/>
          <w:i/>
          <w:szCs w:val="24"/>
        </w:rPr>
        <w:t>cs (i): Wspieranie efektywności energetycznej i redukcji emisji gazów cieplarnianych</w:t>
      </w:r>
      <w:bookmarkEnd w:id="15"/>
      <w:r w:rsidRPr="00841EA4">
        <w:rPr>
          <w:rFonts w:eastAsia="Times New Roman" w:cstheme="minorHAnsi"/>
          <w:i/>
          <w:szCs w:val="24"/>
        </w:rPr>
        <w:t xml:space="preserve">); </w:t>
      </w:r>
      <w:r w:rsidRPr="00841EA4">
        <w:rPr>
          <w:rFonts w:eastAsia="Times New Roman" w:cstheme="minorHAnsi"/>
          <w:szCs w:val="24"/>
        </w:rPr>
        <w:t>budowę i rozbudowę odnawialnych źródeł energii w zakresie wytwarzania energii elektrycznej i cieplnej wraz z ewentualnymi magazynami energii (</w:t>
      </w:r>
      <w:r w:rsidRPr="00841EA4">
        <w:rPr>
          <w:rFonts w:eastAsia="Times New Roman" w:cstheme="minorHAnsi"/>
          <w:i/>
          <w:szCs w:val="24"/>
        </w:rPr>
        <w:t>cs (ii): Wspieranie energii odnawialnej zgodnie z dyrektywą (UE) 2018/2001, w tym określonymi w niej kryteriami zrównoważonego rozwoju</w:t>
      </w:r>
      <w:r w:rsidRPr="00841EA4">
        <w:rPr>
          <w:rFonts w:eastAsia="Times New Roman" w:cstheme="minorHAnsi"/>
          <w:szCs w:val="24"/>
        </w:rPr>
        <w:t>); inwestycje związane z małą retencją wodną, budowę lub przebudowę kanalizacji deszczowej (</w:t>
      </w:r>
      <w:r w:rsidRPr="00841EA4">
        <w:rPr>
          <w:rFonts w:eastAsia="Times New Roman" w:cstheme="minorHAnsi"/>
          <w:i/>
          <w:szCs w:val="24"/>
        </w:rPr>
        <w:t>cs (iv): Wspieranie przystosowania się do zmian klimatu i zapobiegania ryzyku związanemu z klęskami żywiołowymi i katastrofami, a także odporności, z uwzględnieniem podejścia ekosystemowego</w:t>
      </w:r>
      <w:r w:rsidRPr="00841EA4">
        <w:rPr>
          <w:rFonts w:eastAsia="Times New Roman" w:cstheme="minorHAnsi"/>
          <w:i/>
          <w:szCs w:val="24"/>
          <w:vertAlign w:val="superscript"/>
        </w:rPr>
        <w:footnoteReference w:id="8"/>
      </w:r>
      <w:r w:rsidRPr="00841EA4">
        <w:rPr>
          <w:rFonts w:eastAsia="Times New Roman" w:cstheme="minorHAnsi"/>
          <w:szCs w:val="24"/>
        </w:rPr>
        <w:t>); rozwój infrastruktury kanalizacyjnej oraz oczyszczania ścieków komunalnych, inwestycje w celu zagospodarowania osadów ściekowych z oczyszczalni ścieków komunalnych, rozwój systemów ujęć, uzdatniania, zaopatrzenia, dostawy i magazynowania wody (budowa, modernizacja, rozbudowa sieci wodociągowej oraz stacje uzdatniania wody), budowę i modernizację infrastruktury niezbędnej do ujmowania, uzdatniania, magazynowania i dystrybucji wody do spożycia (</w:t>
      </w:r>
      <w:r w:rsidRPr="00841EA4">
        <w:rPr>
          <w:rFonts w:eastAsia="Times New Roman" w:cstheme="minorHAnsi"/>
          <w:i/>
          <w:szCs w:val="24"/>
        </w:rPr>
        <w:t xml:space="preserve">cs (v): </w:t>
      </w:r>
      <w:r w:rsidRPr="00841EA4">
        <w:rPr>
          <w:rFonts w:eastAsia="Calibri" w:cstheme="minorHAnsi"/>
          <w:i/>
          <w:szCs w:val="24"/>
        </w:rPr>
        <w:t>Wspieranie dostępu do wody oraz zrównoważonej gospodarki wodnej</w:t>
      </w:r>
      <w:r w:rsidRPr="00841EA4">
        <w:rPr>
          <w:rFonts w:eastAsia="Calibri" w:cstheme="minorHAnsi"/>
          <w:szCs w:val="24"/>
        </w:rPr>
        <w:t>); budowę, przebudowę i remont oraz wyposażenie infrastruktury związanej z selektywnym zbieraniem odpadów oraz ich zagospodarowaniem (</w:t>
      </w:r>
      <w:r w:rsidRPr="00841EA4">
        <w:rPr>
          <w:rFonts w:eastAsia="Calibri" w:cstheme="minorHAnsi"/>
          <w:i/>
          <w:szCs w:val="24"/>
        </w:rPr>
        <w:t xml:space="preserve">cs </w:t>
      </w:r>
      <w:r w:rsidRPr="00841EA4">
        <w:rPr>
          <w:rFonts w:eastAsia="Times New Roman" w:cstheme="minorHAnsi"/>
          <w:i/>
          <w:szCs w:val="24"/>
        </w:rPr>
        <w:t>(vi) Wspieranie transformacji w kierunku gospodarki o obiegu zamkniętym i gospodarki zasobooszczędnej</w:t>
      </w:r>
      <w:r w:rsidRPr="00841EA4">
        <w:rPr>
          <w:rFonts w:eastAsia="Calibri" w:cstheme="minorHAnsi"/>
          <w:szCs w:val="24"/>
        </w:rPr>
        <w:t xml:space="preserve">); </w:t>
      </w:r>
      <w:r w:rsidRPr="00841EA4">
        <w:rPr>
          <w:rFonts w:eastAsia="Times New Roman" w:cstheme="minorHAnsi"/>
          <w:szCs w:val="24"/>
        </w:rPr>
        <w:t>budowę lub przebudowę azyli dla zwierząt egzotycznych, inwestycje służące ochronie przyrody i turystyce (</w:t>
      </w:r>
      <w:r w:rsidRPr="00841EA4">
        <w:rPr>
          <w:rFonts w:eastAsia="Times New Roman" w:cstheme="minorHAnsi"/>
          <w:i/>
          <w:szCs w:val="24"/>
        </w:rPr>
        <w:t>cs vii): Wzmacnianie ochrony i zachowania przyrody, różnorodności biologicznej oraz zielonej infrastruktury, w tym na obszarach miejskich, oraz ograniczanie wszelkich rodzajów zanieczyszczenia</w:t>
      </w:r>
      <w:r w:rsidRPr="00841EA4">
        <w:rPr>
          <w:rFonts w:eastAsia="Times New Roman" w:cstheme="minorHAnsi"/>
          <w:szCs w:val="24"/>
        </w:rPr>
        <w:t>) oraz w związku z prowadzonymi pracami rekultywacyjnymi i remediacyjnymi (</w:t>
      </w:r>
      <w:r w:rsidRPr="00841EA4">
        <w:rPr>
          <w:rFonts w:eastAsia="Times New Roman" w:cstheme="minorHAnsi"/>
          <w:i/>
          <w:szCs w:val="24"/>
        </w:rPr>
        <w:t>cs (vii): Wzmacnianie ochrony i zachowania przyrody, różnorodności biologicznej oraz zielonej infrastruktury, w tym na obszarach miejskich, oraz ograniczanie wszelkich rodzajów zanieczyszczenia</w:t>
      </w:r>
      <w:r w:rsidRPr="00841EA4">
        <w:rPr>
          <w:rFonts w:eastAsia="Times New Roman" w:cstheme="minorHAnsi"/>
          <w:szCs w:val="24"/>
        </w:rPr>
        <w:t>)</w:t>
      </w:r>
      <w:r w:rsidRPr="00841EA4">
        <w:rPr>
          <w:rFonts w:eastAsia="Times New Roman" w:cstheme="minorHAnsi"/>
          <w:i/>
          <w:szCs w:val="24"/>
        </w:rPr>
        <w:t>.</w:t>
      </w:r>
      <w:r w:rsidRPr="00841EA4">
        <w:rPr>
          <w:rFonts w:eastAsia="Calibri" w:cstheme="minorHAnsi"/>
          <w:szCs w:val="24"/>
        </w:rPr>
        <w:t xml:space="preserve"> Jednak o</w:t>
      </w:r>
      <w:r w:rsidRPr="00841EA4">
        <w:rPr>
          <w:rFonts w:eastAsia="Times New Roman" w:cstheme="minorHAnsi"/>
          <w:szCs w:val="24"/>
        </w:rPr>
        <w:t>ddziaływania te będą miały głównie charakter lokalny i krótkoterminowy, wynikać będą z prowadzonych prac budowlanych na etapie realizacji inwestycji (emisja zanieczyszczeń, hałas, płoszenie i zwiększona śmiertelność zwierząt, zniszczenie wierzchniej warstwy gleby, wycinka drzew i krzewów, składowanie materiałów budowlanych i generowanie odpadów w związku z prowadzonymi pracami).</w:t>
      </w:r>
      <w:r w:rsidR="00D4052B">
        <w:rPr>
          <w:rFonts w:eastAsia="Times New Roman" w:cstheme="minorHAnsi"/>
          <w:szCs w:val="24"/>
        </w:rPr>
        <w:t xml:space="preserve"> </w:t>
      </w:r>
      <w:r w:rsidRPr="00841EA4">
        <w:rPr>
          <w:rFonts w:eastAsia="Times New Roman" w:cstheme="minorHAnsi"/>
          <w:szCs w:val="24"/>
        </w:rPr>
        <w:t xml:space="preserve">Należy także zaznaczyć, iż działania obejmujące termomodernizacje oraz instalacje urządzeń OZE mogą potencjalnie stanowić zagrożenie dla chronionych gatunków ptaków i nietoperzy. Dlatego podczas realizacji tego typu prac szczególną uwagę należy zwrócić na występowanie miejsc lęgowych ptaków: jerzyków zwyczajnych oraz wróbli, a także na występowanie nietoperzy. W wyniku realizacji zadań w ramach celu szczegółowego </w:t>
      </w:r>
      <w:r w:rsidRPr="00841EA4">
        <w:rPr>
          <w:rFonts w:eastAsia="Times New Roman" w:cstheme="minorHAnsi"/>
          <w:i/>
          <w:szCs w:val="24"/>
        </w:rPr>
        <w:t xml:space="preserve">cs (v): </w:t>
      </w:r>
      <w:r w:rsidRPr="00841EA4">
        <w:rPr>
          <w:rFonts w:eastAsia="Calibri" w:cstheme="minorHAnsi"/>
          <w:i/>
          <w:szCs w:val="24"/>
        </w:rPr>
        <w:t xml:space="preserve">Wspieranie dostępu do wody oraz zrównoważonej gospodarki wodnej </w:t>
      </w:r>
      <w:r w:rsidRPr="00841EA4">
        <w:rPr>
          <w:rFonts w:eastAsia="Calibri" w:cstheme="minorHAnsi"/>
          <w:szCs w:val="24"/>
        </w:rPr>
        <w:t>jako potencjalne oddziaływanie długoterminowe można wskazać zajęcie areału pod inwestycje oraz zniszczenie/przeobrażenia siedlisk przyrodniczych, jednak stosowanie dobrych praktyk w zakresie ochrony środowiska podczas realizacji inwestycji oraz ograniczenie zajęcia terenu pod inwestycję, przyczynią się do minimalizacji lub zniwelowania potencjalnych negatywnych oddziaływań.</w:t>
      </w:r>
    </w:p>
    <w:p w14:paraId="59B98967" w14:textId="77777777" w:rsidR="009F1607" w:rsidRPr="00841EA4" w:rsidRDefault="009F1607" w:rsidP="009F1607">
      <w:pPr>
        <w:rPr>
          <w:rFonts w:eastAsia="Times New Roman" w:cstheme="minorHAnsi"/>
          <w:noProof/>
          <w:szCs w:val="24"/>
        </w:rPr>
      </w:pPr>
      <w:r w:rsidRPr="00841EA4">
        <w:rPr>
          <w:rFonts w:eastAsia="Times New Roman" w:cstheme="minorHAnsi"/>
          <w:szCs w:val="24"/>
        </w:rPr>
        <w:t xml:space="preserve">Realizacja działań w ramach Priorytetu 3. </w:t>
      </w:r>
      <w:r w:rsidRPr="00841EA4">
        <w:rPr>
          <w:rFonts w:eastAsia="Times New Roman" w:cstheme="minorHAnsi"/>
          <w:b/>
          <w:i/>
          <w:szCs w:val="24"/>
        </w:rPr>
        <w:t xml:space="preserve">FUNDUSZE EUROPEJSKIE NA RZECZ MOBILNEGO POMORZA ZACHODNIEGO </w:t>
      </w:r>
      <w:r w:rsidRPr="00841EA4">
        <w:rPr>
          <w:rFonts w:eastAsia="Times New Roman" w:cstheme="minorHAnsi"/>
          <w:szCs w:val="24"/>
        </w:rPr>
        <w:t>w ramach celu szczegółowego</w:t>
      </w:r>
      <w:r w:rsidRPr="00841EA4">
        <w:rPr>
          <w:rFonts w:eastAsia="Times New Roman" w:cstheme="minorHAnsi"/>
          <w:i/>
          <w:szCs w:val="24"/>
        </w:rPr>
        <w:t xml:space="preserve"> cs (viii): Wspieranie zrównoważonej multimodalnej mobilności miejskiej jako elementu transformacji w kierunku gospodarki zeroemisyjnej </w:t>
      </w:r>
      <w:r w:rsidRPr="00841EA4">
        <w:rPr>
          <w:rFonts w:eastAsia="Times New Roman" w:cstheme="minorHAnsi"/>
          <w:szCs w:val="24"/>
        </w:rPr>
        <w:t xml:space="preserve">w ujęciu długoterminowym przyczyni się do poprawy jakości środowiska, w tym zasobów przyrodniczych, w kontekście redukcji hałasu i emisji zanieczyszczeń do wód, gleby i powietrza, m.in. poprzez rozwój zrównoważonego publicznego transportu zbiorowego oraz bezemisyjnej mobilności w miastach i na ich obszarach funkcjonalnych, a także wdrażanie w miastach inteligentnych i pilotażowych rozwiązań technologicznych oraz innowacji społecznych, w tym </w:t>
      </w:r>
      <w:r w:rsidRPr="00841EA4">
        <w:rPr>
          <w:rFonts w:eastAsia="Times New Roman" w:cstheme="minorHAnsi"/>
          <w:noProof/>
          <w:szCs w:val="24"/>
        </w:rPr>
        <w:t>centra przesiadkowe</w:t>
      </w:r>
      <w:r w:rsidRPr="00841EA4">
        <w:rPr>
          <w:rFonts w:eastAsia="Times New Roman" w:cstheme="minorHAnsi"/>
          <w:szCs w:val="24"/>
        </w:rPr>
        <w:t xml:space="preserve">, </w:t>
      </w:r>
      <w:r w:rsidRPr="00841EA4">
        <w:rPr>
          <w:rFonts w:eastAsia="Times New Roman" w:cstheme="minorHAnsi"/>
          <w:noProof/>
          <w:szCs w:val="24"/>
        </w:rPr>
        <w:t xml:space="preserve">obiekty P&amp;R położone na obrzeżach miast i zintegrowane z transportem publicznym, niskoemisyjny i zeroemisyjny tabor publicznego transportu zbiorowego, </w:t>
      </w:r>
      <w:r w:rsidRPr="00841EA4">
        <w:rPr>
          <w:rFonts w:eastAsia="Times New Roman" w:cstheme="minorHAnsi"/>
          <w:szCs w:val="24"/>
        </w:rPr>
        <w:t>infrastruktura dla ruchu pieszego, drogi rowerowe, ciągi pieszo-rowerowe</w:t>
      </w:r>
      <w:r w:rsidRPr="00841EA4">
        <w:rPr>
          <w:rFonts w:eastAsia="Times New Roman" w:cstheme="minorHAnsi"/>
          <w:noProof/>
          <w:szCs w:val="24"/>
        </w:rPr>
        <w:t xml:space="preserve"> oraz obiekty Bike &amp; Ride, inwestycje w infrastrukturę drogową transportu publicznego, infrastruktura ładowania i tankowania pojazdów zeroemisyjnych, inwestycje (budowa, rozbudowa, modernizacja) związane z systemami zarządzania ruchem i energią (ITS). </w:t>
      </w:r>
      <w:r w:rsidRPr="00841EA4">
        <w:rPr>
          <w:rFonts w:eastAsia="Times New Roman" w:cstheme="minorHAnsi"/>
          <w:szCs w:val="24"/>
        </w:rPr>
        <w:t xml:space="preserve">Potencjalnego negatywnego oddziaływania na bioróżnorodność można upatrywać w związku z realizacją inwestycji obejmujących centra przesiadkowe, </w:t>
      </w:r>
      <w:r w:rsidRPr="00841EA4">
        <w:rPr>
          <w:rFonts w:eastAsia="Times New Roman" w:cstheme="minorHAnsi"/>
          <w:noProof/>
          <w:szCs w:val="24"/>
        </w:rPr>
        <w:t>obiekty P&amp;R, infrastrukturę dla ruchu pieszego, budowę dróg rowerowych i pieszo-rowerowych, infrastrukturę drogową transportu publicznego np. buspasy, przebudowa skrzyżowań, infrastruktura drogowa przy pętlach autobusowych, stacjach kolejowych lub obiektach P&amp;R, B&amp;R, wraz z odcinkami dróg łączących je bezpośrednio z drogami miejskimi, budowę/przebudowę kanalizacji teletechnicznej, wyposażenie dróg i ulic w niezbędne obiekty i urządzenia drogowe służące bezpieczeństwu ruchu pojazdów transportu publicznego, infrastrukturę ładowania i tankowania pojazdów zeroemisyjnych, inwestycje (budowa, rozbudowa, modernizacja) związane z systemami zarządzania ruchem i energią (ITS)</w:t>
      </w:r>
      <w:r w:rsidRPr="00841EA4">
        <w:rPr>
          <w:rFonts w:eastAsia="Times New Roman" w:cstheme="minorHAnsi"/>
          <w:szCs w:val="24"/>
        </w:rPr>
        <w:t xml:space="preserve">. Negatywne oddziaływanie może wynikać z zajęcia areału siedliska pod infrastrukturę drogową, ścieżki rowerowe, przeobrażenia/zniszczenia siedlisk przyrodniczych, potencjalnej wycinki drzew i krzewów, przemieszczania dużych ilości mas ziemnych, wykopów, składowania materiałów budowlanych, zwiększonej emisji zanieczyszczeń, hałasu, zanieczyszczenia światłem oraz płoszenie zwierząt i wzrostem ich śmiertelności, zmiany stosunków wodnych. Należy jednak zaznaczyć, iż inwestycje te w dużej mierze będą prowadzone na obszarach zurbanizowanych, systemowo rozwiązując problemy związane z zatłoczeniem obszarów miejskich oraz zanieczyszczeniem generowanym przez transport indywidualny. Działania w kierunku zrównoważonej mobilności miejskiej w kontekście długoterminowym będą pozytywnie oddziaływać na bioróżnorodność poprzez poprawę jakości środowiska, w tym zasobów przyrodniczych, a także w kontekście redukcji hałasu i emisji zanieczyszczeń do wód, gleby i powietrza. </w:t>
      </w:r>
      <w:r w:rsidRPr="00841EA4">
        <w:rPr>
          <w:rFonts w:eastAsia="Times New Roman" w:cstheme="minorHAnsi"/>
          <w:noProof/>
          <w:szCs w:val="24"/>
        </w:rPr>
        <w:t>Ekologiczny transport miejski i zrównoważona mobilność miejska będzie prowadzić do poprawy jakości życia mieszkanek i mieszkańców województwa, zarówno poprzez dostosowanie transportu do lokalnych potrzeb, jak i do poprawy środowiska naturalnego, w tym także zasobów przyrody.</w:t>
      </w:r>
    </w:p>
    <w:p w14:paraId="3DD921BD" w14:textId="77777777" w:rsidR="009F1607" w:rsidRPr="00841EA4" w:rsidRDefault="009F1607" w:rsidP="009F1607">
      <w:pPr>
        <w:rPr>
          <w:rFonts w:eastAsia="Times New Roman" w:cstheme="minorHAnsi"/>
          <w:noProof/>
          <w:szCs w:val="24"/>
        </w:rPr>
      </w:pPr>
      <w:r w:rsidRPr="00841EA4">
        <w:rPr>
          <w:rFonts w:eastAsia="Times New Roman" w:cstheme="minorHAnsi"/>
          <w:szCs w:val="24"/>
        </w:rPr>
        <w:t xml:space="preserve">W ramach Priorytetu 4. </w:t>
      </w:r>
      <w:r w:rsidRPr="00841EA4">
        <w:rPr>
          <w:rFonts w:eastAsia="Times New Roman" w:cstheme="minorHAnsi"/>
          <w:b/>
          <w:i/>
          <w:szCs w:val="24"/>
        </w:rPr>
        <w:t>FUNDUSZE EUROPEJSKIE NA RZECZ POŁĄCZONEGO POMORZA ZACHODNIEGO</w:t>
      </w:r>
      <w:r w:rsidRPr="00841EA4">
        <w:rPr>
          <w:rFonts w:eastAsia="Times New Roman" w:cstheme="minorHAnsi"/>
          <w:szCs w:val="24"/>
        </w:rPr>
        <w:t>, wg celu szczegółowego</w:t>
      </w:r>
      <w:r w:rsidRPr="00841EA4">
        <w:rPr>
          <w:rFonts w:eastAsia="Times New Roman" w:cstheme="minorHAnsi"/>
          <w:b/>
          <w:i/>
          <w:szCs w:val="24"/>
        </w:rPr>
        <w:t xml:space="preserve"> </w:t>
      </w:r>
      <w:r w:rsidRPr="00841EA4">
        <w:rPr>
          <w:rFonts w:eastAsia="Times New Roman" w:cstheme="minorHAnsi"/>
          <w:i/>
          <w:szCs w:val="24"/>
        </w:rPr>
        <w:t>cs (ii</w:t>
      </w:r>
      <w:r w:rsidRPr="00841EA4">
        <w:rPr>
          <w:rFonts w:eastAsia="Times New Roman" w:cstheme="minorHAnsi"/>
          <w:szCs w:val="24"/>
        </w:rPr>
        <w:t xml:space="preserve">): </w:t>
      </w:r>
      <w:r w:rsidRPr="00841EA4">
        <w:rPr>
          <w:rFonts w:eastAsia="Times New Roman" w:cstheme="minorHAnsi"/>
          <w:i/>
          <w:szCs w:val="24"/>
        </w:rPr>
        <w:t xml:space="preserve">Rozwój i udoskonalanie zrównoważonej, odpornej na zmiany klimatu, inteligentnej i intermodalnej mobilności na poziomie krajowym, regionalnym i lokalnym, w tym poprawę dostępu do TEN-T oraz mobilności transgranicznej </w:t>
      </w:r>
      <w:r w:rsidRPr="00841EA4">
        <w:rPr>
          <w:rFonts w:eastAsia="Times New Roman" w:cstheme="minorHAnsi"/>
          <w:szCs w:val="24"/>
        </w:rPr>
        <w:t xml:space="preserve">przewiduje się realizację działań obejmujących </w:t>
      </w:r>
      <w:r w:rsidRPr="00841EA4">
        <w:rPr>
          <w:rFonts w:eastAsia="Times New Roman" w:cstheme="minorHAnsi"/>
          <w:noProof/>
          <w:szCs w:val="24"/>
        </w:rPr>
        <w:t>zmianę przebiegu dróg wojewódzkich poprzez realizację obwodnic (w celu wyprowadzenia ruchu z centrów – szczególnie w odniesieniu do miejscowości, przez które wiodą szlaki obsługujące ruch ciężki), budowę lub modernizację dróg gminnych i powiatowych</w:t>
      </w:r>
      <w:r w:rsidRPr="00841EA4">
        <w:rPr>
          <w:rFonts w:eastAsia="Times New Roman" w:cstheme="minorHAnsi"/>
          <w:noProof/>
          <w:szCs w:val="24"/>
          <w:vertAlign w:val="superscript"/>
        </w:rPr>
        <w:footnoteReference w:id="9"/>
      </w:r>
      <w:r w:rsidRPr="00841EA4">
        <w:rPr>
          <w:rFonts w:eastAsia="Times New Roman" w:cstheme="minorHAnsi"/>
          <w:noProof/>
          <w:szCs w:val="24"/>
        </w:rPr>
        <w:t>, projekty drogowe mające na celu skomunikowanie istniejących i powstających terenów inwestycyjnych ze szkieletem transportowym, w tym z obszarami wykluczonymi transportowo oraz zapewnienie dostępu do innych gałęzi zrównoważonego transportu. Planowane do realizacji projekty będą się koncentrowały na zapewnieniu dostępności transportowej najbardziej wykluczonych transportowo obszarów województwa, w tym również obszarów pozbawionych dogodnego dostępu do transportu publicznego. Z zastrzeżeniem obwodnic i obiektów P+R, inwestycje drogowe realizowane na obszarach miast nie będą obejmowały budowy nowych dróg lub parkingów ani zwiększenia pojemności lub przepustowości istniejących dróg lub parkingów i nie będą przyczyniały się do zwiększenia natężenia ruchu samochodowego w obszarach miejskich. Ponadto tam, gdzie jest to technicznie możliwe, realizowane projekty w zakresie infrastruktury drogowej będą obejmowały zapewnienie retencji i podczyszczania wód opadowych poprzez wykorzystanie zielonej i niebieskiej infrastruktury oraz rozwiązań opartych na przyrodzie, w czym można upatrywać pozytywnego wpływu na zasoby bioróżnorodności. W ramach Programu planowana jest także budowa i modernizacja infrastruktury dla ruchu niezmotoryzowanego, w tym drogi rowerowe oraz ciągi pieszo-rowerowe.</w:t>
      </w:r>
    </w:p>
    <w:p w14:paraId="4DF02A06" w14:textId="54FB4C25" w:rsidR="009F1607" w:rsidRPr="00841EA4" w:rsidRDefault="009F1607" w:rsidP="009F1607">
      <w:pPr>
        <w:rPr>
          <w:rFonts w:eastAsia="Times New Roman" w:cstheme="minorHAnsi"/>
          <w:szCs w:val="24"/>
        </w:rPr>
      </w:pPr>
      <w:r w:rsidRPr="00841EA4">
        <w:rPr>
          <w:rFonts w:eastAsia="Times New Roman" w:cstheme="minorHAnsi"/>
          <w:szCs w:val="24"/>
        </w:rPr>
        <w:t>Potencjalne negatywne odziaływanie na bioróżnorodność roślin i zwierząt, a także ich siedliska może nastąpić głównie w fazie realizacji inwestycji i może wiązać się z zajęciem areału siedliska pod pas drogowy lub inną infrastrukturę transportową, wycinką drzew i krzewów, zniszczeniem lub przeobrażeniem siedlisk przyrodniczych, wykopami przemieszczaniem dużych ilości mas ziemnych, składowaniem materiałów i odpadów budowlanych, wzmożoną emisją zanieczyszczeń i hałasu, płoszeniem i wzrostem śmiertelności zwierząt. Zanieczyszczenie środowiska wodno-glebowego oraz naruszenie reżimu wodnego może spowodować pogorszenie jakości siedlisk przyrodniczych bądź ich zniszczeniem. W kontekście oddziaływań długoterminowych należy wskazać, że linie komunikacyjne mogą stanowić dogodną drogę do rozprzestrzeniania się gatunków obcych, w tym także inwazyjnych. A wszelkie zaburzenia w już istniejących układach biologicznych zlokalizowanych w sąsiedztwie drogi, mogą ten proces przyspieszać lub ułatwiać.</w:t>
      </w:r>
      <w:r w:rsidR="00D4052B">
        <w:rPr>
          <w:rFonts w:eastAsia="Times New Roman" w:cstheme="minorHAnsi"/>
          <w:szCs w:val="24"/>
        </w:rPr>
        <w:t xml:space="preserve"> </w:t>
      </w:r>
      <w:r w:rsidRPr="00841EA4">
        <w:rPr>
          <w:rFonts w:eastAsia="Times New Roman" w:cstheme="minorHAnsi"/>
          <w:szCs w:val="24"/>
        </w:rPr>
        <w:t>Ważną kwestię stanowi także potencjalne ryzyko kolizji ze zwierzętami oraz efekt barierowy, związany z fragmentacją siedlisk, co może utrudniać przemieszczanie się gatunków i zaburzać ciągłość korytarzy migracyjnych. Inwestycje liniowe mogą także potencjalnie negatywnie wpływać na stan oraz funkcjonalność korytarzy ekologicznych, a także system powiązań obszarów prawnie chronionych. Jednak</w:t>
      </w:r>
      <w:r w:rsidR="00D4052B">
        <w:rPr>
          <w:rFonts w:eastAsia="Times New Roman" w:cstheme="minorHAnsi"/>
          <w:szCs w:val="24"/>
        </w:rPr>
        <w:t xml:space="preserve"> </w:t>
      </w:r>
      <w:r w:rsidRPr="00841EA4">
        <w:rPr>
          <w:rFonts w:eastAsia="Times New Roman" w:cstheme="minorHAnsi"/>
          <w:szCs w:val="24"/>
        </w:rPr>
        <w:t>potencjalne niekorzystne oddziaływanie na integralność korytarzy ekologicznych, a także obszarów chronionych oraz przedmioty ochrony, będzie ściśle zależne od zakresu, parametrów technologicznych inwestycji oraz jej konkretnej lokalizacji. Tworzenie i funkcjonowanie form ochrony przyrody jest ważnym elementem realizacji celów ochrony przyrody w Polsce, a poszczególna forma spełnia inną rolę w polskim systemie ochrony przyrody i służy określonym celom, stąd też posiada odmienny reżim ochronny i zakres ograniczeń w użytkowaniu</w:t>
      </w:r>
      <w:r w:rsidRPr="00841EA4">
        <w:rPr>
          <w:rFonts w:eastAsia="Times New Roman" w:cstheme="minorHAnsi"/>
          <w:szCs w:val="24"/>
          <w:vertAlign w:val="superscript"/>
        </w:rPr>
        <w:footnoteReference w:id="10"/>
      </w:r>
      <w:r w:rsidRPr="00841EA4">
        <w:rPr>
          <w:rFonts w:eastAsia="Times New Roman" w:cstheme="minorHAnsi"/>
          <w:szCs w:val="24"/>
        </w:rPr>
        <w:t>. Na poziome analizowanego Projektu Programu z uwagi na brak dokładnych danych dotyczących konkretnych inwestycji (ich lokalizacji i dokładnego przebiegu oraz parametrów technologicznych) w rozwój infrastruktury transportowej, niniejszą analizę dokonano w oparciu o założenia ogólne. Zatem potencjalne niekorzystne oddziaływanie na bioróżnorodność, w tym rośliny i zwierzęta, będzie zależało od zakresu i lokalizacji konkretnych inwestycji wybranych do realizacji w ramach Programu. Niemniej jednak precyzyjna ocena oddziaływania na różnorodność biologiczną oraz obszary chronione, w tym Obszary Natura 2000, a także ich integralność i ewentualność wystąpienia znaczących negatywnych oddziaływań, będzie stanowiła przedmiot oceny oddziaływania na środowisko konkretnych już inwestycji wybranych do realizacji, w sytuacji, w której takowa ocena będzie wymagana</w:t>
      </w:r>
      <w:r w:rsidRPr="00841EA4">
        <w:rPr>
          <w:rFonts w:eastAsia="Times New Roman" w:cstheme="minorHAnsi"/>
          <w:szCs w:val="24"/>
          <w:vertAlign w:val="superscript"/>
        </w:rPr>
        <w:footnoteReference w:id="11"/>
      </w:r>
      <w:r w:rsidRPr="00841EA4">
        <w:rPr>
          <w:rFonts w:eastAsia="Times New Roman" w:cstheme="minorHAnsi"/>
          <w:szCs w:val="24"/>
        </w:rPr>
        <w:t>. Należy także zaznaczyć, iż oddziaływania te mogą być zminimalizowane poprzez stosowanie się do ogólnie obowiązujących przepisów prawa i zaleceń wynikających z dobrych praktyk w zakresie realizacji tego typu inwestycji</w:t>
      </w:r>
      <w:r w:rsidRPr="00841EA4">
        <w:rPr>
          <w:rFonts w:eastAsia="Times New Roman" w:cstheme="minorHAnsi"/>
          <w:szCs w:val="24"/>
          <w:vertAlign w:val="superscript"/>
        </w:rPr>
        <w:footnoteReference w:id="12"/>
      </w:r>
      <w:r w:rsidRPr="00841EA4">
        <w:rPr>
          <w:rFonts w:eastAsia="Times New Roman" w:cstheme="minorHAnsi"/>
          <w:szCs w:val="24"/>
        </w:rPr>
        <w:t>. Mając na uwadze poziom szczegółowości niniejszej analizy - kierując się zasadą przezorności – na tym etapie możliwe jest jedynie wskazanie potencjalnych negatywnych oddziaływań inwestycji liniowych na obszary chronione, w tym obszary Natura 2000. Mogą one obejmować: bezpośrednie zniszczenie siedlisk przyrodniczych i gatunków w związku z zajęciem terenu, pogorszenie jakości siedlisk przyrodniczych w wyniku emisji zanieczyszczeń, hałasu, zmiany stosunków wodnych, zanieczyszczenia światłem i innych oddziaływań będących skutkiem wprowadzenia do środowiska nowej infrastruktury transportowej. Mając na uwadze charakter liniowy planowanych inwestycji potencjalnie może nastąpić także negatywny wpływ na funkcjonalne powiązania między obszarami chronionymi, w tym obszarami Natura 2000 – zarówno w kontekście powiązań między nimi, jak i z otoczeniem. W sytuacji realizacji inwestycji związanych z budową dróg, nadrzędnym środkiem ochronnym dla obszarów cennych przyrodniczo jest unikanie,</w:t>
      </w:r>
      <w:r w:rsidR="00D4052B">
        <w:rPr>
          <w:rFonts w:eastAsia="Times New Roman" w:cstheme="minorHAnsi"/>
          <w:szCs w:val="24"/>
        </w:rPr>
        <w:t xml:space="preserve"> </w:t>
      </w:r>
      <w:r w:rsidRPr="00841EA4">
        <w:rPr>
          <w:rFonts w:eastAsia="Times New Roman" w:cstheme="minorHAnsi"/>
          <w:szCs w:val="24"/>
        </w:rPr>
        <w:t>gdy to możliwe, kolizji z takimi obszarami już podczas procesu planowania i projektowania inwestycji. W sytuacji kiedy uniknięcie takiej ingerencji jest niemożliwe, stosuje się zasadę łagodzenia negatywnego wpływu na środowisko oraz kompensację przyrodniczą (patrz rozdz. 7). Podczas budowy i przebudowy dróg istniejących należy dążyć do zapewnienia, a także, w miarę możliwości przywracania łączności korytarzy ekologicznych (np. poprzez</w:t>
      </w:r>
      <w:r w:rsidR="00D4052B">
        <w:rPr>
          <w:rFonts w:eastAsia="Times New Roman" w:cstheme="minorHAnsi"/>
          <w:szCs w:val="24"/>
        </w:rPr>
        <w:t xml:space="preserve"> </w:t>
      </w:r>
      <w:r w:rsidRPr="00841EA4">
        <w:rPr>
          <w:rFonts w:eastAsia="Times New Roman" w:cstheme="minorHAnsi"/>
          <w:szCs w:val="24"/>
        </w:rPr>
        <w:t>tworzenie specjalnych przejść dla zwierząt: estakady, tunele, mosty krajobrazowe)</w:t>
      </w:r>
      <w:r w:rsidRPr="00841EA4">
        <w:rPr>
          <w:rFonts w:eastAsia="Times New Roman" w:cstheme="minorHAnsi"/>
          <w:szCs w:val="24"/>
          <w:vertAlign w:val="superscript"/>
        </w:rPr>
        <w:footnoteReference w:id="13"/>
      </w:r>
      <w:r w:rsidRPr="00841EA4">
        <w:rPr>
          <w:rFonts w:eastAsia="Times New Roman" w:cstheme="minorHAnsi"/>
          <w:szCs w:val="24"/>
        </w:rPr>
        <w:t>. W kontekście długoterminowym, w wyniku realizacji projektów planowanych w ramach ww. Priorytetu 4 można oczekiwać poprawy jakości środowiska, w tym także zasobów przyrodniczych, poprzez redukcję hałasu i emisji zanieczyszczeń do środowiska - wód, gleby i powietrza poprzez rozwój i udoskonalenie zrównoważonej i odpornej na zmiany klimatu inteligentnej i intermodalnej mobilności na terenie województwa zachodniopomorskiego.</w:t>
      </w:r>
    </w:p>
    <w:p w14:paraId="11890445" w14:textId="1D7738C9" w:rsidR="009F1607" w:rsidRPr="00841EA4" w:rsidRDefault="009F1607" w:rsidP="00B54E00">
      <w:pPr>
        <w:autoSpaceDE w:val="0"/>
        <w:autoSpaceDN w:val="0"/>
        <w:adjustRightInd w:val="0"/>
        <w:spacing w:before="0" w:after="0"/>
        <w:rPr>
          <w:rFonts w:eastAsia="Times New Roman" w:cstheme="minorHAnsi"/>
          <w:szCs w:val="24"/>
        </w:rPr>
      </w:pPr>
      <w:r w:rsidRPr="00841EA4">
        <w:rPr>
          <w:rFonts w:eastAsia="Times New Roman" w:cstheme="minorHAnsi"/>
          <w:szCs w:val="24"/>
        </w:rPr>
        <w:t xml:space="preserve">W ramach Priorytetu 5. </w:t>
      </w:r>
      <w:r w:rsidRPr="00841EA4">
        <w:rPr>
          <w:rFonts w:eastAsia="Times New Roman" w:cstheme="minorHAnsi"/>
          <w:b/>
          <w:bCs/>
          <w:i/>
          <w:szCs w:val="24"/>
        </w:rPr>
        <w:t>FUNDUSZE EUROPEJSKIE NA RZECZ PRZYJAZNEGO MIESZKANKOM I MIESZKAŃCOM POMORZA ZACHODNIEGO</w:t>
      </w:r>
      <w:r w:rsidRPr="00841EA4">
        <w:rPr>
          <w:rFonts w:eastAsia="Times New Roman" w:cstheme="minorHAnsi"/>
          <w:szCs w:val="24"/>
        </w:rPr>
        <w:t xml:space="preserve"> pozytywnego wpływu na stan i zachowanie bioróżnorodności regionu można upatrywać w wyniku realizacji projektów wynikających z celu szczegółowego </w:t>
      </w:r>
      <w:r w:rsidRPr="00841EA4">
        <w:rPr>
          <w:rFonts w:eastAsia="Times New Roman" w:cstheme="minorHAnsi"/>
          <w:i/>
          <w:szCs w:val="24"/>
        </w:rPr>
        <w:t xml:space="preserve">cs (vi): Wzmocnienie roli kultury i turystyki w rozwoju gospodarczym, włączeniu społecznym i innowacjach społecznych </w:t>
      </w:r>
      <w:r w:rsidRPr="00841EA4">
        <w:rPr>
          <w:rFonts w:eastAsia="Times New Roman" w:cstheme="minorHAnsi"/>
          <w:szCs w:val="24"/>
        </w:rPr>
        <w:t xml:space="preserve">w wyniku wsparcia endogenicznych potencjałów parków krajobrazowych leżących w granicach województwa zachodniopomorskiego i udostępnienie ich turystom w taki sposób, by promować cenne zasoby przyrodnicze, zapewniając jednocześnie ich ochronę poprzez </w:t>
      </w:r>
      <w:r w:rsidRPr="00841EA4">
        <w:rPr>
          <w:rFonts w:eastAsia="Times New Roman" w:cstheme="minorHAnsi"/>
          <w:noProof/>
          <w:szCs w:val="24"/>
        </w:rPr>
        <w:t xml:space="preserve">inwestycje w zakresie zrównoważonej turystyki, która polega na szerokim podejściu z uwzględnieniem środowiskowych, gospodarczych i społeczno-kulturowych aspektów rozwoju. Realizacja projektów w ramach ww. celu szczegółowego ma na celu zagwarantowanie zrównoważonego charakteru turystyki w perspektywie długoterminowej. </w:t>
      </w:r>
      <w:r w:rsidRPr="00841EA4">
        <w:rPr>
          <w:rFonts w:eastAsia="Times New Roman" w:cstheme="minorHAnsi"/>
          <w:szCs w:val="24"/>
        </w:rPr>
        <w:t>Potencjalne negatywne oddziaływanie może wynikać z prowadzonych prac budowlanych w ramach projektów</w:t>
      </w:r>
      <w:r w:rsidR="00D4052B">
        <w:rPr>
          <w:rFonts w:eastAsia="Times New Roman" w:cstheme="minorHAnsi"/>
          <w:szCs w:val="24"/>
        </w:rPr>
        <w:t xml:space="preserve"> </w:t>
      </w:r>
      <w:r w:rsidRPr="00841EA4">
        <w:rPr>
          <w:rFonts w:eastAsia="Times New Roman" w:cstheme="minorHAnsi"/>
          <w:szCs w:val="24"/>
        </w:rPr>
        <w:t>obejmujących: budowę (tylko w uzasadnionych sytuacjach, przy wykazaniu potrzeb wynikających z długofalowych analiz demograficznych), przebudowę, rozbudowę i funkcjonalne dostosowanie szkół i placówek oświatowych</w:t>
      </w:r>
      <w:r w:rsidRPr="00841EA4">
        <w:rPr>
          <w:rFonts w:eastAsia="Times New Roman" w:cstheme="minorHAnsi"/>
          <w:szCs w:val="24"/>
          <w:vertAlign w:val="superscript"/>
        </w:rPr>
        <w:footnoteReference w:id="14"/>
      </w:r>
      <w:r w:rsidRPr="00841EA4">
        <w:rPr>
          <w:rFonts w:eastAsia="Times New Roman" w:cstheme="minorHAnsi"/>
          <w:szCs w:val="24"/>
        </w:rPr>
        <w:t xml:space="preserve"> (</w:t>
      </w:r>
      <w:r w:rsidRPr="00841EA4">
        <w:rPr>
          <w:rFonts w:eastAsia="Times New Roman" w:cstheme="minorHAnsi"/>
          <w:i/>
          <w:szCs w:val="24"/>
        </w:rPr>
        <w:t>cs (ii):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w:t>
      </w:r>
      <w:r w:rsidRPr="00841EA4">
        <w:rPr>
          <w:rFonts w:eastAsia="Times New Roman" w:cstheme="minorHAnsi"/>
          <w:szCs w:val="24"/>
        </w:rPr>
        <w:t>;</w:t>
      </w:r>
      <w:r w:rsidR="00B54E00">
        <w:rPr>
          <w:rFonts w:eastAsia="Times New Roman" w:cstheme="minorHAnsi"/>
          <w:szCs w:val="24"/>
        </w:rPr>
        <w:t xml:space="preserve"> inwestycje w infrastrukturę społeczną (np. mieszkania chronione, schroniska dla bezdomnych (cs </w:t>
      </w:r>
      <w:r w:rsidR="00B54E00" w:rsidRPr="00D41923">
        <w:rPr>
          <w:rFonts w:eastAsia="Times New Roman" w:cstheme="minorHAnsi"/>
          <w:i/>
          <w:szCs w:val="24"/>
        </w:rPr>
        <w:t>(iii)</w:t>
      </w:r>
      <w:r w:rsidRPr="00D41923">
        <w:rPr>
          <w:rFonts w:eastAsia="Times New Roman" w:cstheme="minorHAnsi"/>
          <w:i/>
          <w:szCs w:val="24"/>
        </w:rPr>
        <w:t xml:space="preserve"> </w:t>
      </w:r>
      <w:r w:rsidR="00B54E00" w:rsidRPr="00D41923">
        <w:rPr>
          <w:rFonts w:eastAsia="Times New Roman" w:cstheme="minorHAnsi"/>
          <w:i/>
          <w:szCs w:val="24"/>
        </w:rPr>
        <w:t>Wspieranie włączenia społeczno-gospodarczego społeczności marginalizowanych, gospodarstw domowych o niskich dochodach oraz grup w niekorzystnej sytuacji, w tym osób o szczególnych potrzebach, dzięki zintegrowanym działaniom obejmującym usługi mieszkaniowe i usługi społeczne</w:t>
      </w:r>
      <w:r w:rsidR="00B54E00">
        <w:rPr>
          <w:rFonts w:eastAsia="Times New Roman" w:cstheme="minorHAnsi"/>
          <w:szCs w:val="24"/>
        </w:rPr>
        <w:t xml:space="preserve">); </w:t>
      </w:r>
      <w:r w:rsidRPr="00841EA4">
        <w:rPr>
          <w:rFonts w:eastAsia="Times New Roman" w:cstheme="minorHAnsi"/>
          <w:szCs w:val="24"/>
        </w:rPr>
        <w:t>budowę, rozbudowę hosteli, schronisk (</w:t>
      </w:r>
      <w:r w:rsidRPr="00841EA4">
        <w:rPr>
          <w:rFonts w:eastAsia="Times New Roman" w:cstheme="minorHAnsi"/>
          <w:i/>
          <w:szCs w:val="24"/>
        </w:rPr>
        <w:t>cs (iv): Wspieranie integracji społeczno-gospodarczej obywateli państw trzecich, w tym migrantów, dzięki zintegrowanym działaniom obejmującym usługi mieszkaniowe i usługi społeczne</w:t>
      </w:r>
      <w:r w:rsidRPr="00841EA4">
        <w:rPr>
          <w:rFonts w:eastAsia="Times New Roman" w:cstheme="minorHAnsi"/>
          <w:szCs w:val="24"/>
        </w:rPr>
        <w:t>); budowę (w wyjątkowych, uzasadnionych przypadkach), przebudowę, modernizację obiektów ochrony zdrowia (</w:t>
      </w:r>
      <w:r w:rsidRPr="00841EA4">
        <w:rPr>
          <w:rFonts w:eastAsia="Times New Roman" w:cstheme="minorHAnsi"/>
          <w:i/>
          <w:szCs w:val="24"/>
        </w:rPr>
        <w:t xml:space="preserve">cs (v): Zapewnianie równego dostępu do opieki zdrowotnej i wspieranie odporności systemów opieki zdrowotnej, w tym podstawowej opieki zdrowotnej, oraz wspieranie przechodzenia od opieki instytucjonalnej do opieki rodzinnej i środowiskowej); </w:t>
      </w:r>
      <w:r w:rsidRPr="00841EA4">
        <w:rPr>
          <w:rFonts w:eastAsia="Times New Roman" w:cstheme="minorHAnsi"/>
          <w:szCs w:val="24"/>
        </w:rPr>
        <w:t>budowę, rozbudowę i modernizację obiektów instytucji kultury, budowę i rozbudowę infrastruktury poprawiającej dostępność obiektów i atrakcji turystycznych (m.in. parkingi, ciągi komunikacyjne i infrastruktura dla osób z niepełnosprawnościami) oraz zagospodarowanie ich bezpośredniego otoczenia (</w:t>
      </w:r>
      <w:r w:rsidRPr="00841EA4">
        <w:rPr>
          <w:rFonts w:eastAsia="Times New Roman" w:cstheme="minorHAnsi"/>
          <w:i/>
          <w:szCs w:val="24"/>
        </w:rPr>
        <w:t>cs (vi): Wzmocnienie roli kultury i turystyki w rozwoju gospodarczym, włączeniu społecznym i innowacjach społecznych</w:t>
      </w:r>
      <w:r w:rsidRPr="00841EA4">
        <w:rPr>
          <w:rFonts w:eastAsia="Times New Roman" w:cstheme="minorHAnsi"/>
          <w:szCs w:val="24"/>
        </w:rPr>
        <w:t>). Oddziaływania te jednak będą miały charakter lokalny i krótkoterminowy, wynikać będą głównie z prowadzonych prac budowlanych na etapie realizacji inwestycji tj. emisja zanieczyszczeń, hałas, płoszenie i zwiększona śmiertelność zwierząt, zniszczenie wierzchniej warstwy gleby, wycinka drzew i krzewów, składowanie materiałów budowlanych i generowanie odpadów w związku z prowadzonymi pracami</w:t>
      </w:r>
      <w:r w:rsidRPr="00B54E00">
        <w:rPr>
          <w:rFonts w:eastAsia="Times New Roman" w:cstheme="minorHAnsi"/>
          <w:szCs w:val="24"/>
        </w:rPr>
        <w:t>.</w:t>
      </w:r>
      <w:r w:rsidR="0030319C" w:rsidRPr="00B54E00">
        <w:rPr>
          <w:rFonts w:eastAsia="Times New Roman" w:cstheme="minorHAnsi"/>
          <w:szCs w:val="24"/>
        </w:rPr>
        <w:t xml:space="preserve"> Z kolei w przypadku nowopowstałych obiektów w ramach zadań z ww. priorytetu, jako potencjalne oddziaływanie negatywne należy takż</w:t>
      </w:r>
      <w:r w:rsidR="0030319C" w:rsidRPr="00154DC4">
        <w:rPr>
          <w:rFonts w:eastAsia="Times New Roman" w:cstheme="minorHAnsi"/>
          <w:szCs w:val="24"/>
        </w:rPr>
        <w:t xml:space="preserve">e wskazać </w:t>
      </w:r>
      <w:r w:rsidR="0030319C" w:rsidRPr="00EE37AB">
        <w:rPr>
          <w:rFonts w:eastAsia="Times New Roman" w:cstheme="minorHAnsi"/>
          <w:szCs w:val="24"/>
        </w:rPr>
        <w:t>ich zasobochłonność</w:t>
      </w:r>
      <w:r w:rsidR="0030319C" w:rsidRPr="00357D18">
        <w:rPr>
          <w:rFonts w:eastAsia="Times New Roman" w:cstheme="minorHAnsi"/>
          <w:szCs w:val="24"/>
        </w:rPr>
        <w:t xml:space="preserve">, w kontekście </w:t>
      </w:r>
      <w:r w:rsidR="0030319C" w:rsidRPr="00B54E00">
        <w:rPr>
          <w:szCs w:val="24"/>
        </w:rPr>
        <w:t xml:space="preserve">wykorzystania różnych zasobów środowiska, m.in. trwałe zajęcie terenu pod daną inwestycję. Z kolei w świetle inwestycji w obszarze infrastruktury turystycznej  </w:t>
      </w:r>
      <w:r w:rsidR="00B54E00" w:rsidRPr="00B54E00">
        <w:rPr>
          <w:szCs w:val="24"/>
        </w:rPr>
        <w:t>nakierowanych na rozwój turystyki, należy mieć na uwadze, aby przeciwdziałać turystyce twardej czyli masowej, aby nie dopuścić do przekroczenia maksymalnej chłonności turystycznej oraz nie doprowadzić do zachwiania równowagi biocenotycznej w środowisku.</w:t>
      </w:r>
    </w:p>
    <w:p w14:paraId="5075879C" w14:textId="77777777" w:rsidR="009F1607" w:rsidRPr="00841EA4" w:rsidRDefault="009F1607" w:rsidP="009F1607">
      <w:pPr>
        <w:rPr>
          <w:rFonts w:eastAsia="Times New Roman" w:cstheme="minorHAnsi"/>
          <w:szCs w:val="24"/>
        </w:rPr>
      </w:pPr>
      <w:r w:rsidRPr="00841EA4">
        <w:rPr>
          <w:rFonts w:eastAsia="Times New Roman" w:cstheme="minorHAnsi"/>
          <w:szCs w:val="24"/>
        </w:rPr>
        <w:t xml:space="preserve">Przewiduje się, iż działania planowane w ramach Priorytetu 6. </w:t>
      </w:r>
      <w:r w:rsidRPr="00841EA4">
        <w:rPr>
          <w:rFonts w:eastAsia="Times New Roman" w:cstheme="minorHAnsi"/>
          <w:b/>
          <w:i/>
          <w:szCs w:val="24"/>
        </w:rPr>
        <w:t xml:space="preserve">FUNDUSZE EUROPEJSKIE NA RZECZ AKTYWNEGO POMORZA ZACHODNIEGO </w:t>
      </w:r>
      <w:r w:rsidRPr="00841EA4">
        <w:rPr>
          <w:rFonts w:eastAsia="Times New Roman" w:cstheme="minorHAnsi"/>
          <w:szCs w:val="24"/>
        </w:rPr>
        <w:t>będą charakteryzowały się neutralnym oddziaływaniem na różnorodność biologiczną, w tym rośliny, zwierzęta i obszary Natura 2000, bowiem planowane typy przedsięwzięć koncentrują się głównie w obszarze społecznym.</w:t>
      </w:r>
    </w:p>
    <w:p w14:paraId="47E03C85" w14:textId="6D2436DF" w:rsidR="009F1607" w:rsidRPr="00841EA4" w:rsidRDefault="009F1607" w:rsidP="00471F12">
      <w:pPr>
        <w:rPr>
          <w:rFonts w:eastAsia="Times New Roman" w:cstheme="minorHAnsi"/>
          <w:szCs w:val="24"/>
        </w:rPr>
      </w:pPr>
      <w:r w:rsidRPr="00841EA4">
        <w:rPr>
          <w:rFonts w:eastAsia="Times New Roman" w:cstheme="minorHAnsi"/>
          <w:szCs w:val="24"/>
        </w:rPr>
        <w:t xml:space="preserve">W wyniku realizacji projektów z Priorytetu 7. </w:t>
      </w:r>
      <w:r w:rsidRPr="00841EA4">
        <w:rPr>
          <w:rFonts w:eastAsia="Times New Roman" w:cstheme="minorHAnsi"/>
          <w:b/>
          <w:bCs/>
          <w:i/>
          <w:iCs/>
          <w:szCs w:val="24"/>
        </w:rPr>
        <w:t xml:space="preserve">FUNDUSZE EUROPEJSKIE NA RZECZ PARTNERSKIEGO POMORZA ZACHODNIEGO </w:t>
      </w:r>
      <w:r w:rsidRPr="00841EA4">
        <w:rPr>
          <w:rFonts w:eastAsia="Times New Roman" w:cstheme="minorHAnsi"/>
          <w:szCs w:val="24"/>
        </w:rPr>
        <w:t>można upatrywać pośredniego pozytywnego oddziaływania na zasoby bioróżnorodności, w tym rośliny i zwierzęta, a także pośrednio na obszary cenne przyrodniczo i prawnie chronione, poprzez wsparcie działań z zakresu zrównoważonej gospodarki turystycznej, przyczyniając się do uporządkowania i ukierunkowania turystyki w regionie (</w:t>
      </w:r>
      <w:r w:rsidRPr="00841EA4">
        <w:rPr>
          <w:rFonts w:eastAsia="Times New Roman" w:cstheme="minorHAnsi"/>
          <w:i/>
          <w:szCs w:val="24"/>
        </w:rPr>
        <w:t>cs (i): Wspieranie zintegrowanego i sprzyjającego włączeniu społecznemu rozwoju społecznego, gospodarczego i środowiskowego, kultury, dziedzictwa naturalnego, zrównoważonej turystyki i bezpieczeństwa na obszarach miejskich</w:t>
      </w:r>
      <w:r w:rsidRPr="00841EA4">
        <w:rPr>
          <w:rFonts w:eastAsia="Times New Roman" w:cstheme="minorHAnsi"/>
          <w:szCs w:val="24"/>
        </w:rPr>
        <w:t xml:space="preserve">). </w:t>
      </w:r>
      <w:r w:rsidR="00471F12" w:rsidRPr="00FA4430">
        <w:rPr>
          <w:szCs w:val="24"/>
        </w:rPr>
        <w:t>W kontekście długoterminowym w związku z rozwojem turystyki, jako potencjalne negatywne oddziaływanie można wskazać wzrost presji turystycznej szczególnie na obszarach cennych przyrodniczo, dlatego należy mieć na uwadze, aby przeciwdziałać turystyce twardej czyli masowej, aby nie dopuścić do przekroczenia maksymalnej chłonności turystycznej oraz nie doprowadzić do zachwiania równowagi biocenotycznej w środowisku</w:t>
      </w:r>
      <w:r w:rsidR="00471F12">
        <w:rPr>
          <w:szCs w:val="24"/>
        </w:rPr>
        <w:t xml:space="preserve">. </w:t>
      </w:r>
      <w:r w:rsidRPr="00841EA4">
        <w:rPr>
          <w:rFonts w:eastAsia="Times New Roman" w:cstheme="minorHAnsi"/>
          <w:szCs w:val="24"/>
        </w:rPr>
        <w:t>Potencjalne negatywne oddziaływania mogą wystąpić w wyniku wprowadzania nowej infrastruktury turystycznej, budowy, rozbudowy i modernizacji instytucji kultury, prac budowlanych w zakresie kompleksowego zagospodarowania przestrzeni publicznych wraz z małą architekturą i infrastrukturą towarzyszącą w ramach układów urbanistycznych, realizacji inwestycji związanych z transportem publicznym (infrastruktura przystanków i centrów przesiadkowych), w wyniku tworzenia centrów biznesowych, centrów usług wspólnych, dzielonych powierzchni magazynowych/wytwórczych czy usługowych</w:t>
      </w:r>
      <w:r w:rsidR="00471F12">
        <w:rPr>
          <w:rFonts w:eastAsia="Times New Roman" w:cstheme="minorHAnsi"/>
          <w:szCs w:val="24"/>
        </w:rPr>
        <w:t>, w wyniku tworzenia infrastruktury edukacyjnej</w:t>
      </w:r>
      <w:r w:rsidRPr="00841EA4">
        <w:rPr>
          <w:rFonts w:eastAsia="Times New Roman" w:cstheme="minorHAnsi"/>
          <w:szCs w:val="24"/>
          <w:vertAlign w:val="superscript"/>
        </w:rPr>
        <w:footnoteReference w:id="15"/>
      </w:r>
      <w:r w:rsidRPr="00841EA4">
        <w:rPr>
          <w:rFonts w:eastAsia="Times New Roman" w:cstheme="minorHAnsi"/>
          <w:szCs w:val="24"/>
        </w:rPr>
        <w:t>. Oddziaływania te gł</w:t>
      </w:r>
      <w:r w:rsidR="004110A4">
        <w:rPr>
          <w:rFonts w:eastAsia="Times New Roman" w:cstheme="minorHAnsi"/>
          <w:szCs w:val="24"/>
        </w:rPr>
        <w:t>ó</w:t>
      </w:r>
      <w:r w:rsidRPr="00841EA4">
        <w:rPr>
          <w:rFonts w:eastAsia="Times New Roman" w:cstheme="minorHAnsi"/>
          <w:szCs w:val="24"/>
        </w:rPr>
        <w:t xml:space="preserve">wnie będą miały charakter lokalny i krótkoterminowy, wynikać będą w znacznej mierze z prowadzonych prac budowlanych na etapie realizacji inwestycji tj. emisja zanieczyszczeń, hałas, płoszenie i zwiększona śmiertelność zwierząt, zniszczenie wierzchniej warstwy gleby, wycinka drzew i krzewów, składowanie materiałów budowlanych i generowanie odpadów w związku z prowadzonymi pracami. </w:t>
      </w:r>
      <w:r w:rsidR="00471F12">
        <w:rPr>
          <w:rFonts w:eastAsia="Times New Roman" w:cstheme="minorHAnsi"/>
          <w:szCs w:val="24"/>
        </w:rPr>
        <w:t>W</w:t>
      </w:r>
      <w:r w:rsidR="00471F12" w:rsidRPr="00FA4430">
        <w:rPr>
          <w:rFonts w:eastAsia="Times New Roman" w:cstheme="minorHAnsi"/>
          <w:szCs w:val="24"/>
        </w:rPr>
        <w:t xml:space="preserve"> przypadku nowopowstałych obiektów w ramach zadań z</w:t>
      </w:r>
      <w:r w:rsidR="00471F12">
        <w:rPr>
          <w:rFonts w:eastAsia="Times New Roman" w:cstheme="minorHAnsi"/>
          <w:szCs w:val="24"/>
        </w:rPr>
        <w:t xml:space="preserve"> Priorytetu 7</w:t>
      </w:r>
      <w:r w:rsidR="00471F12" w:rsidRPr="00FA4430">
        <w:rPr>
          <w:rFonts w:eastAsia="Times New Roman" w:cstheme="minorHAnsi"/>
          <w:szCs w:val="24"/>
        </w:rPr>
        <w:t xml:space="preserve">, jako potencjalne oddziaływanie negatywne należy także wskazać ich zasobochłonność, w kontekście </w:t>
      </w:r>
      <w:r w:rsidR="00471F12" w:rsidRPr="00FA4430">
        <w:rPr>
          <w:szCs w:val="24"/>
        </w:rPr>
        <w:t>wykorzystania różnych zasobów środowiska, m.in. trwałe zajęcie terenu pod daną inwestycję</w:t>
      </w:r>
      <w:r w:rsidR="00471F12" w:rsidRPr="00471F12">
        <w:rPr>
          <w:rFonts w:eastAsia="Times New Roman" w:cstheme="minorHAnsi"/>
          <w:szCs w:val="24"/>
        </w:rPr>
        <w:t xml:space="preserve"> </w:t>
      </w:r>
      <w:r w:rsidR="00471F12" w:rsidRPr="00841EA4">
        <w:rPr>
          <w:rFonts w:eastAsia="Times New Roman" w:cstheme="minorHAnsi"/>
          <w:szCs w:val="24"/>
        </w:rPr>
        <w:t>i w wyniku tego zniszczenie lub przeobrażenie siedlisk przyrodniczych.</w:t>
      </w:r>
    </w:p>
    <w:p w14:paraId="007E93C9" w14:textId="77777777" w:rsidR="009F1607" w:rsidRPr="00841EA4" w:rsidRDefault="009F1607" w:rsidP="009F1607">
      <w:pPr>
        <w:autoSpaceDE w:val="0"/>
        <w:autoSpaceDN w:val="0"/>
        <w:adjustRightInd w:val="0"/>
        <w:spacing w:before="0" w:after="0"/>
        <w:rPr>
          <w:rFonts w:eastAsia="Times New Roman" w:cstheme="minorHAnsi"/>
          <w:szCs w:val="24"/>
        </w:rPr>
      </w:pPr>
      <w:r w:rsidRPr="00841EA4">
        <w:rPr>
          <w:rFonts w:eastAsia="Times New Roman" w:cstheme="minorHAnsi"/>
          <w:szCs w:val="24"/>
        </w:rPr>
        <w:t xml:space="preserve">Przewiduje się, iż działania planowane w ramach Priorytetu 8. </w:t>
      </w:r>
      <w:r w:rsidRPr="00841EA4">
        <w:rPr>
          <w:rFonts w:eastAsia="Times New Roman" w:cstheme="minorHAnsi"/>
          <w:b/>
          <w:i/>
          <w:szCs w:val="24"/>
        </w:rPr>
        <w:t xml:space="preserve">POMOC TECHNICZNA EFRR i </w:t>
      </w:r>
      <w:r w:rsidRPr="00841EA4">
        <w:rPr>
          <w:rFonts w:eastAsia="Times New Roman" w:cstheme="minorHAnsi"/>
          <w:szCs w:val="24"/>
        </w:rPr>
        <w:t>Priorytetu 9.</w:t>
      </w:r>
      <w:r w:rsidRPr="00841EA4">
        <w:rPr>
          <w:rFonts w:eastAsia="Times New Roman" w:cstheme="minorHAnsi"/>
          <w:b/>
          <w:i/>
          <w:szCs w:val="24"/>
        </w:rPr>
        <w:t xml:space="preserve"> POMOC TECHNICZNA (EFS+)</w:t>
      </w:r>
      <w:r w:rsidRPr="00841EA4">
        <w:rPr>
          <w:rFonts w:eastAsia="Times New Roman" w:cstheme="minorHAnsi"/>
          <w:szCs w:val="24"/>
        </w:rPr>
        <w:t xml:space="preserve"> będą charakteryzowały się neutralnym oddziaływaniem na różnorodność biologiczną, w tym rośliny, zwierzęta i obszary Natura 2000.</w:t>
      </w:r>
    </w:p>
    <w:p w14:paraId="3586CF2D" w14:textId="35B76751" w:rsidR="009F1607" w:rsidRPr="00841EA4" w:rsidRDefault="009F1607" w:rsidP="00D41923">
      <w:pPr>
        <w:spacing w:before="0" w:after="0"/>
        <w:rPr>
          <w:rFonts w:eastAsia="Times New Roman" w:cstheme="minorHAnsi"/>
          <w:i/>
          <w:szCs w:val="24"/>
        </w:rPr>
      </w:pPr>
      <w:r w:rsidRPr="00841EA4">
        <w:rPr>
          <w:rFonts w:eastAsia="Times New Roman" w:cstheme="minorHAnsi"/>
          <w:szCs w:val="24"/>
        </w:rPr>
        <w:t>Z uwagi na strategiczny charakter dokumentu podlegającego niniejszej ocenie, analizy i oceny jego oddziaływania na różnorodność biologiczną, w tym rośliny, zwierzęta i obszary Natura 2000, dokonano na poziomie ogólności dostosowanym do poziomu szczegółowości tegoż dokumentu, bez rozpatrywania konfliktów przestrzennych w ramach pojedynczych form ochrony przyrody, jednak z uwzględnieniem zasady przezorności, analizując wszystkie istniejące oraz potencjalne oddziaływania, które mogą zaistnieć w wyniku realizacji planowanych w Programie działań, z uwzględnieniem działań minimalizujących. Wskazanie dokładnej lokalizacji inwestycji w kontekście oceny wpływu na zasoby przyrody ma kluczowe znaczenie, dlatego też ocena oddziaływania zarówno na poszczególne elementy ekosystemów i ich integralność, a także na obszary chronione nie mogła zostać przeprowadzona na poziomie poszczególnych inwestycji. Niemniej jednak precyzyjna ocena oddziaływania na różnorodność biologiczną oraz obszary chronione, w tym obszary Natura 2000, a także ich integralność i ewentualność wystąpienia znaczących negatywnych oddziaływań, będzie stanowiła przedmiot oceny oddziaływania na środowisko konkretnych już inwestycji wybranych do realizacji, w sytuacji, w której takowa ocena będzie wymagana</w:t>
      </w:r>
      <w:r w:rsidRPr="00841EA4">
        <w:rPr>
          <w:rFonts w:eastAsia="Times New Roman" w:cstheme="minorHAnsi"/>
          <w:szCs w:val="24"/>
          <w:vertAlign w:val="superscript"/>
        </w:rPr>
        <w:footnoteReference w:id="16"/>
      </w:r>
      <w:r w:rsidRPr="00841EA4">
        <w:rPr>
          <w:rFonts w:eastAsia="Times New Roman" w:cstheme="minorHAnsi"/>
          <w:szCs w:val="24"/>
        </w:rPr>
        <w:t>. Ocena na tym poziomie pozwoli na precyzyjne wskazanie oddziaływań, jak również określenie działań minimalizujących lub kompensujących przypisanych już do konkretnych projektów wybranych do realizacji. Dla inwestycji, które byłyby lokalizowane na obszarach Natura 2000 lub w ich sąsiedztwie, w ramach oceny odziaływania powinno zostać przeprowadzone szczegółowe rozpoznanie możliwych oddziaływań na integralność i przedmioty ochrony tych obszarów. Przepisy dotyczące dopuszczenia do realizacji inwestycji w odniesieniu do obszarów Natura 2000 reguluje art. 33 ustawy o ochronie przyrody</w:t>
      </w:r>
      <w:r w:rsidRPr="00841EA4">
        <w:rPr>
          <w:rFonts w:eastAsia="Times New Roman" w:cstheme="minorHAnsi"/>
          <w:szCs w:val="24"/>
          <w:vertAlign w:val="superscript"/>
        </w:rPr>
        <w:footnoteReference w:id="17"/>
      </w:r>
      <w:r w:rsidR="00EE37AB">
        <w:rPr>
          <w:rFonts w:eastAsia="Times New Roman" w:cstheme="minorHAnsi"/>
          <w:szCs w:val="24"/>
        </w:rPr>
        <w:t xml:space="preserve">. </w:t>
      </w:r>
      <w:r w:rsidRPr="00841EA4">
        <w:rPr>
          <w:rFonts w:eastAsia="Times New Roman" w:cstheme="minorHAnsi"/>
          <w:szCs w:val="24"/>
        </w:rPr>
        <w:t xml:space="preserve"> </w:t>
      </w:r>
    </w:p>
    <w:p w14:paraId="0FC6D348" w14:textId="163F64D1" w:rsidR="009F1607" w:rsidRPr="00841EA4" w:rsidRDefault="00EE37AB" w:rsidP="009F1607">
      <w:pPr>
        <w:spacing w:after="0"/>
        <w:rPr>
          <w:rFonts w:eastAsia="Times New Roman" w:cstheme="minorHAnsi"/>
          <w:szCs w:val="24"/>
        </w:rPr>
      </w:pPr>
      <w:r>
        <w:rPr>
          <w:rFonts w:eastAsia="Times New Roman" w:cstheme="minorHAnsi"/>
          <w:szCs w:val="24"/>
        </w:rPr>
        <w:t>W</w:t>
      </w:r>
      <w:r w:rsidR="009F1607" w:rsidRPr="00841EA4">
        <w:rPr>
          <w:rFonts w:eastAsia="Times New Roman" w:cstheme="minorHAnsi"/>
          <w:szCs w:val="24"/>
        </w:rPr>
        <w:t xml:space="preserve"> ramach przyszłych ocen oddziaływania na środowisko konkretnych już inwestycji, które będą oddziaływać na obszary Natura 2000 należy wykazać także ich zgodność z planami zadań ochronnych i planów ochrony dla obszarów Natura 2000, ustanowionych zarządzeniami RDOŚ oraz Dyrektora Urzędu Morskiego. Do najczęściej wskazywanych zagrożeń oraz problemów zidentyfikowanych w planach zadań ochronnych dla obszarów Natura 2000, dla głównych przedmiotów ochrony w tych obszarach to, m.in.:</w:t>
      </w:r>
    </w:p>
    <w:p w14:paraId="59A43424" w14:textId="77777777" w:rsidR="009F1607" w:rsidRPr="00841EA4" w:rsidRDefault="009F1607" w:rsidP="00622DC9">
      <w:pPr>
        <w:numPr>
          <w:ilvl w:val="0"/>
          <w:numId w:val="31"/>
        </w:numPr>
        <w:spacing w:after="0"/>
        <w:contextualSpacing/>
        <w:rPr>
          <w:rFonts w:cstheme="minorHAnsi"/>
          <w:szCs w:val="24"/>
        </w:rPr>
      </w:pPr>
      <w:r w:rsidRPr="00841EA4">
        <w:rPr>
          <w:rFonts w:cstheme="minorHAnsi"/>
          <w:szCs w:val="24"/>
        </w:rPr>
        <w:t>siedliska leśne – zubożenie roślinności charakterystycznej dla siedlisk wskutek upraszczania struktury wiekowej i gatunkowej drzewostanów, niski udział odnowień naturalnych, niezadowalający udział martwego drewna, wkraczanie gatunków inwazyjnych i gatunków obcych;</w:t>
      </w:r>
    </w:p>
    <w:p w14:paraId="0B7131C2" w14:textId="77777777" w:rsidR="009F1607" w:rsidRPr="00841EA4" w:rsidRDefault="009F1607" w:rsidP="00622DC9">
      <w:pPr>
        <w:numPr>
          <w:ilvl w:val="0"/>
          <w:numId w:val="31"/>
        </w:numPr>
        <w:spacing w:after="0"/>
        <w:contextualSpacing/>
        <w:rPr>
          <w:rFonts w:cstheme="minorHAnsi"/>
          <w:szCs w:val="24"/>
        </w:rPr>
      </w:pPr>
      <w:r w:rsidRPr="00841EA4">
        <w:rPr>
          <w:rFonts w:cstheme="minorHAnsi"/>
          <w:szCs w:val="24"/>
        </w:rPr>
        <w:t>siedliska łąkowe, murawowe oraz wydmowe – zarastanie przez zmianę zagospodarowania, ekspansja drzew i krzewów, zalesianie, intensyfikacja rolnictwa, wkraczanie gatunków inwazyjnych, fragmentacja siedlisk, wydeptywanie;</w:t>
      </w:r>
    </w:p>
    <w:p w14:paraId="108E8971" w14:textId="77777777" w:rsidR="009F1607" w:rsidRPr="00841EA4" w:rsidRDefault="009F1607" w:rsidP="00622DC9">
      <w:pPr>
        <w:numPr>
          <w:ilvl w:val="0"/>
          <w:numId w:val="31"/>
        </w:numPr>
        <w:spacing w:after="0"/>
        <w:contextualSpacing/>
        <w:rPr>
          <w:rFonts w:cstheme="minorHAnsi"/>
          <w:szCs w:val="24"/>
        </w:rPr>
      </w:pPr>
      <w:r w:rsidRPr="00841EA4">
        <w:rPr>
          <w:rFonts w:cstheme="minorHAnsi"/>
          <w:szCs w:val="24"/>
        </w:rPr>
        <w:t>siedliska torfowiskowe – zarastanie, sukcesja drzew i krzewów, zbyt niskie uwilgotnienie siedlisk;</w:t>
      </w:r>
    </w:p>
    <w:p w14:paraId="473B5CBD" w14:textId="77777777" w:rsidR="009F1607" w:rsidRPr="00841EA4" w:rsidRDefault="009F1607" w:rsidP="00622DC9">
      <w:pPr>
        <w:numPr>
          <w:ilvl w:val="0"/>
          <w:numId w:val="31"/>
        </w:numPr>
        <w:spacing w:after="0"/>
        <w:contextualSpacing/>
        <w:rPr>
          <w:rFonts w:cstheme="minorHAnsi"/>
          <w:szCs w:val="24"/>
        </w:rPr>
      </w:pPr>
      <w:r w:rsidRPr="00841EA4">
        <w:rPr>
          <w:rFonts w:cstheme="minorHAnsi"/>
          <w:szCs w:val="24"/>
        </w:rPr>
        <w:t>siedliska związane z ekosystemami zbiorników wodnych – zanieczyszczenie wód powierzchniowych, przekształcanie brzegów cieków i zbiorników oraz koryt rzecznych, zmiany stosunków wodnych, przesuszanie, eutrofizacja, presja antropogeniczna (uprawianie sportów wodnych, wydeptywanie, śmiecenie);</w:t>
      </w:r>
    </w:p>
    <w:p w14:paraId="4B618A56" w14:textId="77777777" w:rsidR="009F1607" w:rsidRPr="00841EA4" w:rsidRDefault="009F1607" w:rsidP="00622DC9">
      <w:pPr>
        <w:numPr>
          <w:ilvl w:val="0"/>
          <w:numId w:val="31"/>
        </w:numPr>
        <w:spacing w:after="0"/>
        <w:contextualSpacing/>
        <w:rPr>
          <w:rFonts w:cstheme="minorHAnsi"/>
          <w:szCs w:val="24"/>
        </w:rPr>
      </w:pPr>
      <w:r w:rsidRPr="00841EA4">
        <w:rPr>
          <w:rFonts w:cstheme="minorHAnsi"/>
          <w:szCs w:val="24"/>
        </w:rPr>
        <w:t xml:space="preserve">ssaki – płoszenie, wandalizm (niszczenie miejsc rozrodu i bytowania); </w:t>
      </w:r>
    </w:p>
    <w:p w14:paraId="7804F09D" w14:textId="77777777" w:rsidR="009F1607" w:rsidRPr="00841EA4" w:rsidRDefault="009F1607" w:rsidP="00622DC9">
      <w:pPr>
        <w:numPr>
          <w:ilvl w:val="0"/>
          <w:numId w:val="31"/>
        </w:numPr>
        <w:spacing w:after="0"/>
        <w:contextualSpacing/>
        <w:rPr>
          <w:rFonts w:cstheme="minorHAnsi"/>
          <w:szCs w:val="24"/>
        </w:rPr>
      </w:pPr>
      <w:r w:rsidRPr="00841EA4">
        <w:rPr>
          <w:rFonts w:cstheme="minorHAnsi"/>
          <w:szCs w:val="24"/>
        </w:rPr>
        <w:t xml:space="preserve">ryby – zanieczyszczenie wód, antropopresja, płoszenie, obecność gatunków inwazyjnych konkurujących z gatunkami rodzimymi; </w:t>
      </w:r>
    </w:p>
    <w:p w14:paraId="708F9C09" w14:textId="77777777" w:rsidR="009F1607" w:rsidRPr="00841EA4" w:rsidRDefault="009F1607" w:rsidP="00622DC9">
      <w:pPr>
        <w:numPr>
          <w:ilvl w:val="0"/>
          <w:numId w:val="31"/>
        </w:numPr>
        <w:spacing w:after="0"/>
        <w:contextualSpacing/>
        <w:rPr>
          <w:rFonts w:cstheme="minorHAnsi"/>
          <w:szCs w:val="24"/>
        </w:rPr>
      </w:pPr>
      <w:r w:rsidRPr="00841EA4">
        <w:rPr>
          <w:rFonts w:cstheme="minorHAnsi"/>
          <w:szCs w:val="24"/>
        </w:rPr>
        <w:t>ptaki – płoszenie, drapieżnictwo gatunków inwazyjnych i obcych (norki amerykańskiej, szopa pracza, jenota), zmiany reżimu hydrologicznego rzek i zbiorników, zalesienia i zmniejszenie powierzchni siedlisk sprzyjającym poszczególnym gatunkom (zagospodarowanie trwałych użytków zielonych), sukcesja trzcin i łozowisk</w:t>
      </w:r>
      <w:r w:rsidRPr="00841EA4">
        <w:rPr>
          <w:rFonts w:cstheme="minorHAnsi"/>
          <w:szCs w:val="24"/>
          <w:vertAlign w:val="superscript"/>
        </w:rPr>
        <w:footnoteReference w:id="18"/>
      </w:r>
      <w:r w:rsidRPr="00841EA4">
        <w:rPr>
          <w:rFonts w:cstheme="minorHAnsi"/>
          <w:szCs w:val="24"/>
        </w:rPr>
        <w:t>,</w:t>
      </w:r>
      <w:r w:rsidRPr="00841EA4">
        <w:rPr>
          <w:rFonts w:cstheme="minorHAnsi"/>
          <w:szCs w:val="24"/>
          <w:vertAlign w:val="superscript"/>
        </w:rPr>
        <w:footnoteReference w:id="19"/>
      </w:r>
    </w:p>
    <w:p w14:paraId="5061FFC7" w14:textId="79FC384A" w:rsidR="009F1607" w:rsidRPr="00841EA4" w:rsidRDefault="009F1607" w:rsidP="009F1607">
      <w:pPr>
        <w:spacing w:after="0"/>
        <w:ind w:left="720"/>
        <w:contextualSpacing/>
        <w:rPr>
          <w:rFonts w:cstheme="minorHAnsi"/>
          <w:szCs w:val="24"/>
        </w:rPr>
      </w:pPr>
      <w:r w:rsidRPr="00841EA4">
        <w:rPr>
          <w:rFonts w:cstheme="minorHAnsi"/>
          <w:szCs w:val="24"/>
        </w:rPr>
        <w:t>Ponadto Regionalny Dyrektor Ochrony Środowiska w Szczecinie przyjął tymczasowe cele ochrony dla siedlisk przyrodniczych będących przedmiotami ochrony w obszarach Natura 2000: Bukowy Las Górki PLH320062; Delta Świny PLB320002; Dolina Radwi, Chocieli i Chotli PLH320022; Dorzecze Parsęty PLH320007; Ostoja Wkrzańska PLB320014; Ujście Odry i Zalew Szczeciński PLH320018; Wiązogóra PLH320066; Wolin i Uznam PLH320019; Zalew Kamieński i Dziwna PLB320011; Zalew Szczeciński PLB320009</w:t>
      </w:r>
      <w:r w:rsidRPr="00841EA4">
        <w:rPr>
          <w:rFonts w:cstheme="minorHAnsi"/>
          <w:szCs w:val="24"/>
          <w:vertAlign w:val="superscript"/>
        </w:rPr>
        <w:footnoteReference w:id="20"/>
      </w:r>
      <w:r w:rsidRPr="00841EA4">
        <w:rPr>
          <w:rFonts w:cstheme="minorHAnsi"/>
          <w:szCs w:val="24"/>
        </w:rPr>
        <w:t>. Opracowanie tymczasowych celów ochrony dla przedmiotów ochrony obszaru wynika z konieczności zapewnienia warunków utrzymania i odtworzenia ich właściwego stanu ochrony. Cele te, po ich przyjęciu, powinny być brane pod uwagę przez przedmioty sprawujące nadzór nad</w:t>
      </w:r>
      <w:r w:rsidR="00D4052B">
        <w:rPr>
          <w:rFonts w:cstheme="minorHAnsi"/>
          <w:szCs w:val="24"/>
        </w:rPr>
        <w:t xml:space="preserve"> </w:t>
      </w:r>
      <w:r w:rsidRPr="00841EA4">
        <w:rPr>
          <w:rFonts w:cstheme="minorHAnsi"/>
          <w:szCs w:val="24"/>
        </w:rPr>
        <w:t>poszczególnymi fragmentami obszaru Natura 2000 oraz w trakcie prowadzenia ocen wpływu programów i przedsięwzięć na obszar Natura 2000.</w:t>
      </w:r>
    </w:p>
    <w:p w14:paraId="5A9E4E88" w14:textId="77777777" w:rsidR="009F1607" w:rsidRDefault="009F1607" w:rsidP="009F1607">
      <w:pPr>
        <w:spacing w:after="0"/>
        <w:rPr>
          <w:rFonts w:eastAsia="Times New Roman" w:cstheme="minorHAnsi"/>
          <w:szCs w:val="24"/>
        </w:rPr>
      </w:pPr>
      <w:r w:rsidRPr="00841EA4">
        <w:rPr>
          <w:rFonts w:eastAsia="Times New Roman" w:cstheme="minorHAnsi"/>
          <w:szCs w:val="24"/>
        </w:rPr>
        <w:t>Podsumowując, mając na uwadze poziom szczegółowości dokumentu podlegającego ocenie, jego cele szczegółowe i zakres zadań, nie zidentyfikowano znaczącego negatywnego oddziaływania na obszary Natura 2000, w tym na ich integralność, cele ochrony i spójność.</w:t>
      </w:r>
    </w:p>
    <w:p w14:paraId="06379E10" w14:textId="77777777" w:rsidR="009F1607" w:rsidRPr="00841EA4" w:rsidRDefault="009F1607" w:rsidP="009F1607">
      <w:pPr>
        <w:spacing w:after="0"/>
        <w:rPr>
          <w:rFonts w:ascii="Calibri" w:eastAsia="Times New Roman" w:hAnsi="Calibri" w:cs="Times New Roman"/>
          <w:szCs w:val="24"/>
        </w:rPr>
      </w:pPr>
    </w:p>
    <w:p w14:paraId="1EB77972" w14:textId="77777777" w:rsidR="009F1607" w:rsidRPr="00841EA4" w:rsidRDefault="009F1607" w:rsidP="009F1607">
      <w:pPr>
        <w:pStyle w:val="Nagwek1"/>
        <w:numPr>
          <w:ilvl w:val="1"/>
          <w:numId w:val="4"/>
        </w:numPr>
        <w:ind w:left="1134" w:hanging="774"/>
        <w:rPr>
          <w:caps w:val="0"/>
          <w:sz w:val="32"/>
        </w:rPr>
      </w:pPr>
      <w:bookmarkStart w:id="16" w:name="_Toc80283930"/>
      <w:bookmarkStart w:id="17" w:name="_Toc82945172"/>
      <w:bookmarkStart w:id="18" w:name="_Toc104790632"/>
      <w:bookmarkStart w:id="19" w:name="_Toc102902703"/>
      <w:r w:rsidRPr="00841EA4">
        <w:rPr>
          <w:caps w:val="0"/>
          <w:sz w:val="32"/>
        </w:rPr>
        <w:t>PRZEWIDYWANE ZNACZĄCE ODDZIAŁYWANIA NA ZDROWIE I JAKOŚĆ ŻYCIA LUDZI</w:t>
      </w:r>
      <w:bookmarkEnd w:id="16"/>
      <w:bookmarkEnd w:id="17"/>
      <w:bookmarkEnd w:id="18"/>
      <w:r w:rsidRPr="00841EA4">
        <w:rPr>
          <w:caps w:val="0"/>
          <w:sz w:val="32"/>
        </w:rPr>
        <w:t xml:space="preserve"> </w:t>
      </w:r>
      <w:bookmarkEnd w:id="19"/>
    </w:p>
    <w:p w14:paraId="7FBAD5A3" w14:textId="77777777" w:rsidR="009F1607" w:rsidRPr="00291FE0" w:rsidRDefault="009F1607" w:rsidP="009F1607">
      <w:pPr>
        <w:rPr>
          <w:rFonts w:cstheme="minorHAnsi"/>
        </w:rPr>
      </w:pPr>
      <w:r w:rsidRPr="00841EA4">
        <w:rPr>
          <w:rFonts w:cstheme="minorHAnsi"/>
        </w:rPr>
        <w:t>Realizacja działań przewidywanych w ramach Priorytetu 1.</w:t>
      </w:r>
      <w:r w:rsidRPr="00841EA4">
        <w:rPr>
          <w:rFonts w:cstheme="minorHAnsi"/>
          <w:i/>
        </w:rPr>
        <w:t xml:space="preserve"> </w:t>
      </w:r>
      <w:r w:rsidRPr="00841EA4">
        <w:rPr>
          <w:rFonts w:cstheme="minorHAnsi"/>
          <w:b/>
          <w:i/>
        </w:rPr>
        <w:t xml:space="preserve">FUNDUSZE EUROPEJSKIE NA RZECZ PRZEDSIĘBIORCZEGO POMORZA ZACHODNIEGO </w:t>
      </w:r>
      <w:r w:rsidRPr="00841EA4">
        <w:rPr>
          <w:rFonts w:cstheme="minorHAnsi"/>
        </w:rPr>
        <w:t>w</w:t>
      </w:r>
      <w:r w:rsidRPr="00841EA4">
        <w:rPr>
          <w:rFonts w:cstheme="minorHAnsi"/>
          <w:b/>
        </w:rPr>
        <w:t xml:space="preserve"> </w:t>
      </w:r>
      <w:r w:rsidRPr="00841EA4">
        <w:rPr>
          <w:rFonts w:cstheme="minorHAnsi"/>
        </w:rPr>
        <w:t>większości nie będzie wiązała się z negatywnym oddziaływaniem na zdrowie i jakość życia ludzi. Potencjalne negatywne oddziaływanie na ludzi może wystąpić jedynie w trakcie trwania realizacji inwestycji związanych z budową, modernizacją istniejącej infrastruktury badawczej lub rozbudową ośrodków badań naukowych lub przemysłowych, czy też instalacji pilotażowych lub linii produkcyjnych. Chwilowe uciążliwości dla ludzi mogą pojawić się podczas prac budowlanych, należą do nich: nadmierny hałas i</w:t>
      </w:r>
      <w:r w:rsidRPr="00841EA4">
        <w:rPr>
          <w:szCs w:val="22"/>
        </w:rPr>
        <w:t xml:space="preserve"> </w:t>
      </w:r>
      <w:r w:rsidRPr="00841EA4">
        <w:rPr>
          <w:rFonts w:cstheme="minorHAnsi"/>
        </w:rPr>
        <w:t xml:space="preserve">wibracje w trakcie budowy, zanieczyszczenie światłem, emisja pyłów i zanieczyszczeń, utrudnienia w postaci objazdów, zwężeń odcinków dróg, podczas prowadzenia prac inwestycyjnych. Niniejsze oddziaływania będą krótkotrwałe i przemijające, występujące jedynie w wymiarze lokalnym. </w:t>
      </w:r>
    </w:p>
    <w:p w14:paraId="3DA2DC81" w14:textId="77777777" w:rsidR="009F1607" w:rsidRPr="00841EA4" w:rsidRDefault="009F1607" w:rsidP="009F1607">
      <w:pPr>
        <w:rPr>
          <w:rFonts w:cstheme="minorHAnsi"/>
        </w:rPr>
      </w:pPr>
      <w:r w:rsidRPr="00841EA4">
        <w:rPr>
          <w:rFonts w:cstheme="minorHAnsi"/>
        </w:rPr>
        <w:t xml:space="preserve">Długotrwałych pozytywnych oddziaływań, zarówno pośrednich jak i bezpośrednich na zdrowie i jakość życia ludzi można upatrywać w ramach realizacji celu szczegółowego </w:t>
      </w:r>
      <w:r w:rsidRPr="00841EA4">
        <w:rPr>
          <w:rFonts w:cstheme="minorHAnsi"/>
          <w:i/>
          <w:iCs/>
        </w:rPr>
        <w:t>cs (i):</w:t>
      </w:r>
      <w:r w:rsidRPr="00841EA4">
        <w:rPr>
          <w:rFonts w:cstheme="minorHAnsi"/>
        </w:rPr>
        <w:t xml:space="preserve"> </w:t>
      </w:r>
      <w:r w:rsidRPr="00841EA4">
        <w:rPr>
          <w:rFonts w:cstheme="minorHAnsi"/>
          <w:i/>
        </w:rPr>
        <w:t>Rozwijanie i</w:t>
      </w:r>
      <w:r w:rsidRPr="00841EA4">
        <w:rPr>
          <w:szCs w:val="22"/>
        </w:rPr>
        <w:t xml:space="preserve"> </w:t>
      </w:r>
      <w:r w:rsidRPr="00841EA4">
        <w:rPr>
          <w:rFonts w:cstheme="minorHAnsi"/>
          <w:i/>
        </w:rPr>
        <w:t xml:space="preserve">wzmacnianie zdolności badawczych i innowacyjnych oraz /wykorzystywanie zaawansowanych technologii oraz cs (iii): Wzmacnianie trwałego wzrostu i konkurencyjności MŚP oraz tworzenie miejsc pracy w MŚP, w tym poprzez inwestycje produkcyjne. </w:t>
      </w:r>
      <w:r w:rsidRPr="00841EA4">
        <w:rPr>
          <w:rFonts w:cstheme="minorHAnsi"/>
        </w:rPr>
        <w:t>Pozytywne oddziaływania będą związane przede wszystkim z rozwojem gospodarczym regionu, tym samym ze wzrostem atrakcyjności regionu dla inwestorów, zwiększeniem ekspansji zagranicznej, co w sposób bezpośredni przyczyni się do utrzymania miejsc pracy, jednocześnie przyczyniając się do podniesienia standardów jakości życia mieszkańców. Planowane działania pozwolą na gospodarcze zaktywizowanie obszaru Specjalnej Strefy Włączenia (SSW), pozwoli to na pełniejsze wykorzystanie potencjału regionu oraz włączenie tych przedsiębiorstw w łańcuchy powiązań gospodarczych regionu. Ponadto planowane jest wsparcie dynamicznego rozwoju przedsiębiorstw działających w obszarze inteligentnych specjalizacji Pomorza Zachodniego oraz kontynuowanie działań w zakresie promocji eksportu i dalszej internacjonalizacji przedsiębiorstw oraz umacnianie wizerunku Pomorza Zachodniego jako regionu innowacyjnego, przyjaznego przedsiębiorcom. Wpłynie to na wzrost konkurencyjności przedsiębiorstw, również w skali międzynarodowej, co perspektywie długofalowej zapewni pracownikom nowe i stabilne miejsca pracy. W perspektywie długoterminowej pośredniego pozytywnego oddziaływania na zdrowie i jakość życia ludzi można również upatrywać w</w:t>
      </w:r>
      <w:r w:rsidRPr="00841EA4">
        <w:rPr>
          <w:szCs w:val="22"/>
        </w:rPr>
        <w:t xml:space="preserve"> </w:t>
      </w:r>
      <w:r w:rsidRPr="00841EA4">
        <w:rPr>
          <w:rFonts w:cstheme="minorHAnsi"/>
        </w:rPr>
        <w:t xml:space="preserve">kontekście poprawy jakości środowiska życia ludzi poprzez zastosowanie rozwiązań w obszarze zielonych technologii oraz transformacji do zielonej gospodarki. W ramach celu szczegółowego </w:t>
      </w:r>
      <w:r w:rsidRPr="00841EA4">
        <w:rPr>
          <w:rFonts w:cstheme="minorHAnsi"/>
          <w:i/>
        </w:rPr>
        <w:t>cs (ii):</w:t>
      </w:r>
      <w:r w:rsidRPr="00841EA4">
        <w:rPr>
          <w:rFonts w:cstheme="minorHAnsi"/>
        </w:rPr>
        <w:t xml:space="preserve"> </w:t>
      </w:r>
      <w:r w:rsidRPr="00841EA4">
        <w:rPr>
          <w:rFonts w:cstheme="minorHAnsi"/>
          <w:i/>
        </w:rPr>
        <w:t>Czerpanie korzyści z cyfryzacji dla obywateli, przedsiębiorstw, organizacji badawczych i instytucji publicznych</w:t>
      </w:r>
      <w:r w:rsidRPr="00841EA4">
        <w:rPr>
          <w:rFonts w:cstheme="minorHAnsi"/>
        </w:rPr>
        <w:t xml:space="preserve"> pozytywny wpływ na jakość życia ludzi będzie wynikał ze zwiększenia ilości usług oferowanych obywatelom w </w:t>
      </w:r>
      <w:r>
        <w:rPr>
          <w:rFonts w:cstheme="minorHAnsi"/>
        </w:rPr>
        <w:t>i</w:t>
      </w:r>
      <w:r w:rsidRPr="00841EA4">
        <w:rPr>
          <w:rFonts w:cstheme="minorHAnsi"/>
        </w:rPr>
        <w:t>nternecie, wdrażaniu programów stymulujących wprowadzanie w sektorze publicznym rozwiązań cyfrowych (urzędy, usługi dla biznesu i usługi publiczne oraz zwiększanie podaży i podnoszenie jakości e-usług sektora) oraz podniesieniu poziomu cyberbezpieczeństwa. Wychodząc naprzeciw oczekiwaniom społecznym mieszkańców województwa - wspierane będą działania rozszerzające zakres oferty usług administracji samorządowej, a także instytucji publicznych poprzez wykorzystanie istniejących i nowych technologii przyczyniających się do podniesienia jakości życia w regionie. Wsparcie ukierunkowane na projekty wdrożeniowe w zakresie innowacyjnych rozwiązań cyfrowych dla zdrowia, polegające przede wszystkim na tworzeniu systemów informatycznych w placówkach medycznych w województwie, zapewnienie ich interdyscyplinarności, cyfryzacji (np. informatyzacja, e-rejestracja, elektroniczna dokumentacja medyczna, elektroniczna archiwizacja ze szczególnym naciskiem na bezpieczeństwo danych), ulepszy warunki funkcjonowania i wyposażenia placówek medycznych, co w perspektywie długoterminowej będzie pozytywnie wpływać na stan zdrowia mieszkańców. Rozwój e-usług publicznych ułatwi prowadzenie działalności gospodarczej oraz przyspieszy załatwienie spraw przez przedsiębiorców. Ponadto planuje się rozszerzenie ucyfrowienia e-usług związanych z realizacją zadań obejmujących takie obszary jak: turystyka, sport, rolnictwo, ochrona środowiska, komunikacja i organizacja transportu oraz mobilność - realizowanych z wykorzystaniem danych przestrzennych, przyczyni się to do podniesienia jakości życia w regionie.</w:t>
      </w:r>
    </w:p>
    <w:p w14:paraId="2BF2184E" w14:textId="77777777" w:rsidR="009F1607" w:rsidRPr="005B6181" w:rsidRDefault="009F1607" w:rsidP="009F1607">
      <w:pPr>
        <w:rPr>
          <w:rFonts w:eastAsia="Times New Roman"/>
          <w:i/>
          <w:noProof/>
          <w:szCs w:val="22"/>
        </w:rPr>
      </w:pPr>
      <w:r w:rsidRPr="00841EA4">
        <w:rPr>
          <w:rFonts w:cstheme="minorHAnsi"/>
        </w:rPr>
        <w:t xml:space="preserve">Działania w ramach Priorytetu 2. </w:t>
      </w:r>
      <w:r w:rsidRPr="00841EA4">
        <w:rPr>
          <w:rFonts w:cstheme="minorHAnsi"/>
          <w:b/>
          <w:i/>
        </w:rPr>
        <w:t xml:space="preserve">FUNDUSZE EUROPEJSKIE NA RZECZ ZIELONEGO POMORZA ZACHODNIEGO </w:t>
      </w:r>
      <w:r w:rsidRPr="00841EA4">
        <w:rPr>
          <w:rFonts w:cstheme="minorHAnsi"/>
        </w:rPr>
        <w:t>nakierowane są na poprawę stanu środowiska (poprzez m.in. zmniejszenie emisji gazów cieplarnianych i poprawę jakości powietrza wskutek redukcji niskiej emisji), tym samym pośrednio na poprawę jakości życia ludzi w regionie.</w:t>
      </w:r>
      <w:r w:rsidRPr="00841EA4">
        <w:t xml:space="preserve"> </w:t>
      </w:r>
      <w:r w:rsidRPr="00841EA4">
        <w:rPr>
          <w:rFonts w:cstheme="minorHAnsi"/>
        </w:rPr>
        <w:t>W</w:t>
      </w:r>
      <w:r w:rsidRPr="00841EA4">
        <w:t xml:space="preserve"> </w:t>
      </w:r>
      <w:r w:rsidRPr="00841EA4">
        <w:rPr>
          <w:rFonts w:cstheme="minorHAnsi"/>
        </w:rPr>
        <w:t xml:space="preserve">ramach celu szczegółowego </w:t>
      </w:r>
      <w:r w:rsidRPr="00841EA4">
        <w:rPr>
          <w:rFonts w:cstheme="minorHAnsi"/>
          <w:i/>
        </w:rPr>
        <w:t>cs (i):</w:t>
      </w:r>
      <w:r w:rsidRPr="00841EA4">
        <w:rPr>
          <w:rFonts w:cstheme="minorHAnsi"/>
        </w:rPr>
        <w:t xml:space="preserve"> </w:t>
      </w:r>
      <w:r w:rsidRPr="00841EA4">
        <w:rPr>
          <w:rFonts w:cstheme="minorHAnsi"/>
          <w:i/>
        </w:rPr>
        <w:t>Wspieranie efektywności energetycznej i redukcji emisji gazów cieplarnianych</w:t>
      </w:r>
      <w:r w:rsidRPr="00841EA4">
        <w:rPr>
          <w:rFonts w:cstheme="minorHAnsi"/>
        </w:rPr>
        <w:t xml:space="preserve"> planuje się wspieranie przedsięwzięć w zakresie zwiększenia efektywności energetycznej oraz energooszczędności. Istotnym aspektem jest wspieranie wytwarzania energii elektrycznej i ciepła z OZE (m.in. energetyki rozproszonej). Planowane inwestycje w obszarze energetyki ukierunkowane będą na dekarbonizację sektora energetycznego, pozwolą na podniesienie lokalnego bezpieczeństwa energetycznego, w tym zwiększenie produkcji energii z OZE</w:t>
      </w:r>
      <w:r w:rsidRPr="00841EA4">
        <w:rPr>
          <w:rFonts w:eastAsia="Times New Roman"/>
          <w:noProof/>
          <w:szCs w:val="22"/>
        </w:rPr>
        <w:t xml:space="preserve"> (</w:t>
      </w:r>
      <w:r w:rsidRPr="00841EA4">
        <w:rPr>
          <w:rFonts w:eastAsia="Times New Roman"/>
          <w:i/>
          <w:noProof/>
          <w:szCs w:val="22"/>
        </w:rPr>
        <w:t xml:space="preserve">cs (ii): </w:t>
      </w:r>
      <w:r w:rsidRPr="00841EA4">
        <w:rPr>
          <w:rFonts w:eastAsia="Times New Roman"/>
          <w:i/>
          <w:noProof/>
          <w:szCs w:val="22"/>
          <w:lang w:bidi="pl-PL"/>
        </w:rPr>
        <w:t>Wspieranie energii odnawialnej zgodnie z dyrektywą(UE) 2018/2001, w tym z określonymi w niej kryteriami zrównoważonego rozwoju</w:t>
      </w:r>
      <w:r w:rsidRPr="00841EA4">
        <w:rPr>
          <w:rFonts w:eastAsia="Times New Roman"/>
          <w:noProof/>
          <w:szCs w:val="22"/>
        </w:rPr>
        <w:t xml:space="preserve">). W ramach celu szczegółowego </w:t>
      </w:r>
      <w:r w:rsidRPr="00841EA4">
        <w:rPr>
          <w:rFonts w:eastAsia="Times New Roman"/>
          <w:i/>
          <w:noProof/>
          <w:szCs w:val="22"/>
        </w:rPr>
        <w:t>cs (iv):</w:t>
      </w:r>
      <w:r w:rsidRPr="00841EA4">
        <w:rPr>
          <w:rFonts w:eastAsia="Times New Roman"/>
          <w:noProof/>
          <w:szCs w:val="22"/>
        </w:rPr>
        <w:t xml:space="preserve"> </w:t>
      </w:r>
      <w:r w:rsidRPr="00841EA4">
        <w:rPr>
          <w:rFonts w:eastAsia="Times New Roman"/>
          <w:i/>
          <w:noProof/>
          <w:szCs w:val="22"/>
          <w:lang w:bidi="pl-PL"/>
        </w:rPr>
        <w:t>Wspieranie przystosowania się do zmian klimatu i zapobiegania ryzyku związanemu z klęskami żywiołowymi i katastrofami, a także odporności, z uwzględnieniem podejścia ekosystemowego</w:t>
      </w:r>
      <w:r w:rsidRPr="00841EA4">
        <w:rPr>
          <w:rFonts w:eastAsia="Times New Roman"/>
          <w:noProof/>
          <w:szCs w:val="22"/>
          <w:lang w:bidi="pl-PL"/>
        </w:rPr>
        <w:t>, będą wspierane działania mające</w:t>
      </w:r>
      <w:r w:rsidRPr="00841EA4">
        <w:rPr>
          <w:rFonts w:eastAsia="Times New Roman"/>
          <w:i/>
          <w:noProof/>
          <w:szCs w:val="22"/>
        </w:rPr>
        <w:t xml:space="preserve"> </w:t>
      </w:r>
      <w:r w:rsidRPr="00841EA4">
        <w:rPr>
          <w:rFonts w:eastAsia="Times New Roman"/>
          <w:noProof/>
          <w:szCs w:val="22"/>
        </w:rPr>
        <w:t>pozytywny wpływ na jakość życia i poprawę bepieczeństwa mieszkańców regionu – w</w:t>
      </w:r>
      <w:r w:rsidRPr="00841EA4">
        <w:rPr>
          <w:szCs w:val="22"/>
        </w:rPr>
        <w:t xml:space="preserve"> </w:t>
      </w:r>
      <w:r w:rsidRPr="00841EA4">
        <w:rPr>
          <w:rFonts w:eastAsia="Times New Roman"/>
          <w:noProof/>
          <w:szCs w:val="22"/>
        </w:rPr>
        <w:t xml:space="preserve">kontekście ograniczenia negatywnych skutków zmian klimatu (z zachowaniem poszanowania środowiska), m.in. poprzez wdrażanie rozwiązań z zakresu małej retencji, rozwoju systemów prognozowania i ostrzegania przed zagrożeniami naturalnymi oraz wzmocnienia służb ratownictwa. Ponadto planuje się działania edukacyjne dla mieszkańców województwa, które przyczynią się do podniesienia świadomości ekologicznej oraz promocji właściwych postaw i zachowań ekologicznych. Działania w ramach celu szczegółowego </w:t>
      </w:r>
      <w:r w:rsidRPr="00841EA4">
        <w:rPr>
          <w:rFonts w:eastAsia="Times New Roman"/>
          <w:i/>
          <w:iCs/>
          <w:noProof/>
          <w:szCs w:val="22"/>
        </w:rPr>
        <w:t xml:space="preserve">cs (v): Wspieranie dostępu do wody oraz zrównoważonej gospodarki wodnej, </w:t>
      </w:r>
      <w:r w:rsidRPr="00841EA4">
        <w:rPr>
          <w:rFonts w:eastAsia="Times New Roman"/>
          <w:noProof/>
          <w:szCs w:val="22"/>
        </w:rPr>
        <w:t>przyczynią się do poprawy jakości życia ludności regionu poprzez zwiększenie dostępności wody zdatnej do spożycia oraz poprawy jakości wody dostarczanej mieszkańcom.</w:t>
      </w:r>
      <w:r w:rsidRPr="00841EA4">
        <w:rPr>
          <w:rFonts w:eastAsia="Times New Roman"/>
          <w:i/>
          <w:iCs/>
          <w:noProof/>
          <w:szCs w:val="22"/>
        </w:rPr>
        <w:t xml:space="preserve"> </w:t>
      </w:r>
      <w:r w:rsidRPr="00841EA4">
        <w:rPr>
          <w:rFonts w:cstheme="minorHAnsi"/>
          <w:szCs w:val="22"/>
        </w:rPr>
        <w:t xml:space="preserve">Z kolei działania w ramach celu szczegółowego </w:t>
      </w:r>
      <w:r w:rsidRPr="00841EA4">
        <w:rPr>
          <w:rFonts w:cstheme="minorHAnsi"/>
          <w:i/>
          <w:szCs w:val="22"/>
        </w:rPr>
        <w:t>cs</w:t>
      </w:r>
      <w:r w:rsidRPr="00841EA4">
        <w:rPr>
          <w:rFonts w:cstheme="minorHAnsi"/>
          <w:szCs w:val="22"/>
        </w:rPr>
        <w:t xml:space="preserve"> </w:t>
      </w:r>
      <w:r w:rsidRPr="00841EA4">
        <w:rPr>
          <w:rFonts w:cstheme="minorHAnsi"/>
          <w:i/>
          <w:szCs w:val="22"/>
        </w:rPr>
        <w:t>(vi):</w:t>
      </w:r>
      <w:r w:rsidRPr="00841EA4">
        <w:rPr>
          <w:rFonts w:cstheme="minorHAnsi"/>
          <w:szCs w:val="22"/>
        </w:rPr>
        <w:t xml:space="preserve"> </w:t>
      </w:r>
      <w:r w:rsidRPr="00841EA4">
        <w:rPr>
          <w:rFonts w:cstheme="minorHAnsi"/>
          <w:i/>
          <w:szCs w:val="22"/>
        </w:rPr>
        <w:t xml:space="preserve">Wspieranie transformacji w kierunku gospodarki o obiegu zamkniętym i gospodarki zasobooszczędnej </w:t>
      </w:r>
      <w:r w:rsidRPr="00841EA4">
        <w:rPr>
          <w:rFonts w:cstheme="minorHAnsi"/>
          <w:szCs w:val="22"/>
        </w:rPr>
        <w:t xml:space="preserve">oraz </w:t>
      </w:r>
      <w:r w:rsidRPr="00841EA4">
        <w:rPr>
          <w:rFonts w:cstheme="minorHAnsi"/>
          <w:i/>
          <w:szCs w:val="22"/>
        </w:rPr>
        <w:t>cs (vii):</w:t>
      </w:r>
      <w:r w:rsidRPr="00841EA4">
        <w:rPr>
          <w:rFonts w:cstheme="minorHAnsi"/>
          <w:szCs w:val="22"/>
        </w:rPr>
        <w:t xml:space="preserve"> </w:t>
      </w:r>
      <w:r w:rsidRPr="00841EA4">
        <w:rPr>
          <w:rFonts w:cstheme="minorHAnsi"/>
          <w:i/>
          <w:szCs w:val="22"/>
        </w:rPr>
        <w:t>Wzmacnianie ochrony i zachowania przyrody, różnorodności biologicznej oraz zielonej infrastruktury, w</w:t>
      </w:r>
      <w:r w:rsidRPr="00841EA4">
        <w:rPr>
          <w:szCs w:val="22"/>
        </w:rPr>
        <w:t xml:space="preserve"> </w:t>
      </w:r>
      <w:r w:rsidRPr="00841EA4">
        <w:rPr>
          <w:rFonts w:cstheme="minorHAnsi"/>
          <w:i/>
          <w:szCs w:val="22"/>
        </w:rPr>
        <w:t xml:space="preserve">tym na obszarach miejskich oraz ograniczanie wszelkich rodzajów zanieczyszczenia </w:t>
      </w:r>
      <w:r w:rsidRPr="00841EA4">
        <w:rPr>
          <w:rFonts w:cstheme="minorHAnsi"/>
          <w:szCs w:val="22"/>
        </w:rPr>
        <w:t>przyczynią się do rozwoju zdolności recyklingu wyselekcjonowanych odpadów komunalnych, oczyszczenia terenu z azbestu, utylizacji odpadów niebezpiecznych pochodzących z gospodarstw domowych, zmniejszenia ilości powstawania odpadów oraz wzrostu świadomości ekologicznej mieszkańców, ochrony i zachowania różnorodności biologicznej, co w perspektywie długoterminowej będzie miało odzwierciedlenie w poprawie jakości środowiska życia ludzi.</w:t>
      </w:r>
    </w:p>
    <w:p w14:paraId="019B4134" w14:textId="49611EC3" w:rsidR="009F1607" w:rsidRPr="005B6181" w:rsidRDefault="009F1607" w:rsidP="009F1607">
      <w:pPr>
        <w:rPr>
          <w:rFonts w:cstheme="minorHAnsi"/>
          <w:szCs w:val="22"/>
        </w:rPr>
      </w:pPr>
      <w:r w:rsidRPr="00841EA4">
        <w:rPr>
          <w:rFonts w:cstheme="minorHAnsi"/>
          <w:szCs w:val="22"/>
        </w:rPr>
        <w:t>Potencjalnego, krótkotrwałego negatywnego oddziaływania na zdrowie i jakość życia ludzi można się spodziewać w związku z realizacją prac obejmujących: termomodernizację budynków, podłączenie lub budowę/rozbudowę/modernizację sieci ciepłowniczych/chłodniczych wraz z instalacją OZE (</w:t>
      </w:r>
      <w:r w:rsidRPr="00841EA4">
        <w:rPr>
          <w:rFonts w:cstheme="minorHAnsi"/>
          <w:i/>
          <w:szCs w:val="22"/>
        </w:rPr>
        <w:t>cs (i):</w:t>
      </w:r>
      <w:r w:rsidRPr="00841EA4">
        <w:rPr>
          <w:rFonts w:cstheme="minorHAnsi"/>
          <w:szCs w:val="22"/>
        </w:rPr>
        <w:t xml:space="preserve"> </w:t>
      </w:r>
      <w:r w:rsidRPr="00841EA4">
        <w:rPr>
          <w:rFonts w:cstheme="minorHAnsi"/>
          <w:i/>
          <w:szCs w:val="22"/>
        </w:rPr>
        <w:t xml:space="preserve">Wspieranie efektywności energetycznej i redukcji emisji gazów cieplarnianych; </w:t>
      </w:r>
      <w:r w:rsidRPr="00841EA4">
        <w:rPr>
          <w:rFonts w:cstheme="minorHAnsi"/>
          <w:szCs w:val="22"/>
        </w:rPr>
        <w:t>budowę</w:t>
      </w:r>
      <w:r w:rsidRPr="00841EA4">
        <w:t>, roz</w:t>
      </w:r>
      <w:r w:rsidRPr="00841EA4">
        <w:rPr>
          <w:rFonts w:cstheme="minorHAnsi"/>
          <w:szCs w:val="22"/>
        </w:rPr>
        <w:t>budowę i modernizację instalacji OZE (</w:t>
      </w:r>
      <w:r w:rsidRPr="00841EA4">
        <w:rPr>
          <w:rFonts w:cstheme="minorHAnsi"/>
          <w:i/>
          <w:szCs w:val="22"/>
        </w:rPr>
        <w:t>cs (ii):</w:t>
      </w:r>
      <w:r w:rsidRPr="00841EA4">
        <w:rPr>
          <w:rFonts w:cstheme="minorHAnsi"/>
          <w:szCs w:val="22"/>
        </w:rPr>
        <w:t xml:space="preserve"> </w:t>
      </w:r>
      <w:r w:rsidRPr="00841EA4">
        <w:rPr>
          <w:rFonts w:cstheme="minorHAnsi"/>
          <w:i/>
          <w:szCs w:val="22"/>
          <w:lang w:bidi="pl-PL"/>
        </w:rPr>
        <w:t>Wspieranie energii odnawialnej zgodnie z dyrektywą (UE) 2018/2001, w tym z określonymi w niej kryteriami zrównoważonego rozwoju</w:t>
      </w:r>
      <w:r w:rsidRPr="00841EA4">
        <w:rPr>
          <w:rFonts w:cstheme="minorHAnsi"/>
          <w:szCs w:val="22"/>
        </w:rPr>
        <w:t>); realizacją projektów związanych z inwestycjami mającymi na calu zwiększenie odporności na negatywne skutki zmian klimatu m.in. budową lub przebudową kanalizacji deszczowej (opartych na zielonej i niebieskiej infrastrukturze), projektów z zakresu małej retencji (</w:t>
      </w:r>
      <w:r w:rsidRPr="00841EA4">
        <w:rPr>
          <w:rFonts w:cstheme="minorHAnsi"/>
          <w:i/>
          <w:szCs w:val="22"/>
        </w:rPr>
        <w:t>cs (iv):</w:t>
      </w:r>
      <w:r w:rsidRPr="00841EA4">
        <w:rPr>
          <w:rFonts w:cstheme="minorHAnsi"/>
          <w:szCs w:val="22"/>
        </w:rPr>
        <w:t xml:space="preserve"> </w:t>
      </w:r>
      <w:r w:rsidRPr="00841EA4">
        <w:rPr>
          <w:rFonts w:cstheme="minorHAnsi"/>
          <w:i/>
          <w:szCs w:val="22"/>
          <w:lang w:bidi="pl-PL"/>
        </w:rPr>
        <w:t>Wspieranie przystosowania się do zmian klimatu i zapobiegania ryzyku związanemu z klęskami żywiołowymi i katastrofami, a także odporności, z uwzględnieniem podejścia ekosystemowego</w:t>
      </w:r>
      <w:r w:rsidRPr="00841EA4">
        <w:rPr>
          <w:rFonts w:cstheme="minorHAnsi"/>
          <w:szCs w:val="22"/>
        </w:rPr>
        <w:t>), budową lub modernizacją sieci kanalizacyjnych, oczyszczalni ścieków,</w:t>
      </w:r>
      <w:r w:rsidR="00D4052B">
        <w:rPr>
          <w:rFonts w:cstheme="minorHAnsi"/>
          <w:szCs w:val="22"/>
        </w:rPr>
        <w:t xml:space="preserve"> </w:t>
      </w:r>
      <w:r w:rsidRPr="00841EA4">
        <w:rPr>
          <w:rFonts w:cstheme="minorHAnsi"/>
          <w:szCs w:val="22"/>
        </w:rPr>
        <w:t>instalacji unieszkodliwiania i przetwarzania osadów ściekowych oraz budową, modernizacją, rozbudową systemów zaopatrzenia i magazynowania wody, w tym stacji uzdatniania wody (</w:t>
      </w:r>
      <w:r w:rsidRPr="00841EA4">
        <w:rPr>
          <w:rFonts w:cstheme="minorHAnsi"/>
          <w:i/>
          <w:szCs w:val="22"/>
        </w:rPr>
        <w:t>cs (v):</w:t>
      </w:r>
      <w:r w:rsidRPr="00841EA4">
        <w:rPr>
          <w:rFonts w:cstheme="minorHAnsi"/>
          <w:szCs w:val="22"/>
        </w:rPr>
        <w:t xml:space="preserve"> </w:t>
      </w:r>
      <w:r w:rsidRPr="00841EA4">
        <w:rPr>
          <w:rFonts w:cstheme="minorHAnsi"/>
          <w:i/>
          <w:szCs w:val="22"/>
        </w:rPr>
        <w:t>Wspieranie dostępu do wody oraz zrównoważonej gospodarki wodnej</w:t>
      </w:r>
      <w:r w:rsidRPr="00841EA4">
        <w:rPr>
          <w:rFonts w:cstheme="minorHAnsi"/>
          <w:szCs w:val="22"/>
        </w:rPr>
        <w:t>); działań inwestycyjnych związanych z gospodarką odpadami (</w:t>
      </w:r>
      <w:r w:rsidRPr="005B6181">
        <w:rPr>
          <w:rFonts w:cstheme="minorHAnsi"/>
          <w:i/>
          <w:szCs w:val="22"/>
        </w:rPr>
        <w:t xml:space="preserve">cs </w:t>
      </w:r>
      <w:r w:rsidRPr="00841EA4">
        <w:rPr>
          <w:rFonts w:cstheme="minorHAnsi"/>
          <w:i/>
          <w:szCs w:val="22"/>
        </w:rPr>
        <w:t xml:space="preserve">(vi): Wspieranie transformacji w kierunku gospodarki o obiegu zamkniętym i gospodarki zasobooszczędnej), </w:t>
      </w:r>
      <w:r w:rsidRPr="00841EA4">
        <w:rPr>
          <w:rFonts w:cstheme="minorHAnsi"/>
          <w:szCs w:val="22"/>
        </w:rPr>
        <w:t>inwestycjami z zakresu renaturyzacji powierzchni ziemi zdegradowanej działalnością człowieka (</w:t>
      </w:r>
      <w:r w:rsidRPr="00841EA4">
        <w:rPr>
          <w:rFonts w:cstheme="minorHAnsi"/>
          <w:i/>
          <w:szCs w:val="22"/>
        </w:rPr>
        <w:t>cs (vii): Wzmacnianie ochrony i zachowania przyrody, różnorodności biologicznej oraz zielonej infrastruktury, w tym na obszarach miejskich, oraz ograniczanie wszelkich rodzajów zanieczyszczenia</w:t>
      </w:r>
      <w:r w:rsidRPr="00841EA4">
        <w:rPr>
          <w:rFonts w:cstheme="minorHAnsi"/>
          <w:szCs w:val="22"/>
        </w:rPr>
        <w:t>).</w:t>
      </w:r>
      <w:r w:rsidRPr="00841EA4">
        <w:rPr>
          <w:rFonts w:cstheme="minorHAnsi"/>
          <w:i/>
          <w:szCs w:val="22"/>
        </w:rPr>
        <w:t xml:space="preserve"> </w:t>
      </w:r>
      <w:r w:rsidRPr="00841EA4">
        <w:rPr>
          <w:rFonts w:cstheme="minorHAnsi"/>
          <w:szCs w:val="22"/>
        </w:rPr>
        <w:t>Negatywne oddziaływania mogą wiązać się z nadmiernym hałasem, wibracjami, pyleniem i zanieczyszczeniem światłem w trakcie budowy, emisją pyłów i zanieczyszczeń, utrudnieniami w postaci objazdów, zwężeń odcinków dróg, podczas prowadzenia prac inwestycyjnych, składowaniem odpadów powstających w trakcie prac budowlanych. Powyższe oddziaływania będą miały charakter lokalny i krótkoterminowy, będą przede wszystkim wynikiem prowadzonych prac budowlanych na etapie realizacji inwestycji.</w:t>
      </w:r>
    </w:p>
    <w:p w14:paraId="3C212BB4" w14:textId="77777777" w:rsidR="009F1607" w:rsidRPr="005B6181" w:rsidRDefault="009F1607" w:rsidP="009F1607">
      <w:pPr>
        <w:rPr>
          <w:rFonts w:cstheme="minorHAnsi"/>
          <w:szCs w:val="22"/>
        </w:rPr>
      </w:pPr>
      <w:r w:rsidRPr="00841EA4">
        <w:rPr>
          <w:rFonts w:cstheme="minorHAnsi"/>
          <w:szCs w:val="22"/>
        </w:rPr>
        <w:t xml:space="preserve">Realizacja działań w ramach Priorytetu 3. </w:t>
      </w:r>
      <w:r w:rsidRPr="00841EA4">
        <w:rPr>
          <w:rFonts w:cstheme="minorHAnsi"/>
          <w:b/>
          <w:i/>
          <w:szCs w:val="22"/>
        </w:rPr>
        <w:t xml:space="preserve">FUNDUSZE EUROPEJSKIE NA RZECZ MOBILNEGO POMORZA ZACHODNIEGO </w:t>
      </w:r>
      <w:r w:rsidRPr="00841EA4">
        <w:rPr>
          <w:rFonts w:cstheme="minorHAnsi"/>
          <w:szCs w:val="22"/>
        </w:rPr>
        <w:t>w</w:t>
      </w:r>
      <w:r w:rsidRPr="00841EA4">
        <w:rPr>
          <w:rFonts w:cstheme="minorHAnsi"/>
          <w:i/>
          <w:szCs w:val="22"/>
        </w:rPr>
        <w:t xml:space="preserve"> </w:t>
      </w:r>
      <w:r w:rsidRPr="00841EA4">
        <w:rPr>
          <w:rFonts w:cstheme="minorHAnsi"/>
          <w:szCs w:val="22"/>
        </w:rPr>
        <w:t>ramach celu szczegółowego</w:t>
      </w:r>
      <w:r w:rsidRPr="00841EA4">
        <w:rPr>
          <w:rFonts w:cstheme="minorHAnsi"/>
          <w:i/>
          <w:szCs w:val="22"/>
        </w:rPr>
        <w:t xml:space="preserve"> cs (viii): Wspieranie zrównoważonej multimodalnej mobilności miejskiej jako elementu transformacji w kierunku gospodarki zeroemisyjnej, </w:t>
      </w:r>
      <w:r w:rsidRPr="00841EA4">
        <w:rPr>
          <w:rFonts w:cstheme="minorHAnsi"/>
          <w:szCs w:val="22"/>
        </w:rPr>
        <w:t xml:space="preserve">w długoterminowym ujęciu przyczyni się do poprawy jakości życia ludzi poprzez rozwój zrównoważonego publicznego transportu zbiorowego oraz bezemisyjnej mobilności w miastach i na ich obszarach funkcjonalnych, a także wdrażanie w miastach inteligentnych i pilotażowych rozwiązań technologicznych oraz innowacji społecznych. Pośrednio przyczyni się także do polepszenia stanu zdrowia ludzi poprzez poprawę jakości powietrza oraz zmiany nawyków transportowych. Negatywnego oddziaływania na jakość życia ludzi można upatrywać w kontekście uciążliwości na etapie realizacji inwestycji w infrastrukturę drogową transportu publicznego (budowa, przebudowa), inwestycji związanymi z systemami zarządzania ruchem i energią (budowa, rozbudowa, modernizacja). Przewiduje się krótkotrwałe i przemijające negatywne oddziaływania na ludzi, takie jak: nadmierny hałas, wibracje, pylenie, zanieczyszczenie oświetleniem w trakcie budowy, zmiana organizacji ruchu. </w:t>
      </w:r>
    </w:p>
    <w:p w14:paraId="5F965AA0" w14:textId="77777777" w:rsidR="009F1607" w:rsidRPr="00841EA4" w:rsidRDefault="009F1607" w:rsidP="009F1607">
      <w:pPr>
        <w:rPr>
          <w:rFonts w:cstheme="minorHAnsi"/>
        </w:rPr>
      </w:pPr>
      <w:r w:rsidRPr="00841EA4">
        <w:rPr>
          <w:rFonts w:cstheme="minorHAnsi"/>
        </w:rPr>
        <w:t>Realizacja działań w ramach Priorytetu 4</w:t>
      </w:r>
      <w:r w:rsidRPr="00841EA4">
        <w:rPr>
          <w:rFonts w:cstheme="minorHAnsi"/>
          <w:b/>
        </w:rPr>
        <w:t xml:space="preserve"> </w:t>
      </w:r>
      <w:r w:rsidRPr="00841EA4">
        <w:rPr>
          <w:rFonts w:cstheme="minorHAnsi"/>
          <w:b/>
          <w:i/>
        </w:rPr>
        <w:t>FUNDUSZE EUROPEJSKIE NA RZECZ POŁĄCZONEGO POMORZA ZACHODNIEGO</w:t>
      </w:r>
      <w:r w:rsidRPr="00841EA4">
        <w:rPr>
          <w:rFonts w:cstheme="minorHAnsi"/>
        </w:rPr>
        <w:t xml:space="preserve">, celu szczegółowego </w:t>
      </w:r>
      <w:r w:rsidRPr="00841EA4">
        <w:rPr>
          <w:rFonts w:cstheme="minorHAnsi"/>
          <w:i/>
        </w:rPr>
        <w:t>cs (ii):</w:t>
      </w:r>
      <w:r w:rsidRPr="00841EA4">
        <w:rPr>
          <w:rFonts w:cstheme="minorHAnsi"/>
        </w:rPr>
        <w:t xml:space="preserve"> </w:t>
      </w:r>
      <w:r w:rsidRPr="00841EA4">
        <w:rPr>
          <w:rFonts w:cstheme="minorHAnsi"/>
          <w:i/>
        </w:rPr>
        <w:t>Rozwój i udoskonalanie zrównoważonej, odpornej na zmiany klimatu, inteligentnej i</w:t>
      </w:r>
      <w:r w:rsidRPr="00841EA4">
        <w:rPr>
          <w:szCs w:val="22"/>
        </w:rPr>
        <w:t xml:space="preserve"> </w:t>
      </w:r>
      <w:r w:rsidRPr="00841EA4">
        <w:rPr>
          <w:rFonts w:cstheme="minorHAnsi"/>
          <w:i/>
        </w:rPr>
        <w:t xml:space="preserve">intermodalnej mobilności na poziomie krajowym, regionalnym i lokalnym, w tym poprawę dostępu do TEN-T oraz mobilności transgranicznej, </w:t>
      </w:r>
      <w:r w:rsidRPr="00841EA4">
        <w:rPr>
          <w:rFonts w:cstheme="minorHAnsi"/>
        </w:rPr>
        <w:t>w</w:t>
      </w:r>
      <w:r w:rsidRPr="00841EA4">
        <w:rPr>
          <w:rFonts w:cstheme="minorHAnsi"/>
          <w:i/>
        </w:rPr>
        <w:t xml:space="preserve"> </w:t>
      </w:r>
      <w:r w:rsidRPr="00841EA4">
        <w:rPr>
          <w:rFonts w:cstheme="minorHAnsi"/>
        </w:rPr>
        <w:t xml:space="preserve">kontekście długoterminowym wpłynie na poprawę jakości środowiska (m.in. zmniejszenia hałasu w wyniku zmniejszenia ruchu samochodowego w centrach miejscowości oraz zmniejszenia emisji zanieczyszczeń (poprawa jakości powietrza) w wyniku zakupu i modernizacji niskoemisyjnego transportu zbiorowego), poprawę bezpieczeństwa drogowego na terenie miasta oraz ograniczenia ruchu pojazdów szczególnie uciążliwych, a tym samym bezpiecznych i przyjaznych warunków życia ludzi. Negatywne oddziaływania mogą wystąpić na etapie realizacji inwestycji, mogą się wiązać z nadmiernym hałasem, wibracjami i zanieczyszczeniem światłem w trakcie budowy, emisją pyłów i zanieczyszczeń, utrudnieniami w postaci objazdów, zwężeń odcinków dróg, podczas prowadzenia prac inwestycyjnych, składowaniem odpadów powstających w trakcie prac budowlanych. W perspektywie długoterminowej potencjalne negatywne oddziaływanie może obejmować hałas i emisję zanieczyszczeń w związku intensywnym </w:t>
      </w:r>
      <w:r w:rsidRPr="00841EA4">
        <w:rPr>
          <w:szCs w:val="22"/>
        </w:rPr>
        <w:t>użytkowaniem</w:t>
      </w:r>
      <w:r w:rsidRPr="00841EA4">
        <w:rPr>
          <w:rFonts w:cstheme="minorHAnsi"/>
        </w:rPr>
        <w:t xml:space="preserve"> infrastruktury transportu publicznego oraz dróg w bliskiej odległości od miejsca zamieszkania ludzi.</w:t>
      </w:r>
    </w:p>
    <w:p w14:paraId="261FA74F" w14:textId="77777777" w:rsidR="009F1607" w:rsidRPr="00841EA4" w:rsidRDefault="009F1607" w:rsidP="009F1607">
      <w:pPr>
        <w:rPr>
          <w:rFonts w:eastAsiaTheme="minorHAnsi" w:cs="Calibri"/>
          <w:szCs w:val="24"/>
        </w:rPr>
      </w:pPr>
      <w:r w:rsidRPr="00841EA4">
        <w:rPr>
          <w:rFonts w:cstheme="minorHAnsi"/>
        </w:rPr>
        <w:t xml:space="preserve">Działania w ramach Priorytetu 5. </w:t>
      </w:r>
      <w:r w:rsidRPr="00841EA4">
        <w:rPr>
          <w:rFonts w:cstheme="minorHAnsi"/>
          <w:b/>
          <w:i/>
        </w:rPr>
        <w:t>FUNDUSZE EUROPEJSKIE NA RZECZ PRZYJAZNEGO MIESZKANKOM I MIESZKAŃCOM POMORZA ZACHODNIEGO</w:t>
      </w:r>
      <w:r w:rsidRPr="00841EA4">
        <w:rPr>
          <w:rFonts w:cstheme="minorHAnsi"/>
          <w:bCs/>
          <w:i/>
        </w:rPr>
        <w:t>,</w:t>
      </w:r>
      <w:r w:rsidRPr="00841EA4">
        <w:rPr>
          <w:szCs w:val="24"/>
        </w:rPr>
        <w:t xml:space="preserve"> charakteryzują się pozytywnym charakterem oddziaływania na zdrowie i jakość życia ludzi, gdyż działania niniejszego priorytetu koncentrują się w obrębie obszaru społecznego. Pozytywnego oddziaływania w wyniku realizacji działań w ramach celu szczegółowego </w:t>
      </w:r>
      <w:r w:rsidRPr="00841EA4">
        <w:rPr>
          <w:i/>
          <w:szCs w:val="24"/>
        </w:rPr>
        <w:t>cs</w:t>
      </w:r>
      <w:r w:rsidRPr="00841EA4">
        <w:rPr>
          <w:i/>
        </w:rPr>
        <w:t xml:space="preserve"> </w:t>
      </w:r>
      <w:r w:rsidRPr="00841EA4">
        <w:rPr>
          <w:i/>
          <w:szCs w:val="24"/>
        </w:rPr>
        <w:t>(ii):</w:t>
      </w:r>
      <w:r w:rsidRPr="00841EA4">
        <w:rPr>
          <w:szCs w:val="24"/>
        </w:rPr>
        <w:t xml:space="preserve"> </w:t>
      </w:r>
      <w:r w:rsidRPr="00841EA4">
        <w:rPr>
          <w:i/>
          <w:szCs w:val="24"/>
        </w:rPr>
        <w:t>Poprawa równego dostępu do wysokiej jakości usług sprzyjających włączeniu społecznemu w</w:t>
      </w:r>
      <w:r w:rsidRPr="00841EA4">
        <w:rPr>
          <w:szCs w:val="22"/>
        </w:rPr>
        <w:t xml:space="preserve"> z</w:t>
      </w:r>
      <w:r w:rsidRPr="00841EA4">
        <w:rPr>
          <w:i/>
          <w:szCs w:val="24"/>
        </w:rPr>
        <w:t xml:space="preserve">akresie kształcenia, szkoleń i uczenia się przez całe życie poprzez rozwój łatwo dostępnej infrastruktury, w tym poprzez wspieranie odporności w zakresie kształcenia i szkolenia na odległość oraz online, </w:t>
      </w:r>
      <w:r w:rsidRPr="00841EA4">
        <w:rPr>
          <w:szCs w:val="24"/>
        </w:rPr>
        <w:t xml:space="preserve">można oczekiwać poprzez dostosowanie systemów kształcenia i szkolenia do aktualnych potrzeb rynku pracy, co przyczyni się do podniesienia poziomu wykształcenia mieszkańców oraz likwidacji barier w dostępie do nabywania umiejętności i kompetencji zawodowych. Istotnym aspektem są działania służące wzmacnianiu sprawności fizycznej uczniów (pozytywny wpływ na rozwój psychofizyczny dzieci i młodzieży). </w:t>
      </w:r>
      <w:r w:rsidRPr="00841EA4">
        <w:rPr>
          <w:rFonts w:cstheme="minorHAnsi"/>
        </w:rPr>
        <w:t>Chwilowe uciążliwości dla ludzi mogą pojawić się podczas prac budowlanych przewidzianych w ramach ww. celu szczegółowego tj. budowie, przebudowie, rozbudowie i funkcjonalnym dostosowaniu szkół i placówek oświatowych oraz inwestycjach w obiekty służące wzmacnianiu sprawności fizycznej uczniów (szkolna infrastruktura sportowa), należą do nich: nadmierny hałas i</w:t>
      </w:r>
      <w:r w:rsidRPr="00841EA4">
        <w:rPr>
          <w:szCs w:val="22"/>
        </w:rPr>
        <w:t xml:space="preserve"> </w:t>
      </w:r>
      <w:r w:rsidRPr="00841EA4">
        <w:rPr>
          <w:rFonts w:cstheme="minorHAnsi"/>
        </w:rPr>
        <w:t>wibracje w trakcie budowy, emisja pyłów i zanieczyszczeń. Niniejsze oddziaływania będą krótkotrwałe i przemijające, występujące jedynie w wymiarze lokalnym.</w:t>
      </w:r>
      <w:r w:rsidRPr="00841EA4">
        <w:rPr>
          <w:szCs w:val="24"/>
        </w:rPr>
        <w:t xml:space="preserve"> Realizacja działań w ramach </w:t>
      </w:r>
      <w:r w:rsidRPr="00841EA4">
        <w:rPr>
          <w:i/>
          <w:szCs w:val="24"/>
        </w:rPr>
        <w:t>cs (iii):</w:t>
      </w:r>
      <w:r w:rsidRPr="00841EA4">
        <w:rPr>
          <w:szCs w:val="24"/>
        </w:rPr>
        <w:t xml:space="preserve"> </w:t>
      </w:r>
      <w:r w:rsidRPr="00841EA4">
        <w:rPr>
          <w:i/>
          <w:szCs w:val="24"/>
        </w:rPr>
        <w:t xml:space="preserve">Wspieranie włączenia społeczno-gospodarczego społeczności marginalizowanych gospodarstw domowych o niskich dochodach oraz grup w niekorzystnej sytuacji, w tym osób o szczególnych potrzebach, dzięki zintegrowanym działaniom obejmującym usługi mieszkaniowe i usługi społeczne </w:t>
      </w:r>
      <w:r w:rsidRPr="00841EA4">
        <w:rPr>
          <w:szCs w:val="24"/>
        </w:rPr>
        <w:t xml:space="preserve">przyczyni się do włączenia społecznego oraz aktywizacji zawodowej grup w niekorzystnej sytuacji, zapewnienia opieki oraz poprawy dostępności przestrzeni publicznej osobom z niepełnosprawnościami lub w podeszłym wieku. Ponadto planuje się wsparcie infrastruktury rodzinnych domów dziecka celem zapewnienia dzieciom warunków zbliżonych do tych w rodzinach naturalnych. Działania przewidziane w ramach </w:t>
      </w:r>
      <w:r w:rsidRPr="00841EA4">
        <w:rPr>
          <w:i/>
          <w:szCs w:val="24"/>
        </w:rPr>
        <w:t xml:space="preserve">cs (iv): Wspieranie integracji społeczno-gospodarczej obywateli państw trzecich, w tym migrantów, dzięki zintegrowanym działaniom obejmującym usługi mieszkaniowe i usługi społeczne, </w:t>
      </w:r>
      <w:r w:rsidRPr="00841EA4">
        <w:rPr>
          <w:szCs w:val="24"/>
        </w:rPr>
        <w:t xml:space="preserve">pozwolą na integrację oraz aktywizację zawodową wraz z zapewnieniem bezpieczeństwa mieszkaniowego dla migrantów. Z kolei działania w ramach </w:t>
      </w:r>
      <w:r w:rsidRPr="00841EA4">
        <w:rPr>
          <w:i/>
          <w:szCs w:val="24"/>
        </w:rPr>
        <w:t>cs (v):</w:t>
      </w:r>
      <w:r w:rsidRPr="00841EA4">
        <w:rPr>
          <w:szCs w:val="24"/>
        </w:rPr>
        <w:t xml:space="preserve"> </w:t>
      </w:r>
      <w:r w:rsidRPr="00841EA4">
        <w:rPr>
          <w:i/>
          <w:szCs w:val="24"/>
        </w:rPr>
        <w:t>Zapewnianie równego dostępu do opieki zdrowotnej i wspieranie odporności systemów opieki zdrowotnej, w tym podstawowej opieki zdrowotnej, oraz wspieranie przechodzenia od opieki instytucjonalnej do opieki rodzinnej i środowiskowej</w:t>
      </w:r>
      <w:r w:rsidRPr="00841EA4">
        <w:rPr>
          <w:szCs w:val="24"/>
        </w:rPr>
        <w:t xml:space="preserve"> w pozytywny sposób wpłyną na poprawę jakości życia i zdrowia mieszkańców, dzięki zwiększeniu jakości, dostępności, organizacji i funkcjonalności świadczonych usług medycznych m.in. opieki psychiatrycznej. </w:t>
      </w:r>
      <w:r w:rsidRPr="00841EA4">
        <w:rPr>
          <w:rFonts w:cstheme="minorHAnsi"/>
        </w:rPr>
        <w:t xml:space="preserve">Realizacja działań w ramach celu szczegółowego </w:t>
      </w:r>
      <w:r w:rsidRPr="00841EA4">
        <w:rPr>
          <w:rFonts w:cstheme="minorHAnsi"/>
          <w:i/>
        </w:rPr>
        <w:t>cs (v</w:t>
      </w:r>
      <w:r>
        <w:rPr>
          <w:rFonts w:cstheme="minorHAnsi"/>
          <w:i/>
        </w:rPr>
        <w:t>i</w:t>
      </w:r>
      <w:r w:rsidRPr="00841EA4">
        <w:rPr>
          <w:rFonts w:cstheme="minorHAnsi"/>
          <w:i/>
        </w:rPr>
        <w:t>):</w:t>
      </w:r>
      <w:r w:rsidRPr="00841EA4">
        <w:rPr>
          <w:rFonts w:cstheme="minorHAnsi"/>
        </w:rPr>
        <w:t xml:space="preserve"> </w:t>
      </w:r>
      <w:r w:rsidRPr="00841EA4">
        <w:rPr>
          <w:rFonts w:cstheme="minorHAnsi"/>
          <w:i/>
        </w:rPr>
        <w:t xml:space="preserve">Wzmacnianie roli kultury i zrównoważonej turystyki w rozwoju gospodarczym, włączeniu społecznym i innowacjach społecznych, </w:t>
      </w:r>
      <w:r w:rsidRPr="00841EA4">
        <w:rPr>
          <w:rFonts w:eastAsiaTheme="minorHAnsi" w:cs="Calibri"/>
          <w:szCs w:val="24"/>
        </w:rPr>
        <w:t xml:space="preserve">pozytywnie wpłynie na jakość życia ludzi poprzez promowanie uczestnictwa w kulturze, pobudzenie wzrostu gospodarczego w sektorze kultury, a także w kontekście długoterminowym przyczyni się do włączenia społecznego mieszkańców regionu. </w:t>
      </w:r>
      <w:r w:rsidRPr="00841EA4">
        <w:rPr>
          <w:szCs w:val="24"/>
        </w:rPr>
        <w:t xml:space="preserve">Zarówno w ramach </w:t>
      </w:r>
      <w:r w:rsidRPr="00841EA4">
        <w:rPr>
          <w:i/>
          <w:szCs w:val="24"/>
        </w:rPr>
        <w:t>cs (iii)</w:t>
      </w:r>
      <w:r w:rsidRPr="00841EA4">
        <w:rPr>
          <w:szCs w:val="24"/>
        </w:rPr>
        <w:t xml:space="preserve">, </w:t>
      </w:r>
      <w:r w:rsidRPr="005B6181">
        <w:rPr>
          <w:i/>
          <w:szCs w:val="24"/>
        </w:rPr>
        <w:t>(iv)</w:t>
      </w:r>
      <w:r w:rsidRPr="00841EA4">
        <w:rPr>
          <w:szCs w:val="24"/>
        </w:rPr>
        <w:t xml:space="preserve">, </w:t>
      </w:r>
      <w:r w:rsidRPr="005B6181">
        <w:rPr>
          <w:i/>
          <w:szCs w:val="24"/>
        </w:rPr>
        <w:t xml:space="preserve">(v) </w:t>
      </w:r>
      <w:r w:rsidRPr="00841EA4">
        <w:rPr>
          <w:szCs w:val="24"/>
        </w:rPr>
        <w:t xml:space="preserve">jak i w ramach </w:t>
      </w:r>
      <w:r w:rsidRPr="00841EA4">
        <w:rPr>
          <w:i/>
          <w:szCs w:val="24"/>
        </w:rPr>
        <w:t>cs (vi)</w:t>
      </w:r>
      <w:r w:rsidRPr="00841EA4">
        <w:rPr>
          <w:szCs w:val="24"/>
        </w:rPr>
        <w:t xml:space="preserve"> planowane są prace remontowo/budowlano/modernizacyjne podczas, których mogą pojawić się krótkotrwałe niedogodności dla ludzi, niemniej jednak związane wyłącznie w etapem budowy inwestycji. </w:t>
      </w:r>
    </w:p>
    <w:p w14:paraId="27624CDB" w14:textId="77777777" w:rsidR="009F1607" w:rsidRPr="005B6181" w:rsidRDefault="009F1607" w:rsidP="009F1607">
      <w:pPr>
        <w:rPr>
          <w:rFonts w:eastAsiaTheme="minorHAnsi" w:cstheme="minorHAnsi"/>
          <w:szCs w:val="22"/>
        </w:rPr>
      </w:pPr>
      <w:r w:rsidRPr="00841EA4">
        <w:t xml:space="preserve">Działania planowane w ramach Priorytetu 6. </w:t>
      </w:r>
      <w:r w:rsidRPr="00841EA4">
        <w:rPr>
          <w:b/>
          <w:i/>
        </w:rPr>
        <w:t xml:space="preserve">FUNDUSZE EUROPEJSKIE NA RZECZ AKTYWNEGO POMORZA ZACHODNIEGO, </w:t>
      </w:r>
      <w:r w:rsidRPr="00841EA4">
        <w:t xml:space="preserve">charakteryzowały się będą pozytywnym oddziaływaniem na zdrowie i jakość życia ludzi, z uwagi iż </w:t>
      </w:r>
      <w:r w:rsidRPr="00841EA4">
        <w:rPr>
          <w:rFonts w:eastAsiaTheme="minorHAnsi" w:cs="Calibri"/>
          <w:szCs w:val="24"/>
        </w:rPr>
        <w:t>potencjał społeczno-gospodarczy i szanse rozwojowe regionu w dużej mierze warunkuje kapitał ludzki, stąd też</w:t>
      </w:r>
      <w:r w:rsidRPr="00841EA4">
        <w:t xml:space="preserve"> planowane typy przedsięwzięć w ramach ww. priorytetu koncentrują się w obszarze społecznym.</w:t>
      </w:r>
      <w:r w:rsidRPr="00841EA4">
        <w:rPr>
          <w:rFonts w:eastAsiaTheme="minorHAnsi" w:cs="Calibri"/>
          <w:szCs w:val="24"/>
        </w:rPr>
        <w:t xml:space="preserve"> </w:t>
      </w:r>
      <w:r w:rsidRPr="00841EA4">
        <w:t xml:space="preserve">Realizacja celu szczegółowego </w:t>
      </w:r>
      <w:r w:rsidRPr="00841EA4">
        <w:rPr>
          <w:i/>
        </w:rPr>
        <w:t>cs (a):</w:t>
      </w:r>
      <w:r w:rsidRPr="00841EA4">
        <w:t xml:space="preserve"> </w:t>
      </w:r>
      <w:r w:rsidRPr="00841EA4">
        <w:rPr>
          <w:i/>
        </w:rPr>
        <w:t xml:space="preserve">Poprawa dostępu do zatrudnienia i działań aktywizujących dla wszystkich osób poszukujących pracy, w szczególności osób młodych, zwłaszcza poprzez wdrażanie gwarancji dla młodzieży, długotrwale bezrobotnych oraz grup znajdujących się w niekorzystnej sytuacji na rynku pracy, jak również dla osób biernych zawodowo, a także poprzez promowanie samozatrudnienia i ekonomii społecznej, </w:t>
      </w:r>
      <w:r w:rsidRPr="00841EA4">
        <w:t>przyczyni się do</w:t>
      </w:r>
      <w:r w:rsidRPr="00841EA4">
        <w:rPr>
          <w:rFonts w:eastAsiaTheme="minorHAnsi"/>
          <w:szCs w:val="22"/>
        </w:rPr>
        <w:t xml:space="preserve"> podnoszenia i uzupełniania kompetencji i kwalifikacji zawodowych, wsparcia dla rozwoju młodej przedsiębiorczości oraz promowania działań zmierzających do wydłużenia aktywności zawodowej, ponadto przewidziano dofinansowanie dla osób sprawujących opiekę nad dziećmi do lat 5, tym samym przewiduje się że dojdzie do wzrostu aktywizacji zawodowej mieszkańców, a przez to do</w:t>
      </w:r>
      <w:r w:rsidRPr="00841EA4">
        <w:t xml:space="preserve"> poprawy sytuacji na rynku pracy w regionie, co pozytywnie przełoży się na jakość życia ludzi. Działania w ramach celu szczegółowego </w:t>
      </w:r>
      <w:r w:rsidRPr="00841EA4">
        <w:rPr>
          <w:i/>
        </w:rPr>
        <w:t xml:space="preserve">cs (b): Modernizacja instytucji i służb rynków pracy celem oceny i przewidywania zapotrzebowania na umiejętności oraz zapewnienia terminowej i odpowiednio dopasowanej pomocy i wsparcia na rzecz dostosowania umiejętności i kwalifikacji zawodowych do potrzeb rynku pracy oraz na rzecz przepływów i mobilności na rynku pracy, </w:t>
      </w:r>
      <w:r w:rsidRPr="00841EA4">
        <w:t xml:space="preserve">nakierowane są na wsparcie pracowników Publicznych Służb Zatrudnienia (PSZ), podniesienie ich kwalifikacji, kompetencji i umiejętności zgodnie z potrzebami lokalnego rynku pracy. Do działań skierowanych bezpośrednio na obszar adaptacyjności i obszar zdrowia mieszkańców należą działania w ramach celu szczegółowego </w:t>
      </w:r>
      <w:r w:rsidRPr="00841EA4">
        <w:rPr>
          <w:i/>
        </w:rPr>
        <w:t>cs (d):</w:t>
      </w:r>
      <w:r w:rsidRPr="00841EA4">
        <w:t xml:space="preserve"> </w:t>
      </w:r>
      <w:r w:rsidRPr="00841EA4">
        <w:rPr>
          <w:i/>
        </w:rPr>
        <w:t>Wspieranie dostosowania pracowników, przedsiębiorstw i przedsiębiorców do zmian, wspieranie aktywnego i zdrowego starzenia się oraz zdrowego i</w:t>
      </w:r>
      <w:r w:rsidRPr="00841EA4">
        <w:rPr>
          <w:szCs w:val="22"/>
        </w:rPr>
        <w:t xml:space="preserve"> </w:t>
      </w:r>
      <w:r w:rsidRPr="00841EA4">
        <w:rPr>
          <w:i/>
        </w:rPr>
        <w:t xml:space="preserve">dobrze dostosowanego środowiska pracy, które uwzględnia zagrożenia dla zdrowia, </w:t>
      </w:r>
      <w:r w:rsidRPr="00841EA4">
        <w:t>p</w:t>
      </w:r>
      <w:r w:rsidRPr="00841EA4">
        <w:rPr>
          <w:rFonts w:eastAsiaTheme="minorHAnsi"/>
          <w:szCs w:val="22"/>
        </w:rPr>
        <w:t>ozytywnie wpłyną na społeczeństwo poprzez zwiększenie umiejętności dostosowywania się do zmian (otwartość na podnoszenie kompetencji i kwalifikacji pracowników przedsiębiorstw) oraz realizację wsparcia o charakterze prozdrowotnym i profilaktycznym wobec chorób, które są obecnie główną przyczyną przedwczesnego opuszczania rynku pracy. Z</w:t>
      </w:r>
      <w:r w:rsidRPr="00841EA4">
        <w:rPr>
          <w:szCs w:val="22"/>
        </w:rPr>
        <w:t xml:space="preserve"> </w:t>
      </w:r>
      <w:r w:rsidRPr="00841EA4">
        <w:rPr>
          <w:rFonts w:eastAsiaTheme="minorHAnsi"/>
          <w:szCs w:val="22"/>
        </w:rPr>
        <w:t xml:space="preserve">uwagi na powyższe, osoby w wieku aktywności zawodowej objęte będą programami profilaktycznymi/szkoleniowymi wraz z działaniami wspierającymi powrót na rynek pracy (w tym o charakterze zdrowotnym), mającymi na celu nabywanie nowych umiejętności i kompetencji dostosowanych do aktualnych potrzeb regionalnego rynku pracy, co wpłynie na wydłużenie aktywności zawodowej. Pozytywnego wpływu realizacji celu szczegółowego </w:t>
      </w:r>
      <w:r w:rsidRPr="00841EA4">
        <w:rPr>
          <w:rFonts w:eastAsiaTheme="minorHAnsi"/>
          <w:i/>
          <w:szCs w:val="22"/>
        </w:rPr>
        <w:t>cs (f):</w:t>
      </w:r>
      <w:r w:rsidRPr="00841EA4">
        <w:rPr>
          <w:rFonts w:eastAsiaTheme="minorHAnsi"/>
          <w:szCs w:val="22"/>
        </w:rPr>
        <w:t xml:space="preserve"> </w:t>
      </w:r>
      <w:r w:rsidRPr="00841EA4">
        <w:rPr>
          <w:rFonts w:eastAsiaTheme="minorHAnsi"/>
          <w:i/>
          <w:szCs w:val="22"/>
        </w:rPr>
        <w:t xml:space="preserve">Wspieranie równego dostępu do dobrej jakości, włączającego kształcenia i szkolenia oraz możliwości ich ukończenia, w szczególności w odniesieniu do grup znajdujących się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 </w:t>
      </w:r>
      <w:r w:rsidRPr="00841EA4">
        <w:rPr>
          <w:rFonts w:eastAsiaTheme="minorHAnsi"/>
          <w:szCs w:val="22"/>
        </w:rPr>
        <w:t xml:space="preserve">w postaci poprawy jakości i dostępności edukacji upatruje się na każdym etapie kształcenia, co więcej przewiduje się szereg działań dostosowujących jakość edukacji do aktualnych potrzeb rynku pracy. </w:t>
      </w:r>
      <w:r w:rsidRPr="00841EA4">
        <w:t xml:space="preserve">Realizacja celu szczegółowego </w:t>
      </w:r>
      <w:r w:rsidRPr="00841EA4">
        <w:rPr>
          <w:i/>
        </w:rPr>
        <w:t xml:space="preserve">cs (g): Wspieranie uczenia się przez całe życie, w szczególności elastycznych możliwości podnoszenia umiejętności i zmiany kwalifikacji dla wszystkich, z uwzględnieniem umiejętności w zakresie przedsiębiorczości i kompetencji cyfrowych, lepsze przewidywanie zmian i zapotrzebowania na nowe umiejętności na podstawie potrzeb rynku pracy, ułatwianie zmian ścieżki kariery zawodowej i wspieranie mobilności zawodowej, </w:t>
      </w:r>
      <w:r w:rsidRPr="00841EA4">
        <w:t xml:space="preserve">przyczyni się do </w:t>
      </w:r>
      <w:r w:rsidRPr="00841EA4">
        <w:rPr>
          <w:rFonts w:eastAsiaTheme="minorHAnsi" w:cs="Calibri"/>
          <w:szCs w:val="24"/>
        </w:rPr>
        <w:t xml:space="preserve">wsparcia edukacji osób dorosłych poprzez podnoszenie, nabywanie nowych umiejętności i kwalifikacji na szybko zmieniającym się rynku pracy, co ma kluczowe znaczenie dla zwiększenia zarówno aktywności ludności, jak i zdolności gospodarki do innowacji. Przewidziano specjalne wsparcie kształcenia dla osób wykonujących zawody medyczne i niemedyczne w obszarach mających kluczowe znaczenie z punktu widzenia funkcjonowania systemu ochrony zdrowia w regionie. Zadania realizowane w ramach celu szczegółowego </w:t>
      </w:r>
      <w:r w:rsidRPr="00841EA4">
        <w:rPr>
          <w:rFonts w:eastAsiaTheme="minorHAnsi" w:cs="Calibri"/>
          <w:i/>
          <w:szCs w:val="24"/>
        </w:rPr>
        <w:t>cs (h):</w:t>
      </w:r>
      <w:r w:rsidRPr="00841EA4">
        <w:rPr>
          <w:rFonts w:eastAsiaTheme="minorHAnsi" w:cs="Calibri"/>
          <w:szCs w:val="24"/>
        </w:rPr>
        <w:t xml:space="preserve"> </w:t>
      </w:r>
      <w:r w:rsidRPr="00841EA4">
        <w:rPr>
          <w:rFonts w:eastAsiaTheme="minorHAnsi" w:cs="Calibri"/>
          <w:i/>
          <w:szCs w:val="24"/>
        </w:rPr>
        <w:t xml:space="preserve">Wspieranie aktywnego włączenia społecznego, w celu promowania równości szans, niedyskryminacji i aktywnego uczestnictwa, oraz zwiększanie zdolności do zatrudnienia, w szczególności grup w niekorzystnej sytuacji </w:t>
      </w:r>
      <w:r w:rsidRPr="00841EA4">
        <w:rPr>
          <w:rFonts w:eastAsiaTheme="minorHAnsi" w:cs="Calibri"/>
          <w:szCs w:val="24"/>
        </w:rPr>
        <w:t xml:space="preserve">pozwolą na zintensyfikowanie działań o charakterze aktywizacji społeczno-zawodowej skierowanych do osób biernych zawodowo lub osób dotkniętych wykluczeniem społecznym, ponadto planuje się szereg działań w obszarze rozwoju ekonomii społecznej. </w:t>
      </w:r>
      <w:r w:rsidRPr="00841EA4">
        <w:rPr>
          <w:szCs w:val="24"/>
        </w:rPr>
        <w:t>W</w:t>
      </w:r>
      <w:r w:rsidRPr="00841EA4">
        <w:rPr>
          <w:rFonts w:eastAsiaTheme="minorHAnsi" w:cs="Calibri"/>
          <w:szCs w:val="24"/>
        </w:rPr>
        <w:t xml:space="preserve"> </w:t>
      </w:r>
      <w:r w:rsidRPr="00841EA4">
        <w:rPr>
          <w:szCs w:val="24"/>
        </w:rPr>
        <w:t xml:space="preserve">obliczu </w:t>
      </w:r>
      <w:r w:rsidRPr="00841EA4">
        <w:rPr>
          <w:rFonts w:eastAsiaTheme="minorHAnsi"/>
          <w:szCs w:val="24"/>
        </w:rPr>
        <w:t xml:space="preserve">niedostatecznej siły roboczej oraz wzrostu liczby migrantów w woj. zachodniopomorskim </w:t>
      </w:r>
      <w:r w:rsidRPr="00841EA4">
        <w:rPr>
          <w:rFonts w:eastAsiaTheme="minorHAnsi" w:cs="Calibri"/>
          <w:szCs w:val="24"/>
        </w:rPr>
        <w:t xml:space="preserve">można upatrywać </w:t>
      </w:r>
      <w:r w:rsidRPr="00841EA4">
        <w:rPr>
          <w:rFonts w:eastAsiaTheme="minorHAnsi"/>
          <w:szCs w:val="24"/>
        </w:rPr>
        <w:t>p</w:t>
      </w:r>
      <w:r w:rsidRPr="00841EA4">
        <w:rPr>
          <w:rFonts w:eastAsiaTheme="minorHAnsi" w:cs="Calibri"/>
          <w:szCs w:val="24"/>
        </w:rPr>
        <w:t xml:space="preserve">ozytywnego wpływu realizacji działań w ramach celu szczegółowego </w:t>
      </w:r>
      <w:r w:rsidRPr="00841EA4">
        <w:rPr>
          <w:rFonts w:eastAsiaTheme="minorHAnsi" w:cs="Calibri"/>
          <w:i/>
          <w:szCs w:val="24"/>
        </w:rPr>
        <w:t>cs (i):</w:t>
      </w:r>
      <w:r w:rsidRPr="00841EA4">
        <w:rPr>
          <w:rFonts w:eastAsiaTheme="minorHAnsi" w:cs="Calibri"/>
          <w:szCs w:val="24"/>
        </w:rPr>
        <w:t xml:space="preserve"> </w:t>
      </w:r>
      <w:r w:rsidRPr="00841EA4">
        <w:rPr>
          <w:rFonts w:eastAsiaTheme="minorHAnsi" w:cs="Calibri"/>
          <w:i/>
          <w:szCs w:val="24"/>
        </w:rPr>
        <w:t xml:space="preserve">Wspieranie integracji społeczno-gospodarczej obywateli państw trzecich, w tym migrantów </w:t>
      </w:r>
      <w:r w:rsidRPr="00841EA4">
        <w:rPr>
          <w:rFonts w:eastAsiaTheme="minorHAnsi" w:cs="Calibri"/>
          <w:szCs w:val="24"/>
        </w:rPr>
        <w:t xml:space="preserve">w sytuacji związanej z aktywizacją zawodową, zwiększeniem mobilności zawodowej i z integracją społeczną cudzoziemców, co może przyczynić się do osiedlenia (podniesienia poziomu kapitału ludzkiego) oraz podjęcia pracy w regionie, co w kontekście długoterminowym przyczyni się do rozwoju gospodarczego województwa. </w:t>
      </w:r>
      <w:r w:rsidRPr="00841EA4">
        <w:rPr>
          <w:szCs w:val="24"/>
        </w:rPr>
        <w:t>Z</w:t>
      </w:r>
      <w:r w:rsidRPr="00841EA4">
        <w:rPr>
          <w:rFonts w:eastAsiaTheme="minorHAnsi" w:cs="Calibri"/>
          <w:szCs w:val="24"/>
        </w:rPr>
        <w:t xml:space="preserve"> </w:t>
      </w:r>
      <w:r w:rsidRPr="00841EA4">
        <w:rPr>
          <w:szCs w:val="24"/>
        </w:rPr>
        <w:t xml:space="preserve">kolei działania w ramach celu szczegółowego </w:t>
      </w:r>
      <w:r w:rsidRPr="00841EA4">
        <w:rPr>
          <w:i/>
          <w:szCs w:val="24"/>
        </w:rPr>
        <w:t>cs (k)</w:t>
      </w:r>
      <w:r w:rsidRPr="00841EA4">
        <w:rPr>
          <w:szCs w:val="24"/>
        </w:rPr>
        <w:t xml:space="preserve">: </w:t>
      </w:r>
      <w:r w:rsidRPr="00841EA4">
        <w:rPr>
          <w:i/>
          <w:szCs w:val="24"/>
        </w:rPr>
        <w:t>Zwiększanie równego i szybkiego dostępu do dobrej jakości, trwałych i przystępnych cenowo usług, w tym usług, które wspierają dostęp do mieszkań oraz opieki skoncentrowanej na osobie, w tym opieki zdrowotnej; modernizacja systemów ochrony socjalnej, w tym promowanie dostępu do ochrony socjalnej, ze szczególnym uwzględnieniem dzieci i grup w niekorzystnej sytuacji; poprawa dostępności, w tym dla osób z niepełnosprawnościami, skuteczności i odporności systemów ochrony zdrowia i usług opieki długoterminowej,</w:t>
      </w:r>
      <w:r w:rsidRPr="00841EA4">
        <w:rPr>
          <w:szCs w:val="24"/>
        </w:rPr>
        <w:t xml:space="preserve"> pozwolą na tworzenie centrów usług społecznych i na rozwój dostarczanych przez nie usług oraz rozwój usług opiekuńczych i specjalistycznych usług opiekuńczych świadczonych w formach środowiskowych promujących ideę wolontariatu. Pozytywnego oddziaływania w wyniku realizacji działań w ramach celu szczegółowego </w:t>
      </w:r>
      <w:r w:rsidRPr="00841EA4">
        <w:rPr>
          <w:i/>
          <w:szCs w:val="24"/>
        </w:rPr>
        <w:t>cs (l)</w:t>
      </w:r>
      <w:r w:rsidRPr="00841EA4">
        <w:rPr>
          <w:szCs w:val="24"/>
        </w:rPr>
        <w:t xml:space="preserve">: </w:t>
      </w:r>
      <w:r w:rsidRPr="00841EA4">
        <w:rPr>
          <w:i/>
          <w:szCs w:val="24"/>
        </w:rPr>
        <w:t xml:space="preserve">Wspieranie integracji społecznej osób zagrożonych ubóstwem lub wykluczeniem społecznym, w tym osób najbardziej potrzebujących i dzieci (EFS+), </w:t>
      </w:r>
      <w:r w:rsidRPr="00841EA4">
        <w:rPr>
          <w:szCs w:val="24"/>
        </w:rPr>
        <w:t>upatruje się w kontekście wsparcia na rzecz rodziny (m.in. przeciwdziałanie przemocy w rodzinie, wsparcie psychologiczne) oraz kompleksowe usługi, specjalistyczne wsparcie dla rodzin zastępczych i osób usamodzielnianych oraz opuszczających pieczę zastępczą.</w:t>
      </w:r>
    </w:p>
    <w:p w14:paraId="012B2828" w14:textId="77777777" w:rsidR="009F1607" w:rsidRPr="005B6181" w:rsidRDefault="009F1607" w:rsidP="009F1607">
      <w:pPr>
        <w:rPr>
          <w:rFonts w:eastAsiaTheme="minorHAnsi" w:cs="Calibri"/>
          <w:szCs w:val="24"/>
        </w:rPr>
      </w:pPr>
      <w:r w:rsidRPr="00841EA4">
        <w:rPr>
          <w:rFonts w:cstheme="minorHAnsi"/>
        </w:rPr>
        <w:t xml:space="preserve">Również działania w ramach Priorytetu 7. </w:t>
      </w:r>
      <w:r w:rsidRPr="00841EA4">
        <w:rPr>
          <w:rFonts w:cstheme="minorHAnsi"/>
          <w:b/>
          <w:i/>
        </w:rPr>
        <w:t xml:space="preserve">FUNDUSZE EUROPEJSKIE NA RZECZ PARTNERSKIEGO POMORZA ZACHODNIEGO </w:t>
      </w:r>
      <w:r w:rsidRPr="00841EA4">
        <w:rPr>
          <w:rFonts w:cstheme="minorHAnsi"/>
        </w:rPr>
        <w:t>nakierowane są na zrównoważony rozwój społeczno-gospodarczy z poszanowaniem środowiska i dziedzictwa kulturowego.</w:t>
      </w:r>
      <w:r w:rsidRPr="00841EA4">
        <w:rPr>
          <w:rFonts w:cstheme="minorHAnsi"/>
          <w:b/>
          <w:i/>
        </w:rPr>
        <w:t xml:space="preserve"> </w:t>
      </w:r>
      <w:r w:rsidRPr="00841EA4">
        <w:rPr>
          <w:rFonts w:cstheme="minorHAnsi"/>
        </w:rPr>
        <w:t xml:space="preserve">Realizacja działań w ramach celu szczegółowego </w:t>
      </w:r>
      <w:r w:rsidRPr="00841EA4">
        <w:rPr>
          <w:rFonts w:cstheme="minorHAnsi"/>
          <w:i/>
        </w:rPr>
        <w:t>cs (i)</w:t>
      </w:r>
      <w:r w:rsidRPr="00841EA4">
        <w:rPr>
          <w:rFonts w:cstheme="minorHAnsi"/>
        </w:rPr>
        <w:t xml:space="preserve">: </w:t>
      </w:r>
      <w:r w:rsidRPr="00841EA4">
        <w:rPr>
          <w:rFonts w:cstheme="minorHAnsi"/>
          <w:i/>
        </w:rPr>
        <w:t xml:space="preserve">Wspieranie zintegrowanego i sprzyjającego włączeniu społecznemu rozwoju społecznego, gospodarczego i środowiskowego, kultury, dziedzictwa naturalnego, zrównoważonej turystyki i bezpieczeństwa na obszarach miejskich, </w:t>
      </w:r>
      <w:r w:rsidRPr="00841EA4">
        <w:rPr>
          <w:rFonts w:eastAsiaTheme="minorHAnsi" w:cs="Calibri"/>
          <w:szCs w:val="24"/>
        </w:rPr>
        <w:t>pozytywnie wpłynie na jakość życia ludzi, ich poczucie zakorzenienia i tożsamości kulturowej, a także w kontekście długoterminowym przyczyni się do wzrostu atrakcyjności turystycznej i rozwoju gospodarczego regionu oraz zachowania dziedzictwa kulturowego województwa.</w:t>
      </w:r>
      <w:r w:rsidRPr="00841EA4">
        <w:t xml:space="preserve"> </w:t>
      </w:r>
      <w:r w:rsidRPr="00841EA4">
        <w:rPr>
          <w:rFonts w:eastAsiaTheme="minorHAnsi" w:cs="Calibri"/>
          <w:szCs w:val="24"/>
        </w:rPr>
        <w:t>Projekty będą miały charakter zintegrowany, będą dynamizować procesy rozwojowe zarówno obszarów miejskich, jak i wiejskich. Potencjalne negatywne oddziaływanie może nastąpić w fazie realizacji inwestycji przewidzianych w ramach niniejszego priorytetu, co może się wiązać z chwilowymi uciążliwościami dla ludzi, np. wzmożony hałas i emisja zanieczyszczeń w</w:t>
      </w:r>
      <w:r w:rsidRPr="00841EA4">
        <w:rPr>
          <w:szCs w:val="22"/>
        </w:rPr>
        <w:t xml:space="preserve"> </w:t>
      </w:r>
      <w:r w:rsidRPr="00841EA4">
        <w:rPr>
          <w:rFonts w:eastAsiaTheme="minorHAnsi" w:cs="Calibri"/>
          <w:szCs w:val="24"/>
        </w:rPr>
        <w:t>trakcie prac budowlanych, zmiana organizacji ruchu, zajmowanie terenu w wyniku składowania materiałów budowlanych itp.</w:t>
      </w:r>
    </w:p>
    <w:p w14:paraId="6FB03BA7" w14:textId="77777777" w:rsidR="009F1607" w:rsidRPr="00841EA4" w:rsidRDefault="009F1607" w:rsidP="009F1607">
      <w:pPr>
        <w:rPr>
          <w:rFonts w:eastAsiaTheme="minorHAnsi" w:cs="Calibri"/>
          <w:szCs w:val="24"/>
        </w:rPr>
      </w:pPr>
      <w:r w:rsidRPr="00841EA4">
        <w:rPr>
          <w:rFonts w:eastAsiaTheme="minorHAnsi" w:cs="Calibri"/>
          <w:szCs w:val="24"/>
        </w:rPr>
        <w:t xml:space="preserve">W ramach Priorytetu 8. </w:t>
      </w:r>
      <w:r w:rsidRPr="00841EA4">
        <w:rPr>
          <w:rFonts w:eastAsiaTheme="minorHAnsi" w:cs="Calibri"/>
          <w:b/>
          <w:bCs/>
          <w:i/>
          <w:iCs/>
          <w:szCs w:val="24"/>
        </w:rPr>
        <w:t xml:space="preserve">POMOC TECHNICZNA (EFRR) </w:t>
      </w:r>
      <w:r w:rsidRPr="00841EA4">
        <w:rPr>
          <w:rFonts w:eastAsiaTheme="minorHAnsi" w:cs="Calibri"/>
          <w:szCs w:val="24"/>
        </w:rPr>
        <w:t xml:space="preserve">oraz Priorytetu 9. </w:t>
      </w:r>
      <w:r w:rsidRPr="00841EA4">
        <w:rPr>
          <w:rFonts w:eastAsiaTheme="minorHAnsi" w:cs="Calibri"/>
          <w:b/>
          <w:bCs/>
          <w:i/>
          <w:iCs/>
          <w:szCs w:val="24"/>
        </w:rPr>
        <w:t>POMOC TECHNICZNA (EFS+)</w:t>
      </w:r>
      <w:r w:rsidRPr="00841EA4">
        <w:rPr>
          <w:rFonts w:eastAsiaTheme="minorHAnsi" w:cs="Calibri"/>
          <w:szCs w:val="24"/>
        </w:rPr>
        <w:t>, planuje się szereg działań mających zapewnić skuteczną i efektywną realizację programu Fundusze Europejskie dla Pomorza Zachodniego oraz płynne przejście pomiędzy kończącym się i kolejnym okresem programowania. Planuje się odpowiednie przygotowanie poprzez szeroki wachlarz wsparcia dla pracowników instytucji. Z uwagi na poprawę warunków pracy przewiduje się, że planowane działania będą miały pozytywny charakter na jakość życia mieszkańców regionu.</w:t>
      </w:r>
    </w:p>
    <w:p w14:paraId="56ED6D8E" w14:textId="77777777" w:rsidR="009F1607" w:rsidRPr="00841EA4" w:rsidRDefault="009F1607" w:rsidP="009F1607">
      <w:pPr>
        <w:pStyle w:val="Nagwek1"/>
        <w:numPr>
          <w:ilvl w:val="1"/>
          <w:numId w:val="4"/>
        </w:numPr>
        <w:ind w:left="1134" w:hanging="774"/>
        <w:rPr>
          <w:caps w:val="0"/>
          <w:sz w:val="32"/>
        </w:rPr>
      </w:pPr>
      <w:bookmarkStart w:id="20" w:name="_Toc80283931"/>
      <w:bookmarkStart w:id="21" w:name="_Toc82945173"/>
      <w:bookmarkStart w:id="22" w:name="_Toc104790633"/>
      <w:bookmarkStart w:id="23" w:name="_Toc102902704"/>
      <w:r w:rsidRPr="00841EA4">
        <w:rPr>
          <w:caps w:val="0"/>
          <w:sz w:val="32"/>
        </w:rPr>
        <w:t>PRZEWIDYWANE ZNACZĄCE ODDZIAŁYWANIA NA WODY</w:t>
      </w:r>
      <w:bookmarkEnd w:id="20"/>
      <w:bookmarkEnd w:id="21"/>
      <w:bookmarkEnd w:id="22"/>
      <w:r w:rsidRPr="00841EA4">
        <w:rPr>
          <w:caps w:val="0"/>
          <w:sz w:val="32"/>
        </w:rPr>
        <w:t xml:space="preserve"> </w:t>
      </w:r>
      <w:bookmarkEnd w:id="23"/>
    </w:p>
    <w:p w14:paraId="6D90B793" w14:textId="68C470ED" w:rsidR="009F1607" w:rsidRPr="00841EA4" w:rsidRDefault="009F1607" w:rsidP="009F1607">
      <w:pPr>
        <w:rPr>
          <w:szCs w:val="24"/>
        </w:rPr>
      </w:pPr>
      <w:r w:rsidRPr="00841EA4">
        <w:rPr>
          <w:szCs w:val="24"/>
        </w:rPr>
        <w:t xml:space="preserve">Realizacja działań planowanych w ramach Priorytetu 1. </w:t>
      </w:r>
      <w:r w:rsidRPr="00841EA4">
        <w:rPr>
          <w:b/>
          <w:i/>
          <w:szCs w:val="24"/>
        </w:rPr>
        <w:t>FUNDUSZE EUROPEJSKIE NA RZECZ PRZEDSIĘBIORCZEGO POMORZA ZACHODNIEGO</w:t>
      </w:r>
      <w:r w:rsidR="00D4052B">
        <w:rPr>
          <w:b/>
          <w:i/>
          <w:szCs w:val="24"/>
        </w:rPr>
        <w:t xml:space="preserve"> </w:t>
      </w:r>
      <w:r w:rsidRPr="00841EA4">
        <w:rPr>
          <w:szCs w:val="24"/>
        </w:rPr>
        <w:t>w większości nie będzie wiązała się z negatywnym oddziaływaniem na jakość i zasoby wód oraz na gospodarkę wodno-ściekową. Przewidywane do realizacji działania związane będą z rozwijaniem i wzmacnianiem zdolności badawczych, wykorzystania zaawansowanych technologii, cyfryzacji, wzmacnianiem rozwoju MŚP, tworzenie miejsce pracy w MŚP, rozwijaniem umiejętności na rzecz inteligentnej specjalizacji, transformacją przemysłową i przedsiębiorczości.</w:t>
      </w:r>
    </w:p>
    <w:p w14:paraId="63DF7E2F" w14:textId="77777777" w:rsidR="009F1607" w:rsidRPr="00841EA4" w:rsidRDefault="009F1607" w:rsidP="009F1607">
      <w:pPr>
        <w:rPr>
          <w:szCs w:val="24"/>
        </w:rPr>
      </w:pPr>
      <w:r w:rsidRPr="00841EA4">
        <w:rPr>
          <w:szCs w:val="24"/>
        </w:rPr>
        <w:t xml:space="preserve">Realizacja działań zaplanowanych w ramach Priorytetu 1. </w:t>
      </w:r>
      <w:r w:rsidRPr="00841EA4">
        <w:rPr>
          <w:b/>
          <w:i/>
          <w:szCs w:val="24"/>
        </w:rPr>
        <w:t>FUNDUSZE EUROPEJSKIE NA RZECZ PRZEDSIĘBIORCZEGO POMORZA ZACHODNIEGO</w:t>
      </w:r>
      <w:r w:rsidRPr="00841EA4">
        <w:rPr>
          <w:szCs w:val="24"/>
        </w:rPr>
        <w:t xml:space="preserve"> będzie miała pozytywny, długoterminowy lub względnie neutralny wpływ na systemy wodno-ściekowe. Przewiduje się, że realizacja celów szczegółowych </w:t>
      </w:r>
      <w:r w:rsidRPr="00841EA4">
        <w:rPr>
          <w:i/>
          <w:iCs/>
          <w:szCs w:val="24"/>
        </w:rPr>
        <w:t>cs (i): Rozwijanie i wzmacnianie zdolności badawczych i innowac</w:t>
      </w:r>
      <w:r w:rsidRPr="00841EA4">
        <w:rPr>
          <w:i/>
          <w:szCs w:val="24"/>
        </w:rPr>
        <w:t>yjnych oraz /wykorzystywanie zaawansowanych technologii</w:t>
      </w:r>
      <w:r w:rsidRPr="00841EA4">
        <w:rPr>
          <w:szCs w:val="24"/>
        </w:rPr>
        <w:t xml:space="preserve"> oraz </w:t>
      </w:r>
      <w:r w:rsidRPr="00841EA4">
        <w:rPr>
          <w:i/>
          <w:iCs/>
          <w:szCs w:val="24"/>
        </w:rPr>
        <w:t>cs (iii): Wzmacnianie</w:t>
      </w:r>
      <w:r w:rsidRPr="00841EA4">
        <w:rPr>
          <w:i/>
          <w:szCs w:val="24"/>
        </w:rPr>
        <w:t xml:space="preserve"> trwałego wzrostu i konkurencyjności MŚP oraz tworzenie miejsc pracy w MŚP, w tym poprzez inwestycje produkcyjne</w:t>
      </w:r>
      <w:r w:rsidRPr="00841EA4">
        <w:rPr>
          <w:szCs w:val="24"/>
        </w:rPr>
        <w:t xml:space="preserve"> będzie miała pozytywny bezpośredni wpływ na jakość i zasoby wodne, w tym na gospodarkę wodno-ściekową, ze względu na zwiększenie stopnia zaawansowania technologicznego (poziomu innowacyjności), stymulowanie powstawania nowych rozwiązań technologicznych i organizacyjnych oraz wsparcie inwestycyjne przedsiębiorstw wzmacniające otoczenie gospodarcze. Ważnym elementem planowanych przedsięwzięć będzie wykorzystanie szans rozwoju w obszarze zielonych technologii oraz transformacja do zielonej gospodarki (green economy).</w:t>
      </w:r>
    </w:p>
    <w:p w14:paraId="0FF8AD9D" w14:textId="77777777" w:rsidR="009F1607" w:rsidRPr="00841EA4" w:rsidRDefault="009F1607" w:rsidP="009F1607">
      <w:pPr>
        <w:rPr>
          <w:szCs w:val="24"/>
        </w:rPr>
      </w:pPr>
      <w:r w:rsidRPr="00841EA4">
        <w:rPr>
          <w:szCs w:val="24"/>
        </w:rPr>
        <w:t xml:space="preserve">Cele szczegółowe </w:t>
      </w:r>
      <w:r w:rsidRPr="00841EA4">
        <w:rPr>
          <w:i/>
          <w:iCs/>
          <w:szCs w:val="24"/>
        </w:rPr>
        <w:t>cs (ii): Czerpanie</w:t>
      </w:r>
      <w:r w:rsidRPr="00841EA4">
        <w:rPr>
          <w:i/>
          <w:szCs w:val="24"/>
        </w:rPr>
        <w:t xml:space="preserve"> korzyści z cyfryzacji dla obywateli, przedsiębiorstw, organizacji badawczych i instytucji publicznych</w:t>
      </w:r>
      <w:r w:rsidRPr="00841EA4">
        <w:rPr>
          <w:szCs w:val="24"/>
        </w:rPr>
        <w:t xml:space="preserve"> będą miały charakter neutralny ze względu na zakres planowanych działań. Charakter i skala działań nie wskazuje, że należy spodziewać się ewentualnego negatywnego oddziaływania na wody i gospodarkę wodno-ściekową.</w:t>
      </w:r>
    </w:p>
    <w:p w14:paraId="52292006" w14:textId="77777777" w:rsidR="009F1607" w:rsidRPr="00841EA4" w:rsidRDefault="009F1607" w:rsidP="009F1607">
      <w:pPr>
        <w:rPr>
          <w:szCs w:val="24"/>
        </w:rPr>
      </w:pPr>
      <w:r w:rsidRPr="00841EA4">
        <w:rPr>
          <w:szCs w:val="24"/>
        </w:rPr>
        <w:t xml:space="preserve">W ramach Priorytetu 1. </w:t>
      </w:r>
      <w:r w:rsidRPr="00841EA4">
        <w:rPr>
          <w:b/>
          <w:i/>
          <w:szCs w:val="24"/>
        </w:rPr>
        <w:t>FUNDUSZE EUROPEJSKIE NA RZECZ PRZEDSIĘBIORCZEGO POMORZA ZACHODNIEGO</w:t>
      </w:r>
      <w:r w:rsidRPr="00841EA4" w:rsidDel="009C6573">
        <w:rPr>
          <w:b/>
          <w:i/>
          <w:szCs w:val="24"/>
        </w:rPr>
        <w:t xml:space="preserve"> </w:t>
      </w:r>
      <w:r w:rsidRPr="00841EA4">
        <w:rPr>
          <w:szCs w:val="24"/>
        </w:rPr>
        <w:t>mogą ewentualnie występować potencjalnie negatywne oddziaływania w przypadkach, w których konieczna będzie budowa, przebudowa lub rozbudowa ośrodków badań naukowych lub przemysłowych, czy też instalacji badawczych, pilotażowych lub nowych linii produkcyjnych.</w:t>
      </w:r>
    </w:p>
    <w:p w14:paraId="0EBE64AB" w14:textId="77777777" w:rsidR="009F1607" w:rsidRPr="00841EA4" w:rsidRDefault="009F1607" w:rsidP="009F1607">
      <w:pPr>
        <w:rPr>
          <w:szCs w:val="24"/>
        </w:rPr>
      </w:pPr>
      <w:r w:rsidRPr="00841EA4">
        <w:rPr>
          <w:szCs w:val="24"/>
        </w:rPr>
        <w:t>Potencjalnie negatywne oddziaływania będą miały charakter oddziaływań tymczasowych i krótkotrwałych, ograniczonych przeważnie lokalnie, do miejsca wykonywania ewentualnych prac budowlanych. Prawdopodobnie większość inwestycji będzie dotyczyć środowisk miejskich, które i tak w pewnym stopniu mogą już oddziaływać na analizowany element środowiska, stąd potencjalne oddziaływania na etapie realizacji nie powinny być wyższe od już wywieranych. Potencjalne oddziaływania powinny ustąpić w chwili zakończenia etapu realizacji inwestycji, a w perspektywie długoterminowej realizacja przedsięwzięcia nie powinna powodować negatywnych zmian w ogólnym stanie jakości wód i ich zasobów.</w:t>
      </w:r>
    </w:p>
    <w:p w14:paraId="3928A979" w14:textId="77777777" w:rsidR="009F1607" w:rsidRPr="00841EA4" w:rsidRDefault="009F1607" w:rsidP="009F1607">
      <w:pPr>
        <w:rPr>
          <w:szCs w:val="24"/>
        </w:rPr>
      </w:pPr>
      <w:r w:rsidRPr="00841EA4">
        <w:rPr>
          <w:szCs w:val="24"/>
        </w:rPr>
        <w:t>Powyższe potencjalnie negatywne oddziaływania będą kompensowane przez długoterminowe i pozytywne efekty realizacji tych działań, do których można zaliczyć między innymi zmniejszenie poboru i zużycia wody (tym samym zmniejszenie śladu wodnego), zamykanie obiegów wodnych (wykorzystanie wody w obiegu zamkniętym). W związku z tym realizacja planowanych działań nie powinna pogorszyć stanu i jakości wód w porównaniu do aktualnie zidentyfikowanego stanu.</w:t>
      </w:r>
    </w:p>
    <w:p w14:paraId="67FA4705" w14:textId="77777777" w:rsidR="009F1607" w:rsidRPr="00841EA4" w:rsidRDefault="009F1607" w:rsidP="009F1607">
      <w:pPr>
        <w:rPr>
          <w:szCs w:val="24"/>
        </w:rPr>
      </w:pPr>
      <w:r w:rsidRPr="00841EA4">
        <w:rPr>
          <w:szCs w:val="24"/>
        </w:rPr>
        <w:t xml:space="preserve">Realizacja Priorytetu 1. </w:t>
      </w:r>
      <w:r w:rsidRPr="00841EA4">
        <w:rPr>
          <w:b/>
          <w:i/>
          <w:szCs w:val="24"/>
        </w:rPr>
        <w:t>FUNDUSZE EUROPEJSKIE NA RZECZ PRZEDSIĘBIORCZEGO POMORZA ZACHODNIEGO</w:t>
      </w:r>
      <w:r w:rsidRPr="00841EA4">
        <w:rPr>
          <w:szCs w:val="24"/>
        </w:rPr>
        <w:t xml:space="preserve"> ma istotne znaczenie ze względu na zapewnienia finansowania Strategii Unii Europejskiej dla Regionu Morza Bałtyckiego (SUERMB) przyczyniając się w szczególności do realizacji celu nr 3 strategii („Wzrost dobrobytu”).</w:t>
      </w:r>
    </w:p>
    <w:p w14:paraId="07837046" w14:textId="77777777" w:rsidR="009F1607" w:rsidRPr="00841EA4" w:rsidRDefault="009F1607" w:rsidP="009F1607">
      <w:pPr>
        <w:rPr>
          <w:szCs w:val="24"/>
        </w:rPr>
      </w:pPr>
      <w:r w:rsidRPr="00841EA4">
        <w:rPr>
          <w:szCs w:val="24"/>
        </w:rPr>
        <w:t xml:space="preserve">Realizacja celu szczegółowego </w:t>
      </w:r>
      <w:r w:rsidRPr="00841EA4">
        <w:rPr>
          <w:i/>
          <w:iCs/>
          <w:szCs w:val="24"/>
        </w:rPr>
        <w:t>cs (i):</w:t>
      </w:r>
      <w:r w:rsidRPr="00841EA4">
        <w:rPr>
          <w:szCs w:val="24"/>
        </w:rPr>
        <w:t xml:space="preserve"> </w:t>
      </w:r>
      <w:r w:rsidRPr="00841EA4">
        <w:rPr>
          <w:i/>
          <w:szCs w:val="24"/>
        </w:rPr>
        <w:t>Rozwijanie i wzmacnianie zdolności badawczych i innowacyjnych oraz /wykorzystywanie zaawansowanych technologii</w:t>
      </w:r>
      <w:r w:rsidRPr="00841EA4">
        <w:rPr>
          <w:szCs w:val="24"/>
        </w:rPr>
        <w:t xml:space="preserve"> przyczyni się szczególnie do realizacji określonych w SUERMB obszarów polityki, tj. obszaru: Innowacje.</w:t>
      </w:r>
    </w:p>
    <w:p w14:paraId="5876DEA8" w14:textId="77777777" w:rsidR="009F1607" w:rsidRPr="00841EA4" w:rsidRDefault="009F1607" w:rsidP="009F1607">
      <w:pPr>
        <w:rPr>
          <w:szCs w:val="24"/>
        </w:rPr>
      </w:pPr>
      <w:r w:rsidRPr="00841EA4">
        <w:rPr>
          <w:szCs w:val="24"/>
        </w:rPr>
        <w:t xml:space="preserve">Realizacja celu szczegółowego </w:t>
      </w:r>
      <w:r w:rsidRPr="00841EA4">
        <w:rPr>
          <w:i/>
          <w:iCs/>
          <w:szCs w:val="24"/>
        </w:rPr>
        <w:t>cs (iii): Wzmacnianie</w:t>
      </w:r>
      <w:r w:rsidRPr="00841EA4">
        <w:rPr>
          <w:i/>
          <w:szCs w:val="24"/>
        </w:rPr>
        <w:t xml:space="preserve"> trwałego wzrostu i konkurencyjności MŚP oraz tworzenie miejsc pracy w MŚP, w tym poprzez inwestycje produkcyjne</w:t>
      </w:r>
      <w:r w:rsidRPr="00841EA4">
        <w:rPr>
          <w:szCs w:val="24"/>
        </w:rPr>
        <w:t xml:space="preserve"> przyczyni się szczególnie do realizacji określonych w SUERMB obszarów polityki, tj. obszaru: Bioekonomia.</w:t>
      </w:r>
    </w:p>
    <w:p w14:paraId="6348B9D5" w14:textId="77777777" w:rsidR="009F1607" w:rsidRPr="00841EA4" w:rsidRDefault="009F1607" w:rsidP="009F1607">
      <w:pPr>
        <w:rPr>
          <w:szCs w:val="24"/>
        </w:rPr>
      </w:pPr>
      <w:r w:rsidRPr="00841EA4">
        <w:rPr>
          <w:szCs w:val="24"/>
        </w:rPr>
        <w:t xml:space="preserve">W ramach Priorytetu 2. </w:t>
      </w:r>
      <w:r w:rsidRPr="00841EA4">
        <w:rPr>
          <w:b/>
          <w:i/>
          <w:szCs w:val="24"/>
        </w:rPr>
        <w:t>FUNDUSZE EUROPEJSKIE NA RZECZ ZIELONEGO POMORZA ZACHODNIEGO</w:t>
      </w:r>
      <w:r w:rsidRPr="00841EA4" w:rsidDel="009C6573">
        <w:rPr>
          <w:b/>
          <w:i/>
          <w:szCs w:val="24"/>
        </w:rPr>
        <w:t xml:space="preserve"> </w:t>
      </w:r>
      <w:r w:rsidRPr="00841EA4">
        <w:rPr>
          <w:szCs w:val="24"/>
        </w:rPr>
        <w:t>przewiduje się, że przeważająca większość planowanych działań będzie pozytywnie i długoterminowo oraz w sposób bezpośredni oddziaływać na jakość i zasoby wód.</w:t>
      </w:r>
    </w:p>
    <w:p w14:paraId="780E024F" w14:textId="77777777" w:rsidR="009F1607" w:rsidRPr="00841EA4" w:rsidRDefault="009F1607" w:rsidP="009F1607">
      <w:pPr>
        <w:rPr>
          <w:szCs w:val="24"/>
        </w:rPr>
      </w:pPr>
      <w:r w:rsidRPr="00841EA4">
        <w:rPr>
          <w:szCs w:val="24"/>
        </w:rPr>
        <w:t xml:space="preserve">W ramach celu szczegółowego </w:t>
      </w:r>
      <w:r w:rsidRPr="00841EA4">
        <w:rPr>
          <w:i/>
          <w:iCs/>
          <w:szCs w:val="24"/>
        </w:rPr>
        <w:t>cs (i): Wspieranie</w:t>
      </w:r>
      <w:r w:rsidRPr="00841EA4">
        <w:rPr>
          <w:i/>
          <w:szCs w:val="24"/>
        </w:rPr>
        <w:t xml:space="preserve"> efektywności energetycznej i redukcji emisji gazów cieplarnianych</w:t>
      </w:r>
      <w:r w:rsidRPr="00841EA4">
        <w:rPr>
          <w:szCs w:val="24"/>
        </w:rPr>
        <w:t xml:space="preserve"> przewiduje się realizację działań między innymi polegających na: promowaniu efektywności energetycznej oraz energooszczędności, wytwarzaniu energii elektrycznej i ciepła z odnawialnych źródeł energii, ewentualnej rozbudowie infrastruktury do przesyłu energii ciepła i chłodu, a także magazynowaniu energii, czy też digitalizacji energetyki.</w:t>
      </w:r>
    </w:p>
    <w:p w14:paraId="4C7B7A0C" w14:textId="77777777" w:rsidR="009F1607" w:rsidRPr="00841EA4" w:rsidRDefault="009F1607" w:rsidP="009F1607">
      <w:pPr>
        <w:rPr>
          <w:szCs w:val="24"/>
        </w:rPr>
      </w:pPr>
      <w:r w:rsidRPr="00841EA4">
        <w:rPr>
          <w:szCs w:val="24"/>
        </w:rPr>
        <w:t xml:space="preserve">Zatem realizacja planowanych w ramach celu szczegółowego </w:t>
      </w:r>
      <w:r w:rsidRPr="00841EA4">
        <w:rPr>
          <w:i/>
          <w:iCs/>
          <w:szCs w:val="24"/>
        </w:rPr>
        <w:t>cs (i): Wspieranie</w:t>
      </w:r>
      <w:r w:rsidRPr="00841EA4">
        <w:rPr>
          <w:i/>
          <w:szCs w:val="24"/>
        </w:rPr>
        <w:t xml:space="preserve"> efektywności energetycznej i redukcji emisji gazów cieplarnianych</w:t>
      </w:r>
      <w:r w:rsidRPr="00841EA4">
        <w:rPr>
          <w:szCs w:val="24"/>
        </w:rPr>
        <w:t xml:space="preserve"> działań przyczyni się do poprawy stanu środowiska, w szczególności poprzez ograniczenie emisji zanieczyszczeń pyłowych oraz ograniczeniu emisji gazów cieplarnianych do atmosfery i rozwoju nowych technologii służących poprawie wydajności energetycznej. Ograniczenie emisji gazów cieplarnianych w perspektywie długoterminowej pozwoli ograniczyć skutki zjawiska globalnego ocieplenia i związanego z tym wzrostu temperatur mającego wpływ na zubażanie ilości zasobów wodnych. Ze szczególną intensywnością realizowane będą działania ukierunkowane na poprawę jakości powietrza poprzez ograniczanie niskiej emisji jako głównej przyczyny powstawania zjawiska smogu oraz ograniczanie emisji zanieczyszczeń (w szczególności NOx i PM), które pośrednio mogą powodować zakwaszanie wód (opady mokre) i przedostawanie się pyłów do wód (opady suche).</w:t>
      </w:r>
    </w:p>
    <w:p w14:paraId="3806072F" w14:textId="77777777" w:rsidR="009F1607" w:rsidRPr="00841EA4" w:rsidRDefault="009F1607" w:rsidP="009F1607">
      <w:pPr>
        <w:rPr>
          <w:szCs w:val="24"/>
        </w:rPr>
      </w:pPr>
      <w:r w:rsidRPr="00841EA4">
        <w:rPr>
          <w:szCs w:val="24"/>
        </w:rPr>
        <w:t xml:space="preserve">W ramach Priorytetu 2. </w:t>
      </w:r>
      <w:r w:rsidRPr="00841EA4">
        <w:rPr>
          <w:b/>
          <w:i/>
          <w:szCs w:val="24"/>
        </w:rPr>
        <w:t>FUNDUSZE EUROPEJSKIE NA RZECZ ZIELONEGO POMORZA ZACHODNIEGO</w:t>
      </w:r>
      <w:r w:rsidRPr="00841EA4">
        <w:rPr>
          <w:szCs w:val="24"/>
        </w:rPr>
        <w:t xml:space="preserve"> realizowane będą również inwestycje związane z rozwojem i wykorzystaniem energetyki odnawialnej (cel szczegółowy </w:t>
      </w:r>
      <w:r w:rsidRPr="00841EA4">
        <w:rPr>
          <w:i/>
          <w:iCs/>
          <w:szCs w:val="24"/>
        </w:rPr>
        <w:t>cs (ii): Wspieranie</w:t>
      </w:r>
      <w:r w:rsidRPr="00841EA4">
        <w:rPr>
          <w:i/>
          <w:szCs w:val="24"/>
        </w:rPr>
        <w:t xml:space="preserve"> energii odnawialnej zgodnie z dyrektywą (UE) 2018/2001, w tym określonymi w niej kryteriami zrównoważonego rozwoju</w:t>
      </w:r>
      <w:r w:rsidRPr="00841EA4">
        <w:rPr>
          <w:szCs w:val="24"/>
        </w:rPr>
        <w:t>).</w:t>
      </w:r>
    </w:p>
    <w:p w14:paraId="5A4E7455" w14:textId="77777777" w:rsidR="009F1607" w:rsidRPr="00841EA4" w:rsidRDefault="009F1607" w:rsidP="009F1607">
      <w:pPr>
        <w:rPr>
          <w:szCs w:val="24"/>
        </w:rPr>
      </w:pPr>
      <w:r w:rsidRPr="00841EA4">
        <w:rPr>
          <w:szCs w:val="24"/>
        </w:rPr>
        <w:t>Nie przewiduje się, aby działania skoncentrowane w tym celu szczegółowym negatywnie wpływały na wody i ich jakość oraz na elementy gospodarki wodno-ściekowej. Przewiduje się pośredni pozytywny wpływ na stan wód, poprzez ograniczenie ilości zanieczyszczeń emitowanych do środowiska, dzięki zastąpieniu konwencjonalnych źródeł energii.</w:t>
      </w:r>
    </w:p>
    <w:p w14:paraId="0ED1CE0E" w14:textId="77777777" w:rsidR="009F1607" w:rsidRPr="00841EA4" w:rsidRDefault="009F1607" w:rsidP="009F1607">
      <w:pPr>
        <w:rPr>
          <w:szCs w:val="24"/>
        </w:rPr>
      </w:pPr>
      <w:r w:rsidRPr="00841EA4">
        <w:rPr>
          <w:szCs w:val="24"/>
        </w:rPr>
        <w:t>Działanie nie powinno negatywnie wpływać na ochronę zasobów wodnych i morskich. Przy zachowaniu odpowiedniego reżimu technologicznego i wysokiego poziomu zarządzania środowiskowego prowadzonych procesów, możliwe jest zminimalizowanie ewentualnego ryzyka do poziomu bezpiecznego dla stanu i jakości wód. Odnośnie możliwego zanieczyszczenia wód, w czasie budowy należy wskazać, aby podjęto odpowiednie środki zabezpieczające, na przykład: wariantowanie lokalizacji inwestycji na etapie uzyskania niezbędnych pozwoleń, stosowanie technicznie sprawnego sprzętu, odpowiednie oddalenie maszyn i urządzeń od wód powierzchniowych, natychmiastowa utylizacja substancji w przypadku ich wylania, tankowanie pojazdów tylko w miejscach do tego wyznaczonych i odpowiednio zabezpieczonych (stacje paliw), wyłączenie maszyn i urządzeń podczas postoju, ograniczenie emisji pyłu związanej ze zdejmowaniem wierzchniej warstwy gleby i gruntu poprzez zwiększenie wilgotności ziemi (zraszanie).</w:t>
      </w:r>
    </w:p>
    <w:p w14:paraId="21DA9527" w14:textId="77777777" w:rsidR="009F1607" w:rsidRPr="00841EA4" w:rsidRDefault="009F1607" w:rsidP="009F1607">
      <w:pPr>
        <w:rPr>
          <w:szCs w:val="24"/>
        </w:rPr>
      </w:pPr>
      <w:r w:rsidRPr="00841EA4">
        <w:rPr>
          <w:szCs w:val="24"/>
        </w:rPr>
        <w:t>Przewiduje się, że realizacja planowanych działań nie będzie miała negatywnego wpływu na ochronę zasobów wodnych oraz nie powinna powodować znaczącego negatywnego wpływu na stan lub potencjał jednolitych części wód, w tym wód powierzchniowych i wód gruntowych (zgodnie z zapisami Ramowej Dyrektywy Wodnej). Na etapie ewentualnych prac budowlanych, w związku np. z odwodnieniem wykopów lub ryzykiem potencjalnej awarii maszyn lub urządzeń (np. przecieki paliw, olejów, smarów), mogą występować tymczasowe, jednostkowe negatywne oddziaływania na wody. W przypadku awarii maszyn lub urządzeń potencjalne negatywne oddziaływania powinny ustąpić w chwili naprawy maszyn lub urządzeń. Ustąpią one jednak w chwili zakończenia inwestycji. Przewiduje się, że realizacja zaplanowanych działań nie będzie zagrażać dobremu stanowi środowiska wód morskich.</w:t>
      </w:r>
    </w:p>
    <w:p w14:paraId="5998B722" w14:textId="77777777" w:rsidR="009F1607" w:rsidRPr="00841EA4" w:rsidRDefault="009F1607" w:rsidP="009F1607">
      <w:pPr>
        <w:rPr>
          <w:szCs w:val="24"/>
        </w:rPr>
      </w:pPr>
      <w:r w:rsidRPr="00841EA4">
        <w:rPr>
          <w:szCs w:val="24"/>
        </w:rPr>
        <w:t>Przewiduje się pośredni pozytywny wpływ na stan wód, poprzez ograniczenie ilości zanieczyszczeń emitowanych do środowiska, dzięki zastąpieniu konwencjonalnych źródeł energii. Ograniczone będzie zjawisko wprowadzania do wód zanieczyszczeń pyłowych (opad suchy) oraz zanieczyszczeń wprowadzanych wraz z wodami opadowymi (tzw. kwaśne opady), które powstają wskutek spalania konwencjonalnych paliw. Szacuje się, że 1 TWh energii elektrycznej wyprodukowanej przez elektrownię wiatrową zapobiega wyemitowaniu do atmosfery 5 500 Mg dwutlenku siarki, 4 222 Mg tlenków azotu, 700 tys. Mg dwutlenku węgla oraz 49 tys. Mg różnego rodzaju pyłów i żużli. Z kolei instalacje fotowoltaiczna pozwalające wytworzyć rocznie 4 000- 5 000 kWh energii elektrycznej mogą przyczynić się do redukcji emisji CO</w:t>
      </w:r>
      <w:r w:rsidRPr="00841EA4">
        <w:rPr>
          <w:szCs w:val="24"/>
          <w:vertAlign w:val="subscript"/>
        </w:rPr>
        <w:t>2</w:t>
      </w:r>
      <w:r w:rsidRPr="00841EA4">
        <w:rPr>
          <w:szCs w:val="24"/>
        </w:rPr>
        <w:t xml:space="preserve"> do środowiska o ok. 2 200 kg w ciągu roku (Soliński, 1999; Lewandowski, 2001; Korban 2010; Martin 2016; McCauley, 2018).</w:t>
      </w:r>
    </w:p>
    <w:p w14:paraId="52B67582" w14:textId="77777777" w:rsidR="009F1607" w:rsidRPr="00841EA4" w:rsidRDefault="009F1607" w:rsidP="009F1607">
      <w:pPr>
        <w:rPr>
          <w:szCs w:val="24"/>
        </w:rPr>
      </w:pPr>
      <w:r w:rsidRPr="00841EA4">
        <w:rPr>
          <w:szCs w:val="24"/>
        </w:rPr>
        <w:t>Można przypuszczać zatem, że działania polegające na rozwoju energetyki odnawialnej w sposób bezpośredni przyczynią się do poprawy stanu środowiska i nie będą miały negatywnego wpływu na zidentyfikowany stan gospodarki wodno-ściekowej.</w:t>
      </w:r>
    </w:p>
    <w:p w14:paraId="3CC6D41E" w14:textId="77777777" w:rsidR="009F1607" w:rsidRPr="00841EA4" w:rsidRDefault="009F1607" w:rsidP="009F1607">
      <w:pPr>
        <w:rPr>
          <w:szCs w:val="24"/>
        </w:rPr>
      </w:pPr>
      <w:r w:rsidRPr="00841EA4">
        <w:rPr>
          <w:szCs w:val="24"/>
        </w:rPr>
        <w:t xml:space="preserve">W ramach Priorytetu 2. </w:t>
      </w:r>
      <w:r w:rsidRPr="00841EA4">
        <w:rPr>
          <w:b/>
          <w:i/>
          <w:szCs w:val="24"/>
        </w:rPr>
        <w:t>FUNDUSZE EUROPEJSKIE NA RZECZ ZIELONEGO POMORZA ZACHODNIEGO</w:t>
      </w:r>
      <w:r w:rsidRPr="00841EA4">
        <w:rPr>
          <w:szCs w:val="24"/>
        </w:rPr>
        <w:t xml:space="preserve"> wyróżnić można działania, które wprost odnoszą się do poprawy jakości i zasobów wodnych, tj. cel szczegółowy </w:t>
      </w:r>
      <w:r w:rsidRPr="00841EA4">
        <w:rPr>
          <w:i/>
          <w:iCs/>
          <w:szCs w:val="24"/>
        </w:rPr>
        <w:t>cs (iv): Wspieranie przystosowania się do zmian klimatu i zapobiegania ryzyku związanemu z</w:t>
      </w:r>
      <w:r w:rsidRPr="00841EA4">
        <w:rPr>
          <w:i/>
          <w:szCs w:val="24"/>
        </w:rPr>
        <w:t xml:space="preserve"> klęskami żywiołowymi i katastrofami, a także odporności, z uwzględnieniem podejścia ekosystemowego </w:t>
      </w:r>
      <w:r w:rsidRPr="00841EA4">
        <w:rPr>
          <w:szCs w:val="24"/>
        </w:rPr>
        <w:t xml:space="preserve">oraz cel szczegółowy </w:t>
      </w:r>
      <w:r w:rsidRPr="00841EA4">
        <w:rPr>
          <w:i/>
          <w:iCs/>
          <w:szCs w:val="24"/>
        </w:rPr>
        <w:t>cs (v): Wspieranie dostępu do wody oraz zrównoważonej gospodarki wodnej.</w:t>
      </w:r>
    </w:p>
    <w:p w14:paraId="32C45F36" w14:textId="77777777" w:rsidR="009F1607" w:rsidRPr="00841EA4" w:rsidRDefault="009F1607" w:rsidP="009F1607">
      <w:pPr>
        <w:rPr>
          <w:szCs w:val="24"/>
        </w:rPr>
      </w:pPr>
      <w:r w:rsidRPr="00841EA4">
        <w:rPr>
          <w:szCs w:val="24"/>
        </w:rPr>
        <w:t>Skutkiem obserwowanych zmian klimatycznych są m.in. zmiany cyklów hydrologicznych, obniżenie naturalnej odporności i retencji ekosystemów oraz straty materialne. Celem planowanych interwencji będzie podjęcie skutecznych i efektywnych działań adaptacyjnych, edukacyjnych, jak również inwestycje w niezbędną infrastrukturę retencjonującą wodę. Przewiduje się również dalszy rozwój infrastruktury kanalizacyjnej oraz oczyszczania ścieków komunalnych, w tym budowę lub przebudowę oczyszczalni ścieków, inwestycje w poprawę jakości wody zdatnej do spożycia, zwiększenie efektywności dostaw wody, rozwój systemów ujęć, uzdatniania, zaopatrzenia, dostawy i magazynowania wody, inwestycje pozwalające na zmniejszenie zużycia wody, ujęcie wody w obieg zamknięty oraz wtórne wykorzystanie wody w gospodarce komunalnej i MŚP. Przewiduje się również realizację projektów polegających na oczyszczaniu śródlądowych wód stojących i płynących (zmniejszenie ilości odpadów niesionych przez wody do morza).</w:t>
      </w:r>
    </w:p>
    <w:p w14:paraId="32856C11" w14:textId="77777777" w:rsidR="009F1607" w:rsidRPr="00841EA4" w:rsidRDefault="009F1607" w:rsidP="009F1607">
      <w:pPr>
        <w:rPr>
          <w:szCs w:val="24"/>
        </w:rPr>
      </w:pPr>
      <w:r w:rsidRPr="00841EA4">
        <w:rPr>
          <w:szCs w:val="24"/>
        </w:rPr>
        <w:t>Zatem działania planowane do realizacji w ramach w/w celów szczegółowych będą bezpośrednio, długotrwale i pozytywnie wpływać na środowisko, zwłaszcza w obszarze stanu i zasobów wód.</w:t>
      </w:r>
    </w:p>
    <w:p w14:paraId="438F8CA9" w14:textId="77777777" w:rsidR="009F1607" w:rsidRPr="00841EA4" w:rsidRDefault="009F1607" w:rsidP="009F1607">
      <w:pPr>
        <w:rPr>
          <w:szCs w:val="24"/>
        </w:rPr>
      </w:pPr>
      <w:r w:rsidRPr="00841EA4">
        <w:rPr>
          <w:szCs w:val="24"/>
        </w:rPr>
        <w:t xml:space="preserve">Przewiduje się działania polegające na realizacji projektów z zakresu zielonej i niebieskiej infrastruktury (parki kieszonkowe, zadrzewienia, miejskie skwery), </w:t>
      </w:r>
      <w:r w:rsidRPr="00841EA4">
        <w:rPr>
          <w:bCs/>
          <w:szCs w:val="24"/>
        </w:rPr>
        <w:t>budowie lub modernizacji sieci</w:t>
      </w:r>
      <w:r w:rsidRPr="00841EA4">
        <w:rPr>
          <w:szCs w:val="24"/>
        </w:rPr>
        <w:t xml:space="preserve"> </w:t>
      </w:r>
      <w:r w:rsidRPr="00841EA4">
        <w:rPr>
          <w:bCs/>
          <w:szCs w:val="24"/>
        </w:rPr>
        <w:t xml:space="preserve">kanalizacyjnych, oczyszczalni </w:t>
      </w:r>
      <w:r w:rsidRPr="00841EA4">
        <w:rPr>
          <w:rFonts w:hint="eastAsia"/>
          <w:bCs/>
          <w:szCs w:val="24"/>
        </w:rPr>
        <w:t>ś</w:t>
      </w:r>
      <w:r w:rsidRPr="00841EA4">
        <w:rPr>
          <w:bCs/>
          <w:szCs w:val="24"/>
        </w:rPr>
        <w:t>ciek</w:t>
      </w:r>
      <w:r w:rsidRPr="00841EA4">
        <w:rPr>
          <w:rFonts w:hint="eastAsia"/>
          <w:bCs/>
          <w:szCs w:val="24"/>
        </w:rPr>
        <w:t>ó</w:t>
      </w:r>
      <w:r w:rsidRPr="00841EA4">
        <w:rPr>
          <w:bCs/>
          <w:szCs w:val="24"/>
        </w:rPr>
        <w:t>w oraz system</w:t>
      </w:r>
      <w:r w:rsidRPr="00841EA4">
        <w:rPr>
          <w:rFonts w:hint="eastAsia"/>
          <w:bCs/>
          <w:szCs w:val="24"/>
        </w:rPr>
        <w:t>ó</w:t>
      </w:r>
      <w:r w:rsidRPr="00841EA4">
        <w:rPr>
          <w:bCs/>
          <w:szCs w:val="24"/>
        </w:rPr>
        <w:t>w zaopatrzenia w wod</w:t>
      </w:r>
      <w:r w:rsidRPr="00841EA4">
        <w:rPr>
          <w:rFonts w:hint="eastAsia"/>
          <w:bCs/>
          <w:szCs w:val="24"/>
        </w:rPr>
        <w:t>ę</w:t>
      </w:r>
      <w:r w:rsidRPr="00841EA4">
        <w:rPr>
          <w:szCs w:val="24"/>
        </w:rPr>
        <w:t xml:space="preserve"> oraz prospołeczne, np. działania edukacyjne dla mieszkanek i mieszkańców/instytucji, w zakresie kształtowania postaw i zachowań ekologicznych, pozwalających na dostrzeganie wpływu własnych zachowań na jakość środowiska naturalnego.</w:t>
      </w:r>
    </w:p>
    <w:p w14:paraId="751409FB" w14:textId="77777777" w:rsidR="009F1607" w:rsidRPr="00841EA4" w:rsidRDefault="009F1607" w:rsidP="009F1607">
      <w:pPr>
        <w:rPr>
          <w:bCs/>
          <w:szCs w:val="24"/>
        </w:rPr>
      </w:pPr>
      <w:r w:rsidRPr="00841EA4">
        <w:rPr>
          <w:bCs/>
          <w:szCs w:val="24"/>
        </w:rPr>
        <w:t>Działania edukacyjne powinny zatem pośrednio, pozytywnie i długoterminowo wpływać na wzrost poziomu właściwych działań i postaw społecznych w odniesieniu do środowiska naturalnego, w tym w odniesieniu do stanu i jakości wód powierzchniowych, podziemnych i morskich.</w:t>
      </w:r>
    </w:p>
    <w:p w14:paraId="1CCFD32E" w14:textId="77777777" w:rsidR="009F1607" w:rsidRPr="00841EA4" w:rsidRDefault="009F1607" w:rsidP="009F1607">
      <w:pPr>
        <w:rPr>
          <w:szCs w:val="24"/>
        </w:rPr>
      </w:pPr>
      <w:r w:rsidRPr="00841EA4">
        <w:rPr>
          <w:szCs w:val="24"/>
        </w:rPr>
        <w:t xml:space="preserve">Zrealizowanie celu szczegółowego </w:t>
      </w:r>
      <w:r w:rsidRPr="00841EA4">
        <w:rPr>
          <w:i/>
          <w:iCs/>
          <w:szCs w:val="24"/>
        </w:rPr>
        <w:t>cs (iv): Wspieranie przystosowania się do zmian klimatu i zapobiegania ryzyku związanemu z klęskami</w:t>
      </w:r>
      <w:r w:rsidRPr="00841EA4">
        <w:rPr>
          <w:i/>
          <w:szCs w:val="24"/>
        </w:rPr>
        <w:t xml:space="preserve"> żywiołowymi i katastrofami, a także odporności, z uwzględnieniem podejścia ekosystemowego</w:t>
      </w:r>
      <w:r w:rsidRPr="00841EA4">
        <w:rPr>
          <w:szCs w:val="24"/>
        </w:rPr>
        <w:t>, bezpośrednio, długoterminowo i pozytywnie będzie oddziaływać na analizowany element środowiska, poprzez działania zmierzające m.in. do poprawy lokalnego bilansu wodnego (opóźnienie lub zmniejszenie odpływu wody ze zlewni, niwelacja skutków suszy), czy też kształtowanie zasobów wodnych. Przewiduje się ponadto, że pośrednio, pozytywnie, realizacja działań w ramach omawianego priorytetu przyczyni się do wzrost dostępności wody dla roślin i zwierząt, wzrostu bioróżnorodności oraz wzrostu świadomości mieszkańców w zakresie zmian klimatu i ochrony zasobów wodnych.</w:t>
      </w:r>
    </w:p>
    <w:p w14:paraId="6BE53BE3" w14:textId="77777777" w:rsidR="009F1607" w:rsidRPr="00841EA4" w:rsidRDefault="009F1607" w:rsidP="009F1607">
      <w:pPr>
        <w:rPr>
          <w:szCs w:val="24"/>
        </w:rPr>
      </w:pPr>
      <w:r w:rsidRPr="00841EA4">
        <w:rPr>
          <w:szCs w:val="24"/>
        </w:rPr>
        <w:t xml:space="preserve">Zrealizowanie celu szczegółowego </w:t>
      </w:r>
      <w:r w:rsidRPr="00841EA4">
        <w:rPr>
          <w:i/>
          <w:iCs/>
          <w:szCs w:val="24"/>
        </w:rPr>
        <w:t>cs (v): Wspieranie</w:t>
      </w:r>
      <w:r w:rsidRPr="00841EA4">
        <w:rPr>
          <w:i/>
          <w:szCs w:val="24"/>
        </w:rPr>
        <w:t xml:space="preserve"> dostępu do wody oraz zrównoważonej gospodarki wodnej</w:t>
      </w:r>
      <w:r w:rsidRPr="00841EA4">
        <w:rPr>
          <w:szCs w:val="24"/>
        </w:rPr>
        <w:t>, bezpośrednio, poprzez budowę, rozbudowę lub modernizację infrastruktury komunalnej, np. sieci wodociągowej i kanalizacyjnej pozwoli na zapewnienie produkcji wody bezpiecznej dla mieszkańców, przyczyni się do ograniczenia zużycia zasobów wodnych oraz ograniczy ryzyko przedostawania się zanieczyszczeń na terenach nieposiadających systemów kanalizacyjnych. Budowa lub modernizacja sieci kanalizacyjnych przyczyni się dodatkowo do zwiększeniu odsetka ludności korzystając</w:t>
      </w:r>
      <w:r>
        <w:rPr>
          <w:szCs w:val="24"/>
        </w:rPr>
        <w:t>ej ze zbiorowych</w:t>
      </w:r>
      <w:r w:rsidRPr="00841EA4">
        <w:rPr>
          <w:szCs w:val="24"/>
        </w:rPr>
        <w:t xml:space="preserve"> system</w:t>
      </w:r>
      <w:r>
        <w:rPr>
          <w:szCs w:val="24"/>
        </w:rPr>
        <w:t>ów odprowadzania i</w:t>
      </w:r>
      <w:r w:rsidRPr="00841EA4">
        <w:rPr>
          <w:szCs w:val="24"/>
        </w:rPr>
        <w:t xml:space="preserve"> oczyszczania ścieków.</w:t>
      </w:r>
    </w:p>
    <w:p w14:paraId="54376BCC" w14:textId="77777777" w:rsidR="009F1607" w:rsidRPr="00841EA4" w:rsidRDefault="009F1607" w:rsidP="009F1607">
      <w:pPr>
        <w:rPr>
          <w:szCs w:val="24"/>
        </w:rPr>
      </w:pPr>
      <w:r w:rsidRPr="00841EA4">
        <w:rPr>
          <w:szCs w:val="24"/>
        </w:rPr>
        <w:t>Bezpośrednim pozytywnym i długoterminowym oddziaływaniem na stan i zasoby wodne będzie zmniejszenie strat wody na sieciach wodociągowych oraz zmniejszenie awaryjności sieci wskutek modernizacji sieci wodociągowych i urządzeń gospodarki wodnej. W skrajnych przypadkach, w przypadku wodociągów niemodernizowanych (wiek 30-50 lat), straty wody na sieci wodociągowej mogą osiągać nawet 50% objętości wody wtłaczanej do sieci wodociągowej. Straty dochodzą niekiedy do 100 dm</w:t>
      </w:r>
      <w:r w:rsidRPr="00841EA4">
        <w:rPr>
          <w:szCs w:val="24"/>
          <w:vertAlign w:val="superscript"/>
        </w:rPr>
        <w:t>3</w:t>
      </w:r>
      <w:r w:rsidRPr="00841EA4">
        <w:rPr>
          <w:szCs w:val="24"/>
        </w:rPr>
        <w:t>/M x d, co w przybliżeniu odpowiada poziomowi jednostkowego zużycia wody w gospodarstwach domowych. W związku z tym, modernizacja sieci wodociągowych (lub budowa nowych) powinna istotne ograniczyć ewentualne straty.</w:t>
      </w:r>
    </w:p>
    <w:p w14:paraId="6D2F6685" w14:textId="77777777" w:rsidR="009F1607" w:rsidRPr="00841EA4" w:rsidRDefault="009F1607" w:rsidP="009F1607">
      <w:pPr>
        <w:rPr>
          <w:szCs w:val="24"/>
        </w:rPr>
      </w:pPr>
      <w:r w:rsidRPr="00841EA4">
        <w:rPr>
          <w:bCs/>
          <w:szCs w:val="24"/>
        </w:rPr>
        <w:t xml:space="preserve">W związku z budową lub modernizacją sieci wodociągowych lub kanalizacyjnych mogą wystąpić chwilowe i krótkoterminowe, negatywne oddziaływania na wody. Oddziaływanie to potencjalnie związane będzie z </w:t>
      </w:r>
      <w:r w:rsidRPr="00841EA4">
        <w:rPr>
          <w:szCs w:val="24"/>
        </w:rPr>
        <w:t>przygotowaniem placu budowy, budową wodociągu/kanalizacji wraz z obiektami towarzyszącymi oraz porządkowaniem terenu po ułożeniu rurociągów i wykonaniu obiektów.</w:t>
      </w:r>
      <w:r w:rsidRPr="00841EA4">
        <w:rPr>
          <w:bCs/>
          <w:szCs w:val="24"/>
        </w:rPr>
        <w:t xml:space="preserve"> </w:t>
      </w:r>
      <w:r w:rsidRPr="00841EA4">
        <w:rPr>
          <w:szCs w:val="24"/>
        </w:rPr>
        <w:t>W okresie tym będą występować procesy związane z wykopami, zwiększonym ruchem pojazdów ciężarowych i ciężkiego sprzętu.</w:t>
      </w:r>
    </w:p>
    <w:p w14:paraId="4E7CEE5B" w14:textId="77777777" w:rsidR="009F1607" w:rsidRPr="00841EA4" w:rsidRDefault="009F1607" w:rsidP="009F1607">
      <w:pPr>
        <w:rPr>
          <w:szCs w:val="24"/>
        </w:rPr>
      </w:pPr>
      <w:r w:rsidRPr="00841EA4">
        <w:rPr>
          <w:szCs w:val="24"/>
        </w:rPr>
        <w:t>Oddziaływanie na środowisko dla potencjalnej przebudowy i modernizacji systemów kanalizacyjnych lub wodociągowych będzie występowało wyłącznie na etapie realizacji, a skala tego oddziaływania będzie bardzo niewielka i ograniczona w czasie. Zgodnie z obowiązującym Rozporządzeniem Rady Ministrów z dnia 10 września 2019 r. w sprawie przedsięwzięć mogących znacząco oddziaływać na środowisko (Dz.U. 2019 poz. 1839), § 3. 1. do przedsięwzięć mogących potencjalnie znacząco oddziaływać na środowisko zalicza się m.in. 81) sieci kanalizacyjne o całkowitej długości przedsięwzięcia nie mniejszej niż 1 km, z wyłączeniem: a) przebudowy tych sieci metodą bezwykopową, b) sieci kanalizacji deszczowej zlokalizowanych w pasie drogowym i obszarze kolejowym, c) przyłączy do budynków (dotyczy to również rozbudowy, przebudowy lub montażu realizowanego lub zrealizowanego przedsięwzięcia). Z kolei punkt 71) w/w Rozporządzenia wskazuje, że rurociągi wodociągowe magistralne do przesyłania wody oraz przewody wodociągowe magistralne doprowadzające wodę od stacji uzdatniania do przewodów wodociągowych rozdzielczych, z wyłączeniem ich przebudowy metodą bezwykopową są również zaliczane do przedsięwzięć mogących potencjalnie znacząco oddziaływać na środowisko. W związku z tym, o ile spełnione zostaną przesłanki określone w powyższym Rozporządzeniu, działania takie potencjalnie będą wymagać uzyskania decyzji o środowiskowych uwarunkowaniach i sporządzenia karty informacyjnej przedsięwzięcia, w której zawarte są m.in. rozwiązania chroniące środowisko.</w:t>
      </w:r>
    </w:p>
    <w:p w14:paraId="29D10495" w14:textId="77777777" w:rsidR="009F1607" w:rsidRPr="00841EA4" w:rsidRDefault="009F1607" w:rsidP="009F1607">
      <w:pPr>
        <w:rPr>
          <w:szCs w:val="24"/>
        </w:rPr>
      </w:pPr>
      <w:r w:rsidRPr="00841EA4">
        <w:rPr>
          <w:szCs w:val="24"/>
        </w:rPr>
        <w:t>Należy jednak podkreślić, że działania dotyczące projektów z zakresu gospodarki wodno-ściekowej (oczyszczalnie, sieci, osady ściekowe) oraz modernizacja infrastruktury niezbędnej do ujęcia, uzdatniania, magazynowania i dystrybucji wody do spożycia są monitorowane jako wspierające cele środowiskowe (zrównoważone wykorzystanie i ochrona zasobów wodnych i morskich) o współczynniku 100 % i jako taki uznaje się je za zgodne z Rozporządzeniem Parlamentu Europejskiego i Rady (UE) 2021/241 z dnia 12 lutego 2021 r. ustanawiające Instrument na rzecz Odbudowy i Zwiększania Odporności. W związku z tym nie przewiduje się, że planowane działania mogłyby zagrażać ekosystemom wodnym, w tym dobremu stanowi środowiska wód morskich.</w:t>
      </w:r>
    </w:p>
    <w:p w14:paraId="52A994B4" w14:textId="77777777" w:rsidR="009F1607" w:rsidRPr="00841EA4" w:rsidRDefault="009F1607" w:rsidP="009F1607">
      <w:pPr>
        <w:rPr>
          <w:szCs w:val="24"/>
        </w:rPr>
      </w:pPr>
      <w:r w:rsidRPr="00841EA4">
        <w:rPr>
          <w:szCs w:val="24"/>
        </w:rPr>
        <w:t xml:space="preserve">W ramach celu szczegółowego </w:t>
      </w:r>
      <w:r w:rsidRPr="00841EA4">
        <w:rPr>
          <w:i/>
          <w:iCs/>
          <w:szCs w:val="24"/>
        </w:rPr>
        <w:t>cs (vi): Wspieranie transformacji w kierunku gospodarki o obiegu zamkniętym i gospodarki zasobooszczędnej</w:t>
      </w:r>
      <w:r w:rsidRPr="00841EA4">
        <w:rPr>
          <w:szCs w:val="24"/>
        </w:rPr>
        <w:t>, przewiduje się realizację działań takich jak transformacja procesów produkcyjnych w przedsiębiorstwach w kierunku GOZ, projekty w zakresie gospodarki odpadami komunalnymi zgodnie z hierarchią postępowania z odpadami, projekty z zakresu gospodarki odpadami innymi niż komunalne (przemysłowe, azbest, odpady medyczne) oraz działania edukacyjne w zakresie gospodarki o obiegu zamkniętym. Planowane działania powinny być zgodne m.in. z Planem Gospodarki Odpadami dla Województwa Zachodniopomorskiego na lata 2020-2026 z uwzględnieniem perspektywy na lata 2027-2032 oraz Krajowym Planem Gospodarki Odpadami 2022 (KPGO 2022).</w:t>
      </w:r>
    </w:p>
    <w:p w14:paraId="4EBAAFA8" w14:textId="77777777" w:rsidR="009F1607" w:rsidRPr="00841EA4" w:rsidRDefault="009F1607" w:rsidP="009F1607">
      <w:pPr>
        <w:rPr>
          <w:szCs w:val="24"/>
        </w:rPr>
      </w:pPr>
      <w:r w:rsidRPr="00841EA4">
        <w:rPr>
          <w:szCs w:val="24"/>
        </w:rPr>
        <w:t>Pozytywnym skutkiem o wymiarze pośrednim, lecz długoterminowym będzie realizacja projektów o charakterze edukacyjno-informacyjnym, dzięki którym przewiduje się wzrost świadomości mieszkańców w zakresie gospodarki cyrkularnej, jak również w zakresie rozwiązań proekologicznych.</w:t>
      </w:r>
    </w:p>
    <w:p w14:paraId="6AF199F1" w14:textId="77777777" w:rsidR="009F1607" w:rsidRPr="00841EA4" w:rsidRDefault="009F1607" w:rsidP="009F1607">
      <w:pPr>
        <w:rPr>
          <w:szCs w:val="24"/>
        </w:rPr>
      </w:pPr>
      <w:r w:rsidRPr="00841EA4">
        <w:rPr>
          <w:szCs w:val="24"/>
        </w:rPr>
        <w:t>Wdrożenie ekoinnowacyjnych systemów, które mogą przyczynić się do ograniczenia ilości odpadów unieszkodliwianych na składowiskach, czy też zapewniających pozyskanie odpadów nadających się do recyklingu oraz rozwój instalacji do przetwarzania bioodpadów powinny pozytywnie i długoterminowo oddziaływać na stan i zasoby środowiska, w tym na stan i zasoby wód, w tym wód morskich oraz gospodarkę wodno-ściekową.</w:t>
      </w:r>
    </w:p>
    <w:p w14:paraId="51ABB18E" w14:textId="77777777" w:rsidR="009F1607" w:rsidRPr="00841EA4" w:rsidRDefault="009F1607" w:rsidP="009F1607">
      <w:pPr>
        <w:rPr>
          <w:szCs w:val="24"/>
        </w:rPr>
      </w:pPr>
      <w:r w:rsidRPr="00841EA4">
        <w:rPr>
          <w:szCs w:val="24"/>
        </w:rPr>
        <w:t>Zgodnie z treścią Prognozy Oddziaływania na środowisko Krajowego planu gospodarki odpadami należy stwierdzić, że realizacji zamierzeń i celów KPGO powinna mieć długofalowe, pozytywne, odczuwalne w skali całego kraju, oraz na poziomie lokalnym i regionalnym na stan jakości wód, poprzez ograniczenie szkodliwego oddziaływania składowania i przeróbki odpadów na stan jakości wód. Modernizacja i rekultywacja składowisk pozwolą na minimalizacje lub nawet eliminację zanieczyszczeń, które obecnie trafiają do środowiska wodnego. Gospodarka niskoodpadowa przyczyni się do zmniejszenia ilości zużywanej do procesów technologicznych wody oraz powstających ścieków.</w:t>
      </w:r>
    </w:p>
    <w:p w14:paraId="42C769EE" w14:textId="77777777" w:rsidR="009F1607" w:rsidRPr="00841EA4" w:rsidRDefault="009F1607" w:rsidP="009F1607">
      <w:pPr>
        <w:rPr>
          <w:szCs w:val="24"/>
        </w:rPr>
      </w:pPr>
      <w:r w:rsidRPr="00841EA4">
        <w:rPr>
          <w:szCs w:val="24"/>
        </w:rPr>
        <w:t>Realizacja w/w działań pozwoli, m.in. wykorzystać surowce odpadowe, w tym również wodę z procesów technologicznym (np. w ramach realizacji zadań związanych transformacją procesów produkcyjnych w GOZ), co pozwoli zminimalizować potencjalne negatywne oddziaływanie związane z poborem nadmiernych ilości wody na cele technologiczne.</w:t>
      </w:r>
    </w:p>
    <w:p w14:paraId="7737A507" w14:textId="77777777" w:rsidR="009F1607" w:rsidRPr="00841EA4" w:rsidRDefault="009F1607" w:rsidP="009F1607">
      <w:pPr>
        <w:rPr>
          <w:szCs w:val="24"/>
        </w:rPr>
      </w:pPr>
      <w:r w:rsidRPr="00841EA4">
        <w:rPr>
          <w:szCs w:val="24"/>
        </w:rPr>
        <w:t>W związku z zaplanowanymi działaniami związanymi z usuwaniem wyrobów azbestowych, kreozotowych, odpadów medycznych i weterynaryjnych, przy założeniu, że prace będą wykonywane w odpowiednim schemacie technologicznym i z poszanowaniem obowiązującego prawa, nie powinny wpływać negatywnie na środowisko wód powierzchniowych i podziemnych. Usunięcie wyrobów azbestowych zlikwiduje potencjalne ognisko zanieczyszczenia włóknami azbestowymi środowiska wodnego (np. poprzez spływy wód opadowych do odbiorników).</w:t>
      </w:r>
    </w:p>
    <w:p w14:paraId="2CC2E804" w14:textId="77777777" w:rsidR="009F1607" w:rsidRPr="00841EA4" w:rsidRDefault="009F1607" w:rsidP="009F1607">
      <w:pPr>
        <w:rPr>
          <w:szCs w:val="24"/>
        </w:rPr>
      </w:pPr>
      <w:r w:rsidRPr="00841EA4">
        <w:rPr>
          <w:szCs w:val="24"/>
        </w:rPr>
        <w:t>Działania dotyczące projektów z zakresu gospodarki odpadami komunalnymi i innymi niż komunalne, tj. azbest, kreozot, odpady medyczne i weterynaryjne są monitorowane jako wspierające cele środowiskowe (zrównoważone wykorzystanie i ochrona zasobów wodnych i morskich) o współczynniku 100 % i jako takie uznaje się je za zgodne z Rozporządzeniem Parlamentu Europejskiego i Rady (UE) 2021/241 z dnia 12 lutego 2021 r. ustanawiające Instrument na rzecz Odbudowy i Zwiększania Odporności. W związku z tym nie przewiduje się, że planowane działania mogłyby zagrażać ekosystemom wodnym, w tym dobremu stanowi środowiska wód morskich.</w:t>
      </w:r>
    </w:p>
    <w:p w14:paraId="4C4BBFA3" w14:textId="77777777" w:rsidR="009F1607" w:rsidRPr="00841EA4" w:rsidRDefault="009F1607" w:rsidP="009F1607">
      <w:pPr>
        <w:rPr>
          <w:szCs w:val="24"/>
        </w:rPr>
      </w:pPr>
      <w:r w:rsidRPr="00841EA4">
        <w:rPr>
          <w:szCs w:val="24"/>
        </w:rPr>
        <w:t xml:space="preserve">Realizacja celu szczegółowego </w:t>
      </w:r>
      <w:r w:rsidRPr="00841EA4">
        <w:rPr>
          <w:i/>
          <w:iCs/>
          <w:szCs w:val="24"/>
        </w:rPr>
        <w:t>cs (vii): Wzmacnianie ochrony i zachowania przyrody, różnorodności biologicznej oraz zielonej</w:t>
      </w:r>
      <w:r w:rsidRPr="00841EA4">
        <w:rPr>
          <w:i/>
          <w:szCs w:val="24"/>
        </w:rPr>
        <w:t xml:space="preserve"> infrastruktury, w tym na obszarach miejskich, oraz ograniczanie wszelkich rodzajów zanieczyszczenia</w:t>
      </w:r>
      <w:r w:rsidRPr="00841EA4">
        <w:rPr>
          <w:szCs w:val="24"/>
        </w:rPr>
        <w:t xml:space="preserve"> obejmuje działania ukierunkowane m.in. na zabiegi z zakresu ochrony siedlisk i gatunków oraz ochrony dziedzictwa przyrodniczego i jego zasobów, azyle dla zwierząt (np. ochrona gatunków zagrożonych, chronionych), inwestycje zapobiegające niekontrolowanej presji na obszary cenne przyrodniczo, a także działania systemowe (opracowanie dokumentów planistycznych obejmujących, np. obszary chronione wraz z inwentaryzacją zasobów przyrodniczych i krajobrazowych, działania edukacyjne).</w:t>
      </w:r>
    </w:p>
    <w:p w14:paraId="1103B66C" w14:textId="77777777" w:rsidR="009F1607" w:rsidRPr="00841EA4" w:rsidRDefault="009F1607" w:rsidP="009F1607">
      <w:pPr>
        <w:rPr>
          <w:szCs w:val="24"/>
        </w:rPr>
      </w:pPr>
      <w:r w:rsidRPr="00841EA4">
        <w:rPr>
          <w:szCs w:val="24"/>
        </w:rPr>
        <w:t>W przeważającej większości charakter w/w przewidywanych działań będzie miał wymiar neutralny względem stanu i zasobów wód, w tym gospodarki wodno-ściekowej. Względnie, pośrednio i bezpośrednio w sposób pozytywny, do poprawy stanu i jakości wód przyczynią się inwestycje polegające, np. na przeciwdziałaniu niedoborom terenów zielonych, powiększaniu powierzchni biologicznie czynnej oraz zwiększaniu nasadzeń zieleni wysokiej (poprawa lokalnego bilansu wodnego, opóźnienie lub zmniejszenie odpływu wody ze zlewni, niwelacja skutków suszy, kształtowanie zasobów wodnych).</w:t>
      </w:r>
    </w:p>
    <w:p w14:paraId="5679F76B" w14:textId="77777777" w:rsidR="009F1607" w:rsidRPr="00841EA4" w:rsidRDefault="009F1607" w:rsidP="009F1607">
      <w:pPr>
        <w:rPr>
          <w:szCs w:val="24"/>
        </w:rPr>
      </w:pPr>
      <w:r w:rsidRPr="00841EA4">
        <w:rPr>
          <w:szCs w:val="24"/>
        </w:rPr>
        <w:t>Podsumowując, przewiduje się, że w większości tylko inwestycje związane z ewentualną budową, przebudową lub modernizacją mogą bezpośrednio oddziaływać na środowisko, jednak to oddziaływanie będzie tymczasowe oraz krótkotrwałe i ustąpi w chwili zakończenia etapu realizacji inwestycji. Na etapie budowy, przebudowy lub modernizacji istnieje ryzyko potencjalnego przedostawania się zanieczyszczeń z placu budowy (np. oleje, smary, zanieczyszczone wody opadowe lub roztopowe) do wód lub do gruntu. Na etapie rozruchu technologicznego nowych urządzeń lub maszyn może wystąpić potencjalnie większe zużycie wody na cele technologiczne (o ile eksploatacja takich instalacji wiąże się ze zużyciem wody), przy czym oddziaływanie to powinno być krótkotrwałe i ustąpić po ustabilizowaniu procesów technologicznych. Powyższe negatywne, pośrednie skutki realizacji działań powinny ustąpić w chwili zrealizowania inwestycji.</w:t>
      </w:r>
    </w:p>
    <w:p w14:paraId="2015A7D4" w14:textId="77777777" w:rsidR="009F1607" w:rsidRPr="00841EA4" w:rsidRDefault="009F1607" w:rsidP="009F1607">
      <w:pPr>
        <w:rPr>
          <w:szCs w:val="24"/>
        </w:rPr>
      </w:pPr>
      <w:r w:rsidRPr="00841EA4">
        <w:rPr>
          <w:szCs w:val="24"/>
        </w:rPr>
        <w:t>Ewentualne negatywne oddziaływania będą kompensowane przez długoterminowe i pozytywne efekty realizacji tych działań, np. rozwój gospodarki o obiegu zamkniętym, rozwój gospodarki niskoemisyjnej i energetyki odnawialnej, racjonalne wykorzystanie zasobów wodnych. Realizacja, między innymi tych działań, pozwoli zoptymalizować procesy technologiczne (np. nowoczesne maszyny i urządzenia, automatyzacja i robotyzacja), co pośrednio obniży emisję zanieczyszczeń odprowadzanych ze ściekami do wód.</w:t>
      </w:r>
    </w:p>
    <w:p w14:paraId="79D42F54" w14:textId="77777777" w:rsidR="009F1607" w:rsidRPr="00841EA4" w:rsidRDefault="009F1607" w:rsidP="009F1607">
      <w:pPr>
        <w:rPr>
          <w:rFonts w:cstheme="minorHAnsi"/>
          <w:szCs w:val="24"/>
        </w:rPr>
      </w:pPr>
      <w:r w:rsidRPr="00841EA4">
        <w:rPr>
          <w:rFonts w:cstheme="minorHAnsi"/>
          <w:szCs w:val="24"/>
        </w:rPr>
        <w:t xml:space="preserve">Realizacja Priorytetu 2. </w:t>
      </w:r>
      <w:r w:rsidRPr="00841EA4">
        <w:rPr>
          <w:b/>
          <w:i/>
          <w:szCs w:val="24"/>
        </w:rPr>
        <w:t>FUNDUSZE EUROPEJSKIE NA RZECZ ZIELONEGO POMORZA ZACHODNIEGO</w:t>
      </w:r>
      <w:r w:rsidRPr="00841EA4">
        <w:rPr>
          <w:rFonts w:cstheme="minorHAnsi"/>
          <w:szCs w:val="24"/>
        </w:rPr>
        <w:t xml:space="preserve"> ma istotne znaczenie ze względu na zapewnienia finansowania Strategii Unii Europejskiej dla Regionu Morza Bałtyckiego (SUERMB) przyczyniając się w szczególności do realizacji celu nr 1 strategii („Ochrona morza”). Realizacja celu szczegółowego </w:t>
      </w:r>
      <w:r w:rsidRPr="00841EA4">
        <w:rPr>
          <w:rFonts w:cstheme="minorHAnsi"/>
          <w:i/>
          <w:iCs/>
          <w:szCs w:val="24"/>
        </w:rPr>
        <w:t>cs (i): Wspieranie</w:t>
      </w:r>
      <w:r w:rsidRPr="00841EA4">
        <w:rPr>
          <w:rFonts w:cstheme="minorHAnsi"/>
          <w:i/>
          <w:szCs w:val="24"/>
        </w:rPr>
        <w:t xml:space="preserve"> efektywności energetycznej i redukcji emisji gazów cieplarnianych</w:t>
      </w:r>
      <w:r w:rsidRPr="00841EA4">
        <w:rPr>
          <w:rFonts w:cstheme="minorHAnsi"/>
          <w:szCs w:val="24"/>
        </w:rPr>
        <w:t xml:space="preserve"> oraz </w:t>
      </w:r>
      <w:r w:rsidRPr="00841EA4">
        <w:rPr>
          <w:rFonts w:cstheme="minorHAnsi"/>
          <w:i/>
          <w:iCs/>
          <w:szCs w:val="24"/>
        </w:rPr>
        <w:t>cs (ii): Wspieranie</w:t>
      </w:r>
      <w:r w:rsidRPr="00841EA4">
        <w:rPr>
          <w:rFonts w:cstheme="minorHAnsi"/>
          <w:i/>
          <w:szCs w:val="24"/>
        </w:rPr>
        <w:t xml:space="preserve"> energii odnawialnej zgodnie z dyrektywą (UE) 2018/2001, w tym określonymi w niej kryteriami zrównoważonego rozwoju</w:t>
      </w:r>
      <w:r w:rsidRPr="00841EA4">
        <w:rPr>
          <w:rFonts w:cstheme="minorHAnsi"/>
          <w:szCs w:val="24"/>
        </w:rPr>
        <w:t xml:space="preserve"> przyczyni się szczególnie do realizacji określonych w SUERMB obszarów polityki, tj. obszaru: Energia. Realizacja celu szczegółowego </w:t>
      </w:r>
      <w:r w:rsidRPr="00841EA4">
        <w:rPr>
          <w:rFonts w:cstheme="minorHAnsi"/>
          <w:i/>
          <w:iCs/>
          <w:szCs w:val="24"/>
        </w:rPr>
        <w:t>cs (v): Wspieranie dostępu do wody oraz zrównoważonej gospodarki wodnej</w:t>
      </w:r>
      <w:r w:rsidRPr="00841EA4">
        <w:rPr>
          <w:rFonts w:cstheme="minorHAnsi"/>
          <w:szCs w:val="24"/>
        </w:rPr>
        <w:t xml:space="preserve"> przyczyni się szczególnie do realizacji określonych w SUERMB obszarów polityki, tj. obszaru: Biogeny. Realizacja celu szczegółowego </w:t>
      </w:r>
      <w:r w:rsidRPr="00841EA4">
        <w:rPr>
          <w:rFonts w:cstheme="minorHAnsi"/>
          <w:i/>
          <w:iCs/>
          <w:szCs w:val="24"/>
        </w:rPr>
        <w:t>cs (vi): Wspieranie transformacji w kierunku gospodarki o obiegu zamkniętym i gospodarki</w:t>
      </w:r>
      <w:r w:rsidRPr="00841EA4">
        <w:rPr>
          <w:rFonts w:cstheme="minorHAnsi"/>
          <w:i/>
          <w:szCs w:val="24"/>
        </w:rPr>
        <w:t xml:space="preserve"> zasobooszczędnej</w:t>
      </w:r>
      <w:r w:rsidRPr="00841EA4">
        <w:rPr>
          <w:rFonts w:cstheme="minorHAnsi"/>
          <w:szCs w:val="24"/>
        </w:rPr>
        <w:t xml:space="preserve"> przyczyni się szczególnie do realizacji określonych w SUERMB obszarów polityki, tj. obszaru: Zagrożenia.</w:t>
      </w:r>
    </w:p>
    <w:p w14:paraId="5C289603" w14:textId="77777777" w:rsidR="009F1607" w:rsidRPr="00841EA4" w:rsidRDefault="009F1607" w:rsidP="009F1607">
      <w:pPr>
        <w:autoSpaceDE w:val="0"/>
        <w:autoSpaceDN w:val="0"/>
        <w:adjustRightInd w:val="0"/>
        <w:rPr>
          <w:rFonts w:cstheme="minorHAnsi"/>
          <w:szCs w:val="24"/>
        </w:rPr>
      </w:pPr>
      <w:r w:rsidRPr="00841EA4">
        <w:rPr>
          <w:rFonts w:cstheme="minorHAnsi"/>
          <w:szCs w:val="24"/>
        </w:rPr>
        <w:t xml:space="preserve">W ramach Priorytetu 3. </w:t>
      </w:r>
      <w:r w:rsidRPr="00841EA4">
        <w:rPr>
          <w:rFonts w:cstheme="minorHAnsi"/>
          <w:b/>
          <w:i/>
          <w:szCs w:val="24"/>
        </w:rPr>
        <w:t>FUNDUSZE EUROPEJSKIE NA RZECZ MOBILNEGO POMORZA ZACHODNIEGO</w:t>
      </w:r>
      <w:r w:rsidRPr="00841EA4">
        <w:rPr>
          <w:rFonts w:cstheme="minorHAnsi"/>
          <w:szCs w:val="24"/>
        </w:rPr>
        <w:t xml:space="preserve"> w ramach celu szczegółowego </w:t>
      </w:r>
      <w:r w:rsidRPr="00841EA4">
        <w:rPr>
          <w:rFonts w:cstheme="minorHAnsi"/>
          <w:i/>
          <w:iCs/>
          <w:szCs w:val="24"/>
        </w:rPr>
        <w:t>cs (viii): Wspieranie zrównoważonej multimodalnej mobilności miejskiej jako elementu transformacji w kierunku gospodarki zeroemisyjnej</w:t>
      </w:r>
      <w:r w:rsidRPr="00841EA4">
        <w:rPr>
          <w:rFonts w:cstheme="minorHAnsi"/>
          <w:szCs w:val="24"/>
        </w:rPr>
        <w:t xml:space="preserve"> przewiduje się działania polegające m.in. na budowie i przebudowie infrastruktury transportu miejskiego (np. centra przesiadkowe, obiekty park&amp;ride), zakup niskoemisyjnego i zeroemisyjnego taboru, inwestycje przyjazne pieszym i niezmotoryzowanym (np. ciągi piesze, przejścia dla pieszych), inwestycje w drogi rowerowe oraz infrastrukturę punktową służącą poprawie jakości transportu miejskiego.</w:t>
      </w:r>
    </w:p>
    <w:p w14:paraId="1C0FCB88" w14:textId="77777777" w:rsidR="009F1607" w:rsidRPr="00841EA4" w:rsidRDefault="009F1607" w:rsidP="009F1607">
      <w:pPr>
        <w:rPr>
          <w:rFonts w:cstheme="minorHAnsi"/>
          <w:szCs w:val="24"/>
        </w:rPr>
      </w:pPr>
      <w:r w:rsidRPr="00841EA4">
        <w:rPr>
          <w:rFonts w:cstheme="minorHAnsi"/>
          <w:szCs w:val="24"/>
        </w:rPr>
        <w:t>Przewiduje się, że planowane działania powinny pozytywnie, pośrednio i bezpośrednio oraz w sposób długoterminowy oddziaływać na jakość i zasoby wód. Realizacja zadań powinna przyczynić się do redukcji emisji gazów cieplarnianych, zanieczyszczeń pyłowych oraz poprawie efektywności energetycznej i zmniejszeniu zużycia paliw.</w:t>
      </w:r>
    </w:p>
    <w:p w14:paraId="24FFDD1A" w14:textId="77777777" w:rsidR="009F1607" w:rsidRPr="00841EA4" w:rsidRDefault="009F1607" w:rsidP="009F1607">
      <w:pPr>
        <w:rPr>
          <w:rFonts w:cstheme="minorHAnsi"/>
          <w:szCs w:val="24"/>
        </w:rPr>
      </w:pPr>
      <w:r w:rsidRPr="00841EA4">
        <w:rPr>
          <w:rFonts w:cstheme="minorHAnsi"/>
          <w:szCs w:val="24"/>
        </w:rPr>
        <w:t>Działania dotyczące wdrażania w miastach inteligentnych i pilotażowych rozwiązań technologicznych, a także innowacji społecznych, służących lepszemu zarządzaniu, mogą mieć pośredni, długoterminowy wpływ w związku z optymalizacją i upłynnieniem ruchu. To z kolei może przyczynić się to zmniejszenia liczby wypadków i związaną z tym potencjalną emisją zanieczyszczeń ciekłych przedostających się do wód gruntowych.</w:t>
      </w:r>
    </w:p>
    <w:p w14:paraId="06D1E6DF" w14:textId="77777777" w:rsidR="009F1607" w:rsidRPr="00841EA4" w:rsidRDefault="009F1607" w:rsidP="009F1607">
      <w:pPr>
        <w:rPr>
          <w:rFonts w:cstheme="minorHAnsi"/>
          <w:szCs w:val="24"/>
        </w:rPr>
      </w:pPr>
      <w:r w:rsidRPr="00841EA4">
        <w:rPr>
          <w:rFonts w:cstheme="minorHAnsi"/>
          <w:szCs w:val="24"/>
        </w:rPr>
        <w:t>Przewiduje się, że inwestycje w infrastrukturę i tabor transportu miejskiego pozwolą zredukować emisję zanieczyszczeń (pyłowych, gazowych), a tym samym pośrednio przedostawania się tego typu zanieczyszczeń do ekosystemów wodnych oraz do atmosfery, gdzie w bezpośrednio w postaci kwaśnych deszczy lub pośrednio w wyniku spływu powierzchniowego wprowadzane są do wód.</w:t>
      </w:r>
    </w:p>
    <w:p w14:paraId="3D92A3DF" w14:textId="77777777" w:rsidR="009F1607" w:rsidRPr="00841EA4" w:rsidRDefault="009F1607" w:rsidP="009F1607">
      <w:pPr>
        <w:rPr>
          <w:rFonts w:cstheme="minorHAnsi"/>
          <w:szCs w:val="24"/>
        </w:rPr>
      </w:pPr>
      <w:r w:rsidRPr="00841EA4">
        <w:rPr>
          <w:rFonts w:cstheme="minorHAnsi"/>
          <w:szCs w:val="24"/>
        </w:rPr>
        <w:t>Wprowadzanie taboru zeroemisyjnego i spełniającego wymogi ekologicznie czystych pojazdów w rozumieniu dyrektywy Parlamentu Europejskiego i Rady (UE) 2019/1161 z dnia 20 czerwca 2019 r. zmieniającej dyrektywę 2009/33/WE w sprawie promowania ekologicznie czystych i energooszczędnych pojazdów transportu drogowego powinny ograniczyć ilości zanieczyszczeń emitowanych do środowiska, takich jak np. dwutlenek siarki, tlenki azotu, dwutlenek węgla oraz różnego rodzaju pyły, które pośrednio mogłyby przedostawać się do wód w wyniku depozycji suchej (pyły) lub mokrej (opady deszczu lub śniegu).</w:t>
      </w:r>
    </w:p>
    <w:p w14:paraId="3DA577F4" w14:textId="77777777" w:rsidR="009F1607" w:rsidRPr="00841EA4" w:rsidRDefault="009F1607" w:rsidP="009F1607">
      <w:pPr>
        <w:rPr>
          <w:rFonts w:cstheme="minorHAnsi"/>
          <w:szCs w:val="24"/>
        </w:rPr>
      </w:pPr>
      <w:r w:rsidRPr="00841EA4">
        <w:rPr>
          <w:rFonts w:cstheme="minorHAnsi"/>
          <w:szCs w:val="24"/>
        </w:rPr>
        <w:t>Inwestycje w transport miejski powinny również zmniejszyć potencjalne ryzyko wypadków i tym samym przedostawanie się zanieczyszczeń do wód lub do gleby (np. poprzez systemy kanalizacji deszczowej niewyposażonej w urządzenia podczyszczające).</w:t>
      </w:r>
    </w:p>
    <w:p w14:paraId="0FF7B298" w14:textId="77777777" w:rsidR="009F1607" w:rsidRDefault="009F1607" w:rsidP="009F1607">
      <w:pPr>
        <w:rPr>
          <w:rFonts w:cstheme="minorHAnsi"/>
          <w:szCs w:val="24"/>
        </w:rPr>
      </w:pPr>
      <w:r w:rsidRPr="00841EA4">
        <w:rPr>
          <w:rFonts w:cstheme="minorHAnsi"/>
          <w:szCs w:val="24"/>
        </w:rPr>
        <w:t>Zakres planowanych działań wskazuje, że będą one dotyczyć obszarów miejskich, które i tak już wywierają pewien wpływ na wody i ich jakość. W związku z tym, w perspektywie krótkoterminowej i długoterminowej nie oczekuje się, aby planowane działania pogorszyły ogólny stan ekosystemów wodnych. Ewentualne oddziaływania na etapie budowy/przebudowy infrastruktury, takie jak emisja spalin w związku z pracą maszyn budowlanych, dotyczą konkretnej lokalizacji, nie są to źródła zanieczyszczeń rozproszonych. Ewentualne uciążliwości są krótkoterminowe i powinny ustąpić w chwili zakończenia inwestycji.</w:t>
      </w:r>
    </w:p>
    <w:p w14:paraId="2C8B3ABA" w14:textId="77777777" w:rsidR="009F1607" w:rsidRPr="00841EA4" w:rsidRDefault="009F1607" w:rsidP="009F1607">
      <w:pPr>
        <w:rPr>
          <w:rFonts w:cstheme="minorHAnsi"/>
          <w:szCs w:val="24"/>
        </w:rPr>
      </w:pPr>
      <w:r w:rsidRPr="00673DA7">
        <w:rPr>
          <w:szCs w:val="24"/>
        </w:rPr>
        <w:t>Nie przewiduje się, że planowane działania mogłyby zagrażać ekosystemom wodnym, w tym dobremu stan</w:t>
      </w:r>
      <w:r>
        <w:rPr>
          <w:szCs w:val="24"/>
        </w:rPr>
        <w:t>u</w:t>
      </w:r>
      <w:r w:rsidRPr="00673DA7">
        <w:rPr>
          <w:szCs w:val="24"/>
        </w:rPr>
        <w:t xml:space="preserve"> środowiska wód morskich.</w:t>
      </w:r>
    </w:p>
    <w:p w14:paraId="7458AC50" w14:textId="77777777" w:rsidR="009F1607" w:rsidRPr="00841EA4" w:rsidRDefault="009F1607" w:rsidP="009F1607">
      <w:pPr>
        <w:autoSpaceDE w:val="0"/>
        <w:autoSpaceDN w:val="0"/>
        <w:adjustRightInd w:val="0"/>
        <w:rPr>
          <w:rFonts w:eastAsia="Times New Roman" w:cstheme="minorHAnsi"/>
          <w:i/>
          <w:iCs/>
          <w:szCs w:val="24"/>
          <w:lang w:eastAsia="pl-PL"/>
        </w:rPr>
      </w:pPr>
      <w:r w:rsidRPr="00841EA4">
        <w:rPr>
          <w:rFonts w:eastAsia="Times New Roman" w:cstheme="minorHAnsi"/>
          <w:szCs w:val="24"/>
          <w:lang w:eastAsia="pl-PL"/>
        </w:rPr>
        <w:t xml:space="preserve">Realizacja działań w ramach Priorytetu </w:t>
      </w:r>
      <w:r w:rsidRPr="00841EA4">
        <w:rPr>
          <w:rFonts w:cstheme="minorHAnsi"/>
          <w:szCs w:val="24"/>
        </w:rPr>
        <w:t xml:space="preserve">4. </w:t>
      </w:r>
      <w:r w:rsidRPr="00841EA4">
        <w:rPr>
          <w:rFonts w:cstheme="minorHAnsi"/>
          <w:b/>
          <w:i/>
          <w:szCs w:val="24"/>
        </w:rPr>
        <w:t>FUNDUSZE EUROPEJSKIE NA RZECZ POŁĄCZONEGO POMORZA ZACHODNIEGO</w:t>
      </w:r>
      <w:r w:rsidRPr="00841EA4">
        <w:rPr>
          <w:rFonts w:eastAsia="Times New Roman" w:cstheme="minorHAnsi"/>
          <w:szCs w:val="24"/>
          <w:lang w:eastAsia="pl-PL"/>
        </w:rPr>
        <w:t xml:space="preserve"> w ramach celu szczegółowego </w:t>
      </w:r>
      <w:r w:rsidRPr="00841EA4">
        <w:rPr>
          <w:rFonts w:eastAsia="Times New Roman" w:cstheme="minorHAnsi"/>
          <w:i/>
          <w:iCs/>
          <w:szCs w:val="24"/>
          <w:lang w:eastAsia="pl-PL"/>
        </w:rPr>
        <w:t>cs (ii): Rozwój i udoskonalanie zrównoważonej, odpornej na zmiany klimatu, inteligentnej i intermodalnej mobilności na poziomie krajowym, regionalnym i lokalnym, w tym poprawę dostępu do TEN-T oraz mobilności transgranicznej</w:t>
      </w:r>
      <w:r w:rsidRPr="00841EA4">
        <w:rPr>
          <w:rFonts w:cstheme="minorHAnsi"/>
          <w:szCs w:val="24"/>
        </w:rPr>
        <w:t xml:space="preserve">, </w:t>
      </w:r>
      <w:r w:rsidRPr="00841EA4">
        <w:rPr>
          <w:rFonts w:eastAsia="Times New Roman" w:cstheme="minorHAnsi"/>
          <w:szCs w:val="24"/>
          <w:lang w:eastAsia="pl-PL"/>
        </w:rPr>
        <w:t>wspierane będą projekty ukierunkowane na rozwój sieci transportowej Pomorza Zachodniego, koncentrujące</w:t>
      </w:r>
      <w:r w:rsidRPr="00841EA4">
        <w:rPr>
          <w:rFonts w:eastAsia="Times New Roman" w:cstheme="minorHAnsi"/>
          <w:i/>
          <w:iCs/>
          <w:szCs w:val="24"/>
          <w:lang w:eastAsia="pl-PL"/>
        </w:rPr>
        <w:t xml:space="preserve"> </w:t>
      </w:r>
      <w:r w:rsidRPr="00841EA4">
        <w:rPr>
          <w:rFonts w:eastAsia="Times New Roman" w:cstheme="minorHAnsi"/>
          <w:szCs w:val="24"/>
          <w:lang w:eastAsia="pl-PL"/>
        </w:rPr>
        <w:t>się na działaniach mających na celu poprawę dostępności transportowej województwa, poprawę warunków życia mieszkańców województwa, poprzez ograniczenie negatywnego wpływu</w:t>
      </w:r>
      <w:r w:rsidRPr="00841EA4">
        <w:rPr>
          <w:rFonts w:eastAsia="Times New Roman" w:cstheme="minorHAnsi"/>
          <w:i/>
          <w:iCs/>
          <w:szCs w:val="24"/>
          <w:lang w:eastAsia="pl-PL"/>
        </w:rPr>
        <w:t xml:space="preserve"> </w:t>
      </w:r>
      <w:r w:rsidRPr="00841EA4">
        <w:rPr>
          <w:rFonts w:eastAsia="Times New Roman" w:cstheme="minorHAnsi"/>
          <w:szCs w:val="24"/>
          <w:lang w:eastAsia="pl-PL"/>
        </w:rPr>
        <w:t>transportu na środowisko oraz poprawę bezpieczeństwa ruchu, a także poprawę dostępności do terenów inwestycyjnych.</w:t>
      </w:r>
    </w:p>
    <w:p w14:paraId="08D7627E" w14:textId="77777777" w:rsidR="009F1607" w:rsidRPr="00841EA4" w:rsidRDefault="009F1607" w:rsidP="009F1607">
      <w:pPr>
        <w:rPr>
          <w:szCs w:val="24"/>
        </w:rPr>
      </w:pPr>
      <w:r w:rsidRPr="00841EA4">
        <w:rPr>
          <w:szCs w:val="24"/>
        </w:rPr>
        <w:t>Realizacja planowanych działań może potencjalnie wpływać zarówno na wody powierzchniowe, jak i podziemne. Wpływ ten może być dwojaki: zarówno pozytywny, jak i negatywny. Dodatkowo, w wielu przypadkach elementy wpływu pozytywnego mogą przenikać się z oddziaływaniem negatywnym.</w:t>
      </w:r>
    </w:p>
    <w:p w14:paraId="49EA1EC4" w14:textId="77777777" w:rsidR="009F1607" w:rsidRPr="00841EA4" w:rsidRDefault="009F1607" w:rsidP="009F1607">
      <w:pPr>
        <w:rPr>
          <w:szCs w:val="24"/>
        </w:rPr>
      </w:pPr>
      <w:r w:rsidRPr="00841EA4">
        <w:rPr>
          <w:szCs w:val="24"/>
        </w:rPr>
        <w:t>W perspektywie długoterminowej należy spodziewać się takich pozytywnych aspektów realizacji jak na przykład: ograniczenie oddziaływania na wody powierzchniowe i podziemne wskutek zmniejszenia ryzyka potencjalnego wystąpienia wypadków, a tym samym zmniejszeniem ryzyka przedostawania się zanieczyszczeń (oleje, smary, paliwa, węglowodory ropopochodne) do wód lub do gleby. Realizacja przewidywanych działań powinna przyczynić się także do redukcji emisji gazów cieplarnianych, zanieczyszczeń pyłowych oraz poprawy efektywności energetycznej i zmniejszenia zużycia paliw.</w:t>
      </w:r>
    </w:p>
    <w:p w14:paraId="35AB1860" w14:textId="77777777" w:rsidR="009F1607" w:rsidRPr="00841EA4" w:rsidRDefault="009F1607" w:rsidP="009F1607">
      <w:pPr>
        <w:rPr>
          <w:szCs w:val="24"/>
        </w:rPr>
      </w:pPr>
      <w:r w:rsidRPr="00841EA4">
        <w:rPr>
          <w:szCs w:val="24"/>
        </w:rPr>
        <w:t>Przewidywanym potencjalnym negatywnym oddziaływaniem na środowisko mogą charakteryzować się przedsięwzięcia polegające na budowie, przebudowie lub modernizacji czy też zmianie przebiegu istniejących dróg lub sieci komunikacyjnych. Przedsięwzięcia takie prawdopodobnie mogą negatywnie wpływać na jakość wód powierzchniowych i podziemnych, gdyż związane będą z potencjalnym ryzykiem emisji zanieczyszczeń takich jak spaliny, substancje ropopochodne lub inne towarzyszące działaniom polegającym na pracach budowlanych. Oddziaływanie to jednak będzie miało charakter chwilowy i krótkoterminowy, który ustąpi w chwili zakończenia inwestycji.</w:t>
      </w:r>
    </w:p>
    <w:p w14:paraId="7FD2E62D" w14:textId="77777777" w:rsidR="009F1607" w:rsidRPr="00841EA4" w:rsidRDefault="009F1607" w:rsidP="009F1607">
      <w:pPr>
        <w:rPr>
          <w:szCs w:val="24"/>
        </w:rPr>
      </w:pPr>
      <w:r w:rsidRPr="00841EA4">
        <w:rPr>
          <w:szCs w:val="24"/>
        </w:rPr>
        <w:t>Na potrzeby realizacji działań związanych z sieciami komunikacyjnymi, wielkość pasa zajętości może miejscami wykraczać poza projektowany pas jezdni (w miejscach niezbędnych do użycia specjalistycznego sprzętu do budowy m.in. obiektu mostowego oraz w rejonach budowy skrzyżowań). Omawiane działania mogą częściowo wymagać przebudowy lokalnego systemu odwodnienia terenu (np. rowy melioracyjne, wymiana istniejących przepustów). W przypadkach wynikających z Rozporządzenia Ministra Gospodarki Morskiej i Żeglugi Śródlądowej z dnia 12 lipca 2019 r. w sprawie substancji szczególnie szkodliwych dla środowiska wodnego oraz warunków, jakie należy spełnić przy wprowadzaniu do wód lub do ziemi ścieków, a także przy odprowadzaniu wód opadowych lub roztopowych do wód lub do urządzeń wodnych (Dz.U. 2019 poz. 1311), wody opadowe lub roztopowe, ujęte w otwarte lub zamknięte systemy kanalizacyjne, pochodzące z zanieczyszczonej powierzchni szczelnej dróg zaliczanych do kategorii dróg krajowych, wojewódzkich lub powiatowych klasy G, a także parkingów o powierzchni powyżej 0,1 ha mogą być wprowadzane do wód lub do urządzeń wodnych, z wyjątkiem przypadków, o których mowa w art. 75a ustawy z dnia 20 lipca 2017 r. – Prawo wodne (t.j. Dz.U. 2021 poz. 2233), o ile nie zawierają substancji zanieczyszczających w ilościach przekraczających 100 mg/l zawiesiny ogólnej oraz 15 mg/l węglowodorów ropopochodnych. W przypadkach, gdy wody opadowe lub roztopowe pochodzące z w/w terenów zawierają substancje zanieczyszczające w ilościach przekraczających 100 mg/l zawiesiny ogólnej oraz 15 mg/l węglowodorów ropopochodnych, istnieje konieczność podczyszczania w/w wód w urządzeniach podczyszczających. Ewentualne negatywne oddziaływania wynikające z realizacji w/w przedsięwzięć powinny być minimalizowane, poprzez zabezpieczenie za pomocą urządzeń podczyszczających (w przypadkach wymaganych w/w Rozporządzeniem) wód powierzchniowych i wód podziemnych przed niepożądanymi skutkami przedostawania się potencjalnie zanieczyszczonych wód opadowych lub roztopowych.</w:t>
      </w:r>
    </w:p>
    <w:p w14:paraId="58D53B3E" w14:textId="77777777" w:rsidR="009F1607" w:rsidRPr="00841EA4" w:rsidRDefault="009F1607" w:rsidP="009F1607">
      <w:pPr>
        <w:rPr>
          <w:szCs w:val="24"/>
        </w:rPr>
      </w:pPr>
      <w:r w:rsidRPr="00841EA4">
        <w:rPr>
          <w:szCs w:val="24"/>
        </w:rPr>
        <w:t>Realizacja inwestycji w ramach omawianego celu szczegółowego powinna odbywać się etapowo, aby nie doprowadzić do skumulowanych negatywnych oddziaływań na środowisko, w tym na jakość i zasoby wodne.</w:t>
      </w:r>
    </w:p>
    <w:p w14:paraId="074E8CC6" w14:textId="77777777" w:rsidR="009F1607" w:rsidRPr="00841EA4" w:rsidRDefault="009F1607" w:rsidP="009F1607">
      <w:pPr>
        <w:rPr>
          <w:szCs w:val="24"/>
        </w:rPr>
      </w:pPr>
      <w:r w:rsidRPr="00841EA4">
        <w:rPr>
          <w:szCs w:val="24"/>
        </w:rPr>
        <w:t>Zgodnie z „Prognozą oddziaływania na środowisko dla programu wieloletniego Utrzymanie morskich dróg wodnych w rejonie ujścia Odry w latach 2017-2028” zakłada się, że w związku z realizacją ustaleń „Strategii Zrównoważonego Rozwoju Transportu do 2030 roku” nie wystąpią czynniki negatywnie oddziałujące na kształt ekosystemów wodnych takie jak: zmiany reżimu przepływów, nadmierne pobory wody, nadmierne obniżenie poziomu wody w dolinach rzecznych przez odwadniające systemy melioracyjne, zaburzenia ciągłości cieków przez urządzenia piętrzące, obwałowania utrudniające lub przerywające łączność ekosystemów rzecznych i nadrzecznych z ekosystemami dolinowymi, regulacja rzek prowadząca do ujednolicenia warunków hydraulicznych i morfologii koryt.</w:t>
      </w:r>
    </w:p>
    <w:p w14:paraId="6B7B33D6" w14:textId="77777777" w:rsidR="009F1607" w:rsidRPr="00841EA4" w:rsidRDefault="009F1607" w:rsidP="009F1607">
      <w:pPr>
        <w:rPr>
          <w:szCs w:val="24"/>
        </w:rPr>
      </w:pPr>
      <w:r w:rsidRPr="00841EA4">
        <w:rPr>
          <w:szCs w:val="24"/>
        </w:rPr>
        <w:t>Z kolei w dokumencie „Program Budowy Dróg Krajowych na lata 2014-2023 (z perspektywą do 2025 r.)” jako potencjalnie negatywne czynniki mogące wystąpić na etapie realizacji inwestycji wymieniono m.in. ryzyko zanieczyszczenia oraz zakłócenia stosunków wodnych na skutek odwadniania (wykopy), zanieczyszczenia pochodzące ze spływów powierzchniowych, emisje spalin (maszyny budowlane). Oddziaływanie na wody podziemne w ujęciu ilościowym ma charakter pomijalny. W fazie eksploatacji mogą wystąpić potencjalnie negatywne czynniki w związku z sytuacjami awaryjnymi (np. wyciek w trakcie transportu substancji niebezpiecznych) czy też zwiększenie ilości wód opadowych lub roztopowych z systemów odwodnienia. W dokumencie wskazuje się natomiast, że nowe odcinki dróg nie będą miały charakteru znaczącego negatywnego oddziaływania oraz nie będą zagrażały osiągnięciu zakładanych celów środowiskowych określonych dla poszczególnych dorzeczy. Dodatkowo, pozytywnym aspektem realizacji przedsięwzięć mogą być, np. ograniczenie ilości zanieczyszczeń w wodach opadowych lub roztopowych odprowadzanych z istniejących dróg, modernizacja systemów odwodnienia, zwiększenie zabezpieczeń przed migracją zanieczyszczeń do wód.</w:t>
      </w:r>
    </w:p>
    <w:p w14:paraId="70808383" w14:textId="77777777" w:rsidR="009F1607" w:rsidRPr="00841EA4" w:rsidRDefault="009F1607" w:rsidP="009F1607">
      <w:pPr>
        <w:rPr>
          <w:szCs w:val="24"/>
        </w:rPr>
      </w:pPr>
      <w:r w:rsidRPr="00841EA4">
        <w:rPr>
          <w:szCs w:val="24"/>
        </w:rPr>
        <w:t>Należy podkreślić, że na etapie realizacji poszczególnych działań wymagane będzie sporządzenie raportów oddziaływania na środowisko przedsięwzięć (o ile dane przedsięwzięcie będzie tego wymagać).</w:t>
      </w:r>
    </w:p>
    <w:p w14:paraId="0D4232A7" w14:textId="77777777" w:rsidR="009F1607" w:rsidRPr="00841EA4" w:rsidRDefault="009F1607" w:rsidP="009F1607">
      <w:pPr>
        <w:rPr>
          <w:rFonts w:eastAsia="Times New Roman" w:cstheme="minorHAnsi"/>
          <w:szCs w:val="24"/>
          <w:lang w:eastAsia="pl-PL"/>
        </w:rPr>
      </w:pPr>
      <w:r w:rsidRPr="00841EA4">
        <w:rPr>
          <w:szCs w:val="24"/>
        </w:rPr>
        <w:t xml:space="preserve">Zakładając zgodność Projektu Programu Fundusze Europejskie Dla Pomorza Zachodniego 2021-2027 z w/w dokumentami można wnioskować, że planowane działania (w odniesieniu do </w:t>
      </w:r>
      <w:r w:rsidRPr="00841EA4">
        <w:rPr>
          <w:rFonts w:eastAsia="Times New Roman" w:cstheme="minorHAnsi"/>
          <w:szCs w:val="24"/>
          <w:lang w:eastAsia="pl-PL"/>
        </w:rPr>
        <w:t>rozwoju sieci transportowej Pomorza Zachodniego) nie będą istotnie wpływać na z</w:t>
      </w:r>
      <w:r w:rsidRPr="00841EA4">
        <w:rPr>
          <w:szCs w:val="24"/>
        </w:rPr>
        <w:t>równoważone wykorzystanie i ochronę zasobów wodnych i morskich.</w:t>
      </w:r>
    </w:p>
    <w:p w14:paraId="3F9DE019" w14:textId="77777777" w:rsidR="009F1607" w:rsidRPr="00841EA4" w:rsidRDefault="009F1607" w:rsidP="009F1607">
      <w:pPr>
        <w:rPr>
          <w:szCs w:val="24"/>
        </w:rPr>
      </w:pPr>
      <w:r w:rsidRPr="00841EA4">
        <w:rPr>
          <w:szCs w:val="24"/>
        </w:rPr>
        <w:t xml:space="preserve">Realizacja Priorytetu 4. </w:t>
      </w:r>
      <w:r w:rsidRPr="00841EA4">
        <w:rPr>
          <w:rFonts w:cstheme="minorHAnsi"/>
          <w:b/>
          <w:i/>
          <w:szCs w:val="24"/>
        </w:rPr>
        <w:t>FUNDUSZE EUROPEJSKIE NA RZECZ POŁĄCZONEGO POMORZA ZACHODNIEGO</w:t>
      </w:r>
      <w:r w:rsidRPr="00841EA4">
        <w:rPr>
          <w:szCs w:val="24"/>
        </w:rPr>
        <w:t xml:space="preserve"> ma istotne znaczenie ze względu na zapewnienia finansowania Strategii Unii Europejskiej dla Regionu Morza Bałtyckiego (SUERMB) przyczyniając się w szczególności do realizacji celu nr 2 strategii („Wzrost integracji w regionie”).</w:t>
      </w:r>
    </w:p>
    <w:p w14:paraId="26AAF819" w14:textId="77777777" w:rsidR="009F1607" w:rsidRPr="00841EA4" w:rsidRDefault="009F1607" w:rsidP="009F1607">
      <w:pPr>
        <w:rPr>
          <w:i/>
          <w:szCs w:val="24"/>
        </w:rPr>
      </w:pPr>
      <w:r w:rsidRPr="00841EA4">
        <w:rPr>
          <w:szCs w:val="24"/>
        </w:rPr>
        <w:t xml:space="preserve">Realizacja celu szczegółowego </w:t>
      </w:r>
      <w:r w:rsidRPr="00841EA4">
        <w:rPr>
          <w:i/>
          <w:iCs/>
          <w:szCs w:val="24"/>
        </w:rPr>
        <w:t>cs (ii):</w:t>
      </w:r>
      <w:r w:rsidRPr="00841EA4">
        <w:rPr>
          <w:szCs w:val="24"/>
        </w:rPr>
        <w:t xml:space="preserve"> </w:t>
      </w:r>
      <w:r w:rsidRPr="00841EA4">
        <w:rPr>
          <w:i/>
          <w:szCs w:val="24"/>
        </w:rPr>
        <w:t>Rozwój i udoskonalanie zrównoważonej, odpornej na zmiany klimatu, inteligentnej i intermodalnej mobilności na poziomie krajowym, regionalnym i lokalnym, w tym poprawa dostępu do TEN-T oraz mobilności transgranicznej</w:t>
      </w:r>
      <w:r w:rsidRPr="00841EA4">
        <w:rPr>
          <w:szCs w:val="24"/>
        </w:rPr>
        <w:t xml:space="preserve"> przyczyni się szczególnie do realizacji określonych w SUERMB obszarów polityki, tj. obszaru: Transport.</w:t>
      </w:r>
    </w:p>
    <w:p w14:paraId="07FCA8D5" w14:textId="77777777" w:rsidR="009F1607" w:rsidRPr="00841EA4" w:rsidRDefault="009F1607" w:rsidP="009F1607">
      <w:pPr>
        <w:rPr>
          <w:rFonts w:cstheme="minorHAnsi"/>
          <w:szCs w:val="24"/>
        </w:rPr>
      </w:pPr>
      <w:r w:rsidRPr="00841EA4">
        <w:rPr>
          <w:rFonts w:cstheme="minorHAnsi"/>
          <w:szCs w:val="24"/>
        </w:rPr>
        <w:t xml:space="preserve">W ramach Priorytetu 5. </w:t>
      </w:r>
      <w:r w:rsidRPr="00841EA4">
        <w:rPr>
          <w:rFonts w:cstheme="minorHAnsi"/>
          <w:b/>
          <w:i/>
          <w:szCs w:val="24"/>
        </w:rPr>
        <w:t>FUNDUSZE EUROPEJSKIE NA RZECZ PRZYJAZNEGO MIESZKANKOM I MIESZKAŃCOM POMORZA ZACHODNIEGO</w:t>
      </w:r>
      <w:r w:rsidRPr="00841EA4">
        <w:rPr>
          <w:rFonts w:cstheme="minorHAnsi"/>
          <w:szCs w:val="24"/>
        </w:rPr>
        <w:t xml:space="preserve"> w ramach poszczególnych celów szczegółowych przewiduje się realizację działań ukierunkowanych na mieszkańców województwa zachodniopomorskiego. Są to przeważnie działania systemowe o charakterze prospołecznym.</w:t>
      </w:r>
    </w:p>
    <w:p w14:paraId="02E5AD61" w14:textId="77777777" w:rsidR="009F1607" w:rsidRPr="00841EA4" w:rsidRDefault="009F1607" w:rsidP="009F1607">
      <w:pPr>
        <w:rPr>
          <w:rFonts w:cstheme="minorHAnsi"/>
          <w:szCs w:val="24"/>
        </w:rPr>
      </w:pPr>
      <w:r w:rsidRPr="00841EA4">
        <w:rPr>
          <w:rFonts w:cstheme="minorHAnsi"/>
          <w:szCs w:val="24"/>
        </w:rPr>
        <w:t>Skala, charakter i zakres planowanych działań nie wskazują, aby ogólny stan i jakość ekosystemów wodnych mógłby się pogorszyć. Charakterystyka w/w przedsięwzięć wskazuje na ich ogólny charakter z zakresu działań nietechnicznych, o dużych walorach użyteczności dla mieszkańców, natomiast nie mających bezpośredniego wpływu na stan gospodarki wodno-ściekowej, w tym na stan i jakość zasobów wodnych.</w:t>
      </w:r>
    </w:p>
    <w:p w14:paraId="403905FB" w14:textId="77777777" w:rsidR="009F1607" w:rsidRPr="00841EA4" w:rsidRDefault="009F1607" w:rsidP="009F1607">
      <w:pPr>
        <w:rPr>
          <w:rFonts w:cstheme="minorHAnsi"/>
          <w:szCs w:val="24"/>
        </w:rPr>
      </w:pPr>
      <w:r w:rsidRPr="00841EA4">
        <w:rPr>
          <w:rFonts w:cstheme="minorHAnsi"/>
          <w:szCs w:val="24"/>
        </w:rPr>
        <w:t>Ewentualne działania polegające na budowie (w uzasadnionych przypadkach), przebudowie lub modernizacji obiektów (np. obiektów ochrony zdrowia) mogą wiązać się z krótkoterminowym, ograniczonym lokalnie oddziaływaniem (do miejsca pracy maszyn budowlanych),. Większość ewentualnych inwestycji będzie dotyczyć prawdopodobnie środowisk miejskich, które i tak w pewnym stopniu mogą już oddziaływać na analizowany element środowiska, stąd nie należy spodziewać się istotnego oddziaływania na wody.</w:t>
      </w:r>
    </w:p>
    <w:p w14:paraId="66A73A50" w14:textId="77777777" w:rsidR="009F1607" w:rsidRPr="00841EA4" w:rsidRDefault="009F1607" w:rsidP="009F1607">
      <w:pPr>
        <w:rPr>
          <w:szCs w:val="24"/>
        </w:rPr>
      </w:pPr>
      <w:r w:rsidRPr="00841EA4">
        <w:rPr>
          <w:szCs w:val="24"/>
        </w:rPr>
        <w:t xml:space="preserve">Realizacja Priorytetu 5. </w:t>
      </w:r>
      <w:r w:rsidRPr="00841EA4">
        <w:rPr>
          <w:rFonts w:cstheme="minorHAnsi"/>
          <w:b/>
          <w:i/>
          <w:szCs w:val="24"/>
        </w:rPr>
        <w:t xml:space="preserve">FUNDUSZE EUROPEJSKIE NA RZECZ PRZYJAZNEGO MIESZKANKOM I MIESZKAŃCOM POMORZA ZACHODNIEGO </w:t>
      </w:r>
      <w:r w:rsidRPr="00841EA4">
        <w:rPr>
          <w:szCs w:val="24"/>
        </w:rPr>
        <w:t>ma istotne znaczenie ze względu na zapewnienia finansowania Strategii Unii Europejskiej dla Regionu Morza Bałtyckiego (SUERMB) przyczyniając się do wsparcia realizacji celu nr 3 strategii („Wzrost dobrobytu”).</w:t>
      </w:r>
    </w:p>
    <w:p w14:paraId="3874EE86" w14:textId="77777777" w:rsidR="009F1607" w:rsidRPr="00841EA4" w:rsidRDefault="009F1607" w:rsidP="009F1607">
      <w:pPr>
        <w:rPr>
          <w:szCs w:val="24"/>
        </w:rPr>
      </w:pPr>
      <w:r w:rsidRPr="00841EA4">
        <w:rPr>
          <w:szCs w:val="24"/>
        </w:rPr>
        <w:t xml:space="preserve">Realizacja celu szczegółowego </w:t>
      </w:r>
      <w:r w:rsidRPr="00841EA4">
        <w:rPr>
          <w:i/>
          <w:iCs/>
          <w:szCs w:val="24"/>
        </w:rPr>
        <w:t>cs (ii):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w:t>
      </w:r>
      <w:r w:rsidRPr="00841EA4">
        <w:rPr>
          <w:szCs w:val="24"/>
        </w:rPr>
        <w:t xml:space="preserve"> przyczyni się szczególnie do realizacji określonych w SUERMB obszarów polityki, tj. obszaru: Edukacja.</w:t>
      </w:r>
    </w:p>
    <w:p w14:paraId="78EF4DE3" w14:textId="77777777" w:rsidR="009F1607" w:rsidRPr="00841EA4" w:rsidRDefault="009F1607" w:rsidP="009F1607">
      <w:pPr>
        <w:rPr>
          <w:rFonts w:cstheme="minorHAnsi"/>
          <w:szCs w:val="24"/>
        </w:rPr>
      </w:pPr>
      <w:r w:rsidRPr="00841EA4">
        <w:rPr>
          <w:rFonts w:cstheme="minorHAnsi"/>
          <w:szCs w:val="24"/>
        </w:rPr>
        <w:t xml:space="preserve">W ramach Priorytetu 6. </w:t>
      </w:r>
      <w:r w:rsidRPr="00841EA4">
        <w:rPr>
          <w:rFonts w:cstheme="minorHAnsi"/>
          <w:b/>
          <w:i/>
          <w:szCs w:val="24"/>
        </w:rPr>
        <w:t>FUNDUSZE EUROPEJSKIE NA RZECZ AKTYWNEGO POMORZA ZACHODNIEGO</w:t>
      </w:r>
      <w:r w:rsidRPr="00841EA4">
        <w:rPr>
          <w:rFonts w:cstheme="minorHAnsi"/>
          <w:szCs w:val="24"/>
        </w:rPr>
        <w:t xml:space="preserve"> w ramach poszczególnych celów szczegółowych przewiduje się realizację działań ukierunkowanych na mieszkańców województwa zachodniopomorskiego. Są to przeważnie działania systemowe o charakterze prospołecznym.</w:t>
      </w:r>
    </w:p>
    <w:p w14:paraId="0F8BFB0C" w14:textId="77777777" w:rsidR="009F1607" w:rsidRPr="00841EA4" w:rsidRDefault="009F1607" w:rsidP="009F1607">
      <w:pPr>
        <w:rPr>
          <w:rFonts w:cstheme="minorHAnsi"/>
          <w:szCs w:val="24"/>
        </w:rPr>
      </w:pPr>
      <w:r w:rsidRPr="00841EA4">
        <w:rPr>
          <w:rFonts w:cstheme="minorHAnsi"/>
          <w:szCs w:val="24"/>
        </w:rPr>
        <w:t>Skala, charakter i zakres planowanych działań nie wskazują, aby ogólny stan i jakość ekosystemów wodnych mógłby się pogorszyć. Planowane działania mają charakter nietechniczny, a więc z natury nie powinny mieć bezpośredniego wpływu na stan gospodarki wodno-ściekowej, w tym na stan i jakość zasobów wodnych.</w:t>
      </w:r>
    </w:p>
    <w:p w14:paraId="082ABF53" w14:textId="77777777" w:rsidR="009F1607" w:rsidRPr="00841EA4" w:rsidRDefault="009F1607" w:rsidP="009F1607">
      <w:pPr>
        <w:rPr>
          <w:szCs w:val="24"/>
        </w:rPr>
      </w:pPr>
      <w:r w:rsidRPr="00841EA4">
        <w:rPr>
          <w:szCs w:val="24"/>
        </w:rPr>
        <w:t xml:space="preserve">Realizacja celu szczegółowego </w:t>
      </w:r>
      <w:r w:rsidRPr="00841EA4">
        <w:rPr>
          <w:i/>
          <w:iCs/>
          <w:szCs w:val="24"/>
        </w:rPr>
        <w:t>cs (f): Wspieranie równego dostępu do 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w:t>
      </w:r>
      <w:r w:rsidRPr="00841EA4">
        <w:rPr>
          <w:szCs w:val="24"/>
        </w:rPr>
        <w:t xml:space="preserve"> oraz </w:t>
      </w:r>
      <w:r w:rsidRPr="00841EA4">
        <w:rPr>
          <w:i/>
          <w:szCs w:val="24"/>
        </w:rPr>
        <w:t>cs (g): Wspieranie uczenia się przez całe życie, w szczególności elastycznych możliwości podnoszenia i zmiany kwalifikacji dla wszystkich, z uwzględnieniem umiejętności w zakresie przedsiębiorczości i kompetencji cyfrowych, lepsze przewidywanie zmian i zapotrzebowania na nowe umiejętności na podstawie potrzeb rynku pracy, ułatwianie zmian ścieżki kariery zawodowej i wspieranie mobilności zawodowej</w:t>
      </w:r>
      <w:r w:rsidRPr="00841EA4">
        <w:rPr>
          <w:szCs w:val="24"/>
        </w:rPr>
        <w:t xml:space="preserve"> przyczynią się szczególnie do realizacji określonych w SUERMB obszarów polityki, tj. obszaru: Edukacja.</w:t>
      </w:r>
    </w:p>
    <w:p w14:paraId="6AFA7CF6" w14:textId="77777777" w:rsidR="009F1607" w:rsidRPr="00841EA4" w:rsidRDefault="009F1607" w:rsidP="009F1607">
      <w:pPr>
        <w:rPr>
          <w:rFonts w:cstheme="minorHAnsi"/>
          <w:szCs w:val="24"/>
        </w:rPr>
      </w:pPr>
      <w:r w:rsidRPr="00841EA4">
        <w:rPr>
          <w:rFonts w:cstheme="minorHAnsi"/>
          <w:szCs w:val="24"/>
        </w:rPr>
        <w:t xml:space="preserve">W ramach Priorytetu 7. </w:t>
      </w:r>
      <w:r w:rsidRPr="00841EA4">
        <w:rPr>
          <w:rFonts w:cstheme="minorHAnsi"/>
          <w:b/>
          <w:i/>
          <w:szCs w:val="24"/>
        </w:rPr>
        <w:t>FUNDUSZE EUROPEJSKIE NA RZECZ PARTNERSKIEGO POMORZA ZACHODNIEGO</w:t>
      </w:r>
      <w:r w:rsidRPr="00841EA4">
        <w:rPr>
          <w:rFonts w:cstheme="minorHAnsi"/>
          <w:szCs w:val="24"/>
        </w:rPr>
        <w:t xml:space="preserve"> w ramach cel szczegółowego </w:t>
      </w:r>
      <w:r w:rsidRPr="00841EA4">
        <w:rPr>
          <w:rFonts w:cstheme="minorHAnsi"/>
          <w:i/>
          <w:szCs w:val="24"/>
        </w:rPr>
        <w:t>cs (i): Wspieranie zintegrowanego i sprzyjającego włączeniu społecznemu rozwoju społecznego, gospodarczego i środowiskowego, kultury, dziedzictwa naturalnego, zrównoważonej turystyki i bezpieczeństwa na obszarach miejskich</w:t>
      </w:r>
      <w:r w:rsidRPr="00841EA4">
        <w:rPr>
          <w:rFonts w:cstheme="minorHAnsi"/>
          <w:szCs w:val="24"/>
        </w:rPr>
        <w:t xml:space="preserve"> przewiduje się realizację działań m.in. z zakresu gospodarki turystycznej, wsparcie infrastruktury turystyki rowerowej, budowa, rozbudowa i modernizacja instytucji kultury, prace restauratorskie i konserwatorskie obiektów zabytkowych i o znaczeniu historycznym oraz obiektów przynależnych do szlaków kulturowych, wsparcie oraz rozwój terenów inwestycyjnych/infrastruktury biznesowej, inwestycje nadające nowe funkcje gospodarcze obszarom poprzemysłowym itp., wsparcie inwestycji w istniejącą bazę dydaktyczną szkół zawodowych, wyposażenie pracowni/warsztatów itp.</w:t>
      </w:r>
    </w:p>
    <w:p w14:paraId="2698D0D8" w14:textId="77777777" w:rsidR="009F1607" w:rsidRPr="00841EA4" w:rsidRDefault="009F1607" w:rsidP="009F1607">
      <w:pPr>
        <w:rPr>
          <w:rFonts w:cstheme="minorHAnsi"/>
          <w:szCs w:val="24"/>
        </w:rPr>
      </w:pPr>
      <w:r w:rsidRPr="00841EA4">
        <w:rPr>
          <w:rFonts w:cstheme="minorHAnsi"/>
          <w:szCs w:val="24"/>
        </w:rPr>
        <w:t>Przewidywane działania można podzielić na dwa rodzaje: systemowe o charakterze nietechnicznym oraz działania techniczne (np. polegające na budowie, przebudowie lub przywracaniu funkcji terenom zdegradowanym).</w:t>
      </w:r>
    </w:p>
    <w:p w14:paraId="4F90C276" w14:textId="77777777" w:rsidR="009F1607" w:rsidRPr="00841EA4" w:rsidRDefault="009F1607" w:rsidP="009F1607">
      <w:pPr>
        <w:rPr>
          <w:rFonts w:cstheme="minorHAnsi"/>
          <w:szCs w:val="24"/>
        </w:rPr>
      </w:pPr>
      <w:r w:rsidRPr="00841EA4">
        <w:rPr>
          <w:rFonts w:cstheme="minorHAnsi"/>
          <w:szCs w:val="24"/>
        </w:rPr>
        <w:t>W przypadku działań o charakterze nietechnicznym, działania te z natury nie powinny generować istotnego ryzyka i zagrożenia dla ekosystemów wodnych, w tym na stan gospodarki wodno-ściekowej oraz na stan i jakość wód morskich. Skala, charakter i zakres planowanych działań nie wskazują, aby ogólny stan i jakość ekosystemów wodnych mógłby się pogorszyć.</w:t>
      </w:r>
    </w:p>
    <w:p w14:paraId="7F811A74" w14:textId="77777777" w:rsidR="009F1607" w:rsidRPr="00841EA4" w:rsidRDefault="009F1607" w:rsidP="009F1607">
      <w:pPr>
        <w:rPr>
          <w:rFonts w:cstheme="minorHAnsi"/>
          <w:szCs w:val="24"/>
        </w:rPr>
      </w:pPr>
      <w:r w:rsidRPr="00841EA4">
        <w:rPr>
          <w:rFonts w:cstheme="minorHAnsi"/>
          <w:szCs w:val="24"/>
        </w:rPr>
        <w:t>Przewiduje się, że realizacja działań o charakterze technicznym nie będzie w znacznym stopniu szkodliwa dla stanu i potencjału JCW, ponieważ skala i zakres ewentualnych prac budowalnych będzie lokalna, a potencjalne oddziaływania krótkoterminowe, ograniczone do etapu prac budowlanych. Działania dotyczące modernizacji zasadniczo nie przebiegają z udziałem ciężkiego sprzętu, stąd nie przewiduje się wpływu na ogólny stan wód. Skala ewentualnych oddziaływań na etapie prac budowlanych uzależniona jest od zakresu prac, natomiast nie powinna powodować nadmiernych emisji zanieczyszczeń. Rozpatrując ewentualne prace dotyczące przywracania funkcji terenom poprzemysłowym, realizacja działań może pozytywnie, pośrednio wpływać na ekosystemy wodne poprzez rewitalizację terenów stanowiących potencjalne źródło uwalniania zanieczyszczeń.</w:t>
      </w:r>
    </w:p>
    <w:p w14:paraId="16E0E26F" w14:textId="77777777" w:rsidR="009F1607" w:rsidRPr="00841EA4" w:rsidRDefault="009F1607" w:rsidP="009F1607">
      <w:pPr>
        <w:rPr>
          <w:rFonts w:cstheme="minorHAnsi"/>
          <w:szCs w:val="24"/>
        </w:rPr>
      </w:pPr>
      <w:r w:rsidRPr="00841EA4">
        <w:rPr>
          <w:rFonts w:cstheme="minorHAnsi"/>
          <w:szCs w:val="24"/>
        </w:rPr>
        <w:t>Ewentualne r</w:t>
      </w:r>
      <w:r w:rsidRPr="00841EA4">
        <w:rPr>
          <w:rFonts w:cstheme="minorHAnsi"/>
          <w:bCs/>
          <w:szCs w:val="24"/>
        </w:rPr>
        <w:t>yzyko może wiązać się z potencjalnymi awariami ciężkiego sprzętu lub koniecznością odwodnienia wykopów, jednak oddziaływanie to ma wymiar lokalny i krótkoterminowy, uzależniony od wielkości i charakteru prowadzonych prac. Potencjalne oddziaływania powinny ustąpić w chwili zakończenia działania, a jakiekolwiek zmiany będą odwracalne.</w:t>
      </w:r>
    </w:p>
    <w:p w14:paraId="4C5B6D67" w14:textId="77777777" w:rsidR="009F1607" w:rsidRPr="00841EA4" w:rsidRDefault="009F1607" w:rsidP="009F1607">
      <w:pPr>
        <w:rPr>
          <w:rFonts w:cstheme="minorHAnsi"/>
          <w:szCs w:val="24"/>
        </w:rPr>
      </w:pPr>
      <w:r w:rsidRPr="00841EA4">
        <w:rPr>
          <w:rFonts w:cstheme="minorHAnsi"/>
          <w:szCs w:val="24"/>
        </w:rPr>
        <w:t xml:space="preserve">Realizacja Priorytetu 7. </w:t>
      </w:r>
      <w:r w:rsidRPr="00841EA4">
        <w:rPr>
          <w:rFonts w:cstheme="minorHAnsi"/>
          <w:b/>
          <w:i/>
          <w:szCs w:val="24"/>
        </w:rPr>
        <w:t>FUNDUSZE EUROPEJSKIE NA RZECZ PARTNERSKIEGO POMORZA ZACHODNIEGO</w:t>
      </w:r>
      <w:r w:rsidRPr="00841EA4">
        <w:rPr>
          <w:rFonts w:cstheme="minorHAnsi"/>
          <w:b/>
          <w:szCs w:val="24"/>
        </w:rPr>
        <w:t xml:space="preserve"> </w:t>
      </w:r>
      <w:r w:rsidRPr="00841EA4">
        <w:rPr>
          <w:rFonts w:cstheme="minorHAnsi"/>
          <w:szCs w:val="24"/>
        </w:rPr>
        <w:t>ma istotne znaczenie ze względu na zapewnienia finansowania Strategii Unii Europejskiej dla Regionu Morza Bałtyckiego (SUERMB) przyczyniając się do wsparcia realizacji celu nr 3 strategii („Wzrost dobrobytu”).</w:t>
      </w:r>
    </w:p>
    <w:p w14:paraId="6A80E148" w14:textId="77777777" w:rsidR="009F1607" w:rsidRPr="00841EA4" w:rsidRDefault="009F1607" w:rsidP="009F1607">
      <w:pPr>
        <w:rPr>
          <w:rFonts w:cstheme="minorHAnsi"/>
          <w:szCs w:val="24"/>
        </w:rPr>
      </w:pPr>
      <w:r w:rsidRPr="00841EA4">
        <w:rPr>
          <w:rFonts w:cstheme="minorHAnsi"/>
          <w:szCs w:val="24"/>
        </w:rPr>
        <w:t xml:space="preserve">Realizacja celu szczegółowego </w:t>
      </w:r>
      <w:r w:rsidRPr="00841EA4">
        <w:rPr>
          <w:rFonts w:cstheme="minorHAnsi"/>
          <w:i/>
          <w:szCs w:val="24"/>
        </w:rPr>
        <w:t>cs (i): Wspieranie zintegrowanego i sprzyjającego włączeniu społecznemu rozwoju społecznego, gospodarczego i środowiskowego, kultury, dziedzictwa naturalnego, zrównoważonej turystyki i bezpieczeństwa na obszarach miejskich</w:t>
      </w:r>
      <w:r w:rsidRPr="00841EA4">
        <w:rPr>
          <w:rFonts w:cstheme="minorHAnsi"/>
          <w:szCs w:val="24"/>
        </w:rPr>
        <w:t xml:space="preserve"> przyczyni się szczególnie do realizacji określonych w SUERMB obszarów polityki, tj. obszaru: Edukacja.</w:t>
      </w:r>
    </w:p>
    <w:p w14:paraId="6D4F7154" w14:textId="77777777" w:rsidR="009F1607" w:rsidRPr="00841EA4" w:rsidRDefault="009F1607" w:rsidP="009F1607">
      <w:pPr>
        <w:rPr>
          <w:rFonts w:cstheme="minorHAnsi"/>
          <w:b/>
          <w:i/>
          <w:szCs w:val="24"/>
        </w:rPr>
      </w:pPr>
      <w:r w:rsidRPr="00841EA4">
        <w:rPr>
          <w:rFonts w:cstheme="minorHAnsi"/>
          <w:szCs w:val="24"/>
        </w:rPr>
        <w:t xml:space="preserve">Realizacja działań w ramach Priorytetu 8. </w:t>
      </w:r>
      <w:r w:rsidRPr="00841EA4">
        <w:rPr>
          <w:rFonts w:cstheme="minorHAnsi"/>
          <w:b/>
          <w:i/>
          <w:szCs w:val="24"/>
        </w:rPr>
        <w:t xml:space="preserve">POMOC TECHNICZNA (EFRR) </w:t>
      </w:r>
      <w:r w:rsidRPr="00841EA4">
        <w:rPr>
          <w:rFonts w:cstheme="minorHAnsi"/>
          <w:szCs w:val="24"/>
        </w:rPr>
        <w:t>oraz Priorytetu 9.</w:t>
      </w:r>
      <w:r w:rsidRPr="00841EA4">
        <w:rPr>
          <w:rFonts w:cstheme="minorHAnsi"/>
          <w:b/>
          <w:i/>
          <w:szCs w:val="24"/>
        </w:rPr>
        <w:t xml:space="preserve"> POMOC TECHNICZNA (EFS+) </w:t>
      </w:r>
      <w:r w:rsidRPr="00841EA4">
        <w:rPr>
          <w:rFonts w:cstheme="minorHAnsi"/>
          <w:szCs w:val="24"/>
        </w:rPr>
        <w:t>będzie miała neutralny wpływ na stan i jakość wód oraz na systemy wodno-ściekowe, a ich realizacja nie będzie wiązała się z pośrednim lub bezpośrednim negatywnym oddziaływaniem na w/w elementy oraz nie pogorszy jakości wód w porównaniu do aktualnego zidentyfikowanego stanu.</w:t>
      </w:r>
    </w:p>
    <w:p w14:paraId="1BBB8C1E" w14:textId="77777777" w:rsidR="009F1607" w:rsidRPr="00841EA4" w:rsidRDefault="009F1607" w:rsidP="009F1607">
      <w:pPr>
        <w:rPr>
          <w:szCs w:val="24"/>
        </w:rPr>
      </w:pPr>
      <w:r w:rsidRPr="00841EA4">
        <w:rPr>
          <w:szCs w:val="24"/>
        </w:rPr>
        <w:t>Nie należy spodziewać się, aby planowane w ramach realizacji Projektu</w:t>
      </w:r>
      <w:r>
        <w:rPr>
          <w:szCs w:val="24"/>
        </w:rPr>
        <w:t xml:space="preserve"> Programu Fundusze Europejskie d</w:t>
      </w:r>
      <w:r w:rsidRPr="00841EA4">
        <w:rPr>
          <w:szCs w:val="24"/>
        </w:rPr>
        <w:t>la Pomorza Zachodniego 2021-2027 działania stwarzały szczególne zagrożenie dla stanu i jakości wód, w tym ujęć wód i głównych zbiorników wód podziemnych i naruszałyby ewentualne nakazy i zakazy ustanowione w drodze aktu prawa miejscowego.</w:t>
      </w:r>
    </w:p>
    <w:p w14:paraId="04FB2442" w14:textId="77777777" w:rsidR="009F1607" w:rsidRPr="00841EA4" w:rsidRDefault="009F1607" w:rsidP="009F1607">
      <w:pPr>
        <w:rPr>
          <w:szCs w:val="24"/>
        </w:rPr>
      </w:pPr>
      <w:r w:rsidRPr="00841EA4">
        <w:rPr>
          <w:szCs w:val="24"/>
        </w:rPr>
        <w:t xml:space="preserve">Projekt </w:t>
      </w:r>
      <w:r>
        <w:rPr>
          <w:szCs w:val="24"/>
        </w:rPr>
        <w:t>Programu Fundusze Europejskie d</w:t>
      </w:r>
      <w:r w:rsidRPr="00841EA4">
        <w:rPr>
          <w:szCs w:val="24"/>
        </w:rPr>
        <w:t>la Pomorza Zachodniego 2021-2027 ma charakter dokumentu strategicznego. Dla przeważającej większości celów szczegółowych nie określono konkretnego wskazania lokalizacyjnego, technologicznego i organizacyjnego. W związku z powyższym, szczegółowe rozważania dotyczące ewentualnego wpływu na stan i jakość wód, w tym na ujęcia wód i głównych zbiorników wód podziemnych, o ile to możliwe, powinny zostać uwzględnione na etapie realizacji inwestycji wynikających ze stosownych przepisów (np. na etapie uzyskiwania decyzji o środowiskowych uwarunkowaniach).</w:t>
      </w:r>
    </w:p>
    <w:p w14:paraId="31AAA4C9" w14:textId="77777777" w:rsidR="009F1607" w:rsidRPr="00841EA4" w:rsidRDefault="009F1607" w:rsidP="009F1607">
      <w:pPr>
        <w:rPr>
          <w:szCs w:val="24"/>
        </w:rPr>
      </w:pPr>
      <w:r w:rsidRPr="00841EA4">
        <w:rPr>
          <w:szCs w:val="24"/>
        </w:rPr>
        <w:t xml:space="preserve">Biorąc pod uwagę charakter przewidywanych działań można przypuszczać, że realizacja działań w ramach Projektu Programu Fundusze Europejskie </w:t>
      </w:r>
      <w:r>
        <w:rPr>
          <w:szCs w:val="24"/>
        </w:rPr>
        <w:t>d</w:t>
      </w:r>
      <w:r w:rsidRPr="00841EA4">
        <w:rPr>
          <w:szCs w:val="24"/>
        </w:rPr>
        <w:t>la Pomorza Zachodniego 2021-2027 nie powinna również spowodować istotnych zagrożeń dla ujęć i źródeł wody przeznaczonej do spożycia przez ludzi, z uwzględnieniem obszarów stref ochronnych tych ujęć. W większości stan chemiczny i ilościowy jednolitych części wód podziemnych jest dobry i można założyć, że realizacja zadań w ramach Projektu nie spowoduje istotnych zagrożeń dla wód podziemnych zlokalizowanych na terenie województwa, z uwzględnieniem nakazów, zakazów i ograniczeń związanych z ochroną zasobów wody.</w:t>
      </w:r>
    </w:p>
    <w:p w14:paraId="7A807E52" w14:textId="77777777" w:rsidR="009F1607" w:rsidRPr="00841EA4" w:rsidRDefault="009F1607" w:rsidP="009F1607">
      <w:pPr>
        <w:rPr>
          <w:szCs w:val="24"/>
        </w:rPr>
      </w:pPr>
      <w:r w:rsidRPr="00841EA4">
        <w:rPr>
          <w:szCs w:val="24"/>
        </w:rPr>
        <w:t xml:space="preserve">Analiza skali i charakteru planowanych działań wskazuje, że realizacja </w:t>
      </w:r>
      <w:r>
        <w:rPr>
          <w:szCs w:val="24"/>
        </w:rPr>
        <w:t>Programu FEPZ 2021-2027</w:t>
      </w:r>
      <w:r w:rsidRPr="00841EA4">
        <w:rPr>
          <w:szCs w:val="24"/>
        </w:rPr>
        <w:t xml:space="preserve">, co do zasady, nie będzie negatywnie wpływała na stan i jakość wód morskich, pod warunkiem stosowania wymaganych (z uwagi na wrażliwość środowiska) środków minimalizujących (np. stosowanie odpowiednich zabezpieczeń w celu ochrony terenów najbardziej newralgicznych z uwagi na ochronę wód morskich). Zabezpieczenia takie na tych obszarach powinny ograniczać ryzyko występowania negatywnych oddziaływań na wody morskie w przypadku wystąpienia poważnych awarii. </w:t>
      </w:r>
    </w:p>
    <w:p w14:paraId="2E7AFEAF" w14:textId="77777777" w:rsidR="009F1607" w:rsidRPr="00841EA4" w:rsidRDefault="009F1607" w:rsidP="009F1607">
      <w:pPr>
        <w:pStyle w:val="Nagwek1"/>
        <w:numPr>
          <w:ilvl w:val="1"/>
          <w:numId w:val="4"/>
        </w:numPr>
        <w:ind w:left="1134" w:hanging="774"/>
        <w:rPr>
          <w:caps w:val="0"/>
          <w:sz w:val="32"/>
        </w:rPr>
      </w:pPr>
      <w:bookmarkStart w:id="24" w:name="_Toc80283932"/>
      <w:bookmarkStart w:id="25" w:name="_Toc82945174"/>
      <w:bookmarkStart w:id="26" w:name="_Toc104790634"/>
      <w:bookmarkStart w:id="27" w:name="_Toc102902705"/>
      <w:r w:rsidRPr="00841EA4">
        <w:rPr>
          <w:caps w:val="0"/>
          <w:sz w:val="32"/>
        </w:rPr>
        <w:t>PRZEWIDYWANE ZNACZĄCE ODDZIAŁYWANIA NA POWIETRZE</w:t>
      </w:r>
      <w:bookmarkEnd w:id="24"/>
      <w:bookmarkEnd w:id="25"/>
      <w:bookmarkEnd w:id="26"/>
      <w:r w:rsidRPr="00841EA4">
        <w:rPr>
          <w:caps w:val="0"/>
          <w:sz w:val="32"/>
        </w:rPr>
        <w:t xml:space="preserve"> </w:t>
      </w:r>
      <w:bookmarkEnd w:id="27"/>
    </w:p>
    <w:p w14:paraId="3F8952D2" w14:textId="77777777" w:rsidR="009F1607" w:rsidRPr="00841EA4" w:rsidRDefault="009F1607" w:rsidP="009F1607">
      <w:pPr>
        <w:rPr>
          <w:szCs w:val="24"/>
        </w:rPr>
      </w:pPr>
      <w:r w:rsidRPr="00841EA4">
        <w:rPr>
          <w:szCs w:val="24"/>
        </w:rPr>
        <w:t>Projekty realizowane w ramach u Programu FEPZ 2021-2027 w zależności od rodzaju planowanych przedsięwzięć oraz ich skali będą charakteryzowały się różnym stopniem oddziaływania na jakość powietrza atmosferycznego. W analizowanym dokumencie, w ramach celów szczegółowych (</w:t>
      </w:r>
      <w:r w:rsidRPr="00841EA4">
        <w:rPr>
          <w:i/>
          <w:szCs w:val="24"/>
        </w:rPr>
        <w:t>cs</w:t>
      </w:r>
      <w:r w:rsidRPr="00841EA4">
        <w:rPr>
          <w:szCs w:val="24"/>
        </w:rPr>
        <w:t xml:space="preserve">), nie zostały wskazane konkretne przedsięwzięcia, niemniej jednak zakłada się, iż większość projektów, które wdrażane będą w efekcie realizacji Programu </w:t>
      </w:r>
      <w:r w:rsidRPr="00673DA7">
        <w:rPr>
          <w:szCs w:val="24"/>
        </w:rPr>
        <w:t>FEPZ</w:t>
      </w:r>
      <w:r w:rsidRPr="00673DA7" w:rsidDel="00673DA7">
        <w:rPr>
          <w:szCs w:val="24"/>
        </w:rPr>
        <w:t xml:space="preserve"> </w:t>
      </w:r>
      <w:r w:rsidRPr="00841EA4">
        <w:rPr>
          <w:szCs w:val="24"/>
        </w:rPr>
        <w:t>2021-2027, będą przyczyniać się w sposób bezpośredni lub pośredni do poprawy aktualnego stanu powietrza w woj. zachodniopomorskim.</w:t>
      </w:r>
    </w:p>
    <w:p w14:paraId="123B1490" w14:textId="77777777" w:rsidR="009F1607" w:rsidRPr="00841EA4" w:rsidRDefault="009F1607" w:rsidP="009F1607">
      <w:pPr>
        <w:rPr>
          <w:szCs w:val="24"/>
        </w:rPr>
      </w:pPr>
      <w:r w:rsidRPr="00841EA4">
        <w:rPr>
          <w:szCs w:val="24"/>
        </w:rPr>
        <w:t>Przewidywane do realizacji w ramach Priorytetu 1.</w:t>
      </w:r>
      <w:r w:rsidRPr="00841EA4">
        <w:rPr>
          <w:b/>
          <w:i/>
          <w:szCs w:val="24"/>
        </w:rPr>
        <w:t xml:space="preserve"> FUNDUSZE EUROPEJSKIE NA RZECZ PRZEDSIĘBIORCZEGO POMORZA ZACHODNIEGO</w:t>
      </w:r>
      <w:r w:rsidRPr="00841EA4">
        <w:rPr>
          <w:szCs w:val="24"/>
        </w:rPr>
        <w:t xml:space="preserve"> działania koncentrowały się będą wokół rozwijania i wzmacniania zdolności badawczo-rozwojowych przedsiębiorstw oraz instytucji publicznych, promowania i wykorzystania zaawansowanych technologii, cyfryzacji, wzmacniania rozwoju MŚP oraz rozwijania umiejętności na rzecz inteligentnej specjalizacji, transformacji przemysłowej i przedsiębiorczości w województwie zachodniopomorskim.</w:t>
      </w:r>
    </w:p>
    <w:p w14:paraId="7F909CB8" w14:textId="77777777" w:rsidR="009F1607" w:rsidRPr="00841EA4" w:rsidRDefault="009F1607" w:rsidP="009F1607">
      <w:pPr>
        <w:rPr>
          <w:szCs w:val="24"/>
        </w:rPr>
      </w:pPr>
      <w:r w:rsidRPr="00841EA4">
        <w:rPr>
          <w:szCs w:val="24"/>
        </w:rPr>
        <w:t xml:space="preserve">Przeprowadzona analiza wykazała, że realizacja większości działań w ramach Priorytetu 1. </w:t>
      </w:r>
      <w:r w:rsidRPr="00841EA4">
        <w:rPr>
          <w:b/>
          <w:i/>
          <w:szCs w:val="24"/>
        </w:rPr>
        <w:t xml:space="preserve">FUNDUSZE EUROPEJSKIE NA RZECZ PRZEDSIĘBIORCZEGO POMORZA ZACHODNIEGO </w:t>
      </w:r>
      <w:r w:rsidRPr="00841EA4">
        <w:rPr>
          <w:szCs w:val="24"/>
        </w:rPr>
        <w:t>będzie miała długoterminowy pozytywny lub względnie neutralny wpływ na stan powietrza atmosferycznego. Przewiduje się, że realizacja celów szczegółowych, w tym w szczególności:</w:t>
      </w:r>
    </w:p>
    <w:p w14:paraId="69D938D3" w14:textId="77777777" w:rsidR="009F1607" w:rsidRPr="00841EA4" w:rsidRDefault="009F1607" w:rsidP="00622DC9">
      <w:pPr>
        <w:pStyle w:val="Akapitzlist"/>
        <w:numPr>
          <w:ilvl w:val="0"/>
          <w:numId w:val="32"/>
        </w:numPr>
        <w:rPr>
          <w:szCs w:val="24"/>
        </w:rPr>
      </w:pPr>
      <w:r w:rsidRPr="00841EA4">
        <w:rPr>
          <w:i/>
          <w:iCs/>
          <w:szCs w:val="24"/>
        </w:rPr>
        <w:t>cs (i): Rozwijanie i wzmacnianie zdolności badawczych i innowac</w:t>
      </w:r>
      <w:r w:rsidRPr="00841EA4">
        <w:rPr>
          <w:i/>
          <w:szCs w:val="24"/>
        </w:rPr>
        <w:t>yjnych oraz /wykorzystywanie zaawansowanych technologii</w:t>
      </w:r>
      <w:r w:rsidRPr="00841EA4">
        <w:rPr>
          <w:szCs w:val="24"/>
        </w:rPr>
        <w:t>;</w:t>
      </w:r>
    </w:p>
    <w:p w14:paraId="4D65EBC4" w14:textId="77777777" w:rsidR="009F1607" w:rsidRPr="00841EA4" w:rsidRDefault="009F1607" w:rsidP="00622DC9">
      <w:pPr>
        <w:pStyle w:val="Akapitzlist"/>
        <w:numPr>
          <w:ilvl w:val="0"/>
          <w:numId w:val="32"/>
        </w:numPr>
        <w:rPr>
          <w:szCs w:val="24"/>
        </w:rPr>
      </w:pPr>
      <w:r w:rsidRPr="00841EA4">
        <w:rPr>
          <w:i/>
          <w:iCs/>
          <w:szCs w:val="24"/>
        </w:rPr>
        <w:t>cs (iii): Wzmacnianie</w:t>
      </w:r>
      <w:r w:rsidRPr="00841EA4">
        <w:rPr>
          <w:i/>
          <w:szCs w:val="24"/>
        </w:rPr>
        <w:t xml:space="preserve"> trwałego wzrostu i konkurencyjności MŚP oraz tworzenie miejsc pracy w MŚP, w tym poprzez inwestycje produkcyjne</w:t>
      </w:r>
      <w:r w:rsidRPr="00841EA4">
        <w:rPr>
          <w:szCs w:val="24"/>
        </w:rPr>
        <w:t>,</w:t>
      </w:r>
    </w:p>
    <w:p w14:paraId="5A12945F" w14:textId="77777777" w:rsidR="009F1607" w:rsidRPr="00841EA4" w:rsidRDefault="009F1607" w:rsidP="009F1607">
      <w:pPr>
        <w:rPr>
          <w:szCs w:val="24"/>
        </w:rPr>
      </w:pPr>
      <w:r w:rsidRPr="00841EA4">
        <w:rPr>
          <w:szCs w:val="24"/>
        </w:rPr>
        <w:t>będzie bezpośrednio wpływała na poprawę jakości powietrza atmosferycznego w województwie, w efekcie bezpośredniego wdrażania innowacyjnych, niskoemisyjnych i zasobooszczędnych technologii, promowania i zachęcania do opracowywania nowych pro-środowiskowych rozwiązań technologicznych i organizacyjnych oraz zapewnienia wsparcia inwestycyjnego przedsiębiorstwom, których działalność realnie wpływa na rozwój gospodarczy regionu. Z racji konieczności ograniczania emisji zanieczyszczeń do powietrza atmosferycznego szczególnie istotny jest aspekt, związany z zapewnieniem rozwoju w obszarze zielonych technologii oraz transformacji do tzw. zielonej gospodarki.</w:t>
      </w:r>
    </w:p>
    <w:p w14:paraId="15D2D602" w14:textId="77777777" w:rsidR="009F1607" w:rsidRPr="00841EA4" w:rsidRDefault="009F1607" w:rsidP="009F1607">
      <w:pPr>
        <w:rPr>
          <w:szCs w:val="24"/>
        </w:rPr>
      </w:pPr>
      <w:r w:rsidRPr="00841EA4">
        <w:rPr>
          <w:szCs w:val="24"/>
        </w:rPr>
        <w:t xml:space="preserve">Analiza rodzaju oraz skali przedsięwzięć planowanych do realizacji w ramach celu szczegółowego </w:t>
      </w:r>
      <w:r w:rsidRPr="00841EA4">
        <w:rPr>
          <w:i/>
          <w:iCs/>
          <w:szCs w:val="24"/>
        </w:rPr>
        <w:t>cs (ii): Czerpanie</w:t>
      </w:r>
      <w:r w:rsidRPr="00841EA4">
        <w:rPr>
          <w:i/>
          <w:szCs w:val="24"/>
        </w:rPr>
        <w:t xml:space="preserve"> korzyści z cyfryzacji dla obywateli, przedsiębiorstw, organizacji badawczych i instytucji publicznych</w:t>
      </w:r>
      <w:r w:rsidRPr="008D0CFC">
        <w:rPr>
          <w:szCs w:val="24"/>
        </w:rPr>
        <w:t>, które bezpośrednio maj</w:t>
      </w:r>
      <w:r>
        <w:rPr>
          <w:szCs w:val="24"/>
        </w:rPr>
        <w:t>ą</w:t>
      </w:r>
      <w:r w:rsidRPr="008D0CFC">
        <w:rPr>
          <w:szCs w:val="24"/>
        </w:rPr>
        <w:t xml:space="preserve"> przyczyniać się do realizacji celów Agendy Cyfrowej UE w zakresie cyfrowej transformacji polskiej gospodarki, ze szczególnym uwzględnieniem rozwoju Przemysłu 4.0, e-administracji oraz modeli biznesowych wykorzystujących rozwiązania cyfrowe, wykazała, że w przypadku ww. przedsięwzięć nie</w:t>
      </w:r>
      <w:r w:rsidRPr="00841EA4">
        <w:rPr>
          <w:i/>
          <w:szCs w:val="24"/>
        </w:rPr>
        <w:t xml:space="preserve"> </w:t>
      </w:r>
      <w:r w:rsidRPr="00841EA4">
        <w:rPr>
          <w:szCs w:val="24"/>
        </w:rPr>
        <w:t xml:space="preserve">należy spodziewać się ewentualnego negatywnego oddziaływania na jakość powietrza atmosferycznego. Planowane w ramach </w:t>
      </w:r>
      <w:r w:rsidRPr="008D0CFC">
        <w:rPr>
          <w:i/>
          <w:szCs w:val="24"/>
        </w:rPr>
        <w:t>cs (ii)</w:t>
      </w:r>
      <w:r w:rsidRPr="00841EA4">
        <w:rPr>
          <w:szCs w:val="24"/>
        </w:rPr>
        <w:t xml:space="preserve"> działania, obejmujące głównie inwestycje w rozwój usług elektronicznych dla przedsiębiorstw, administracji, wzmacnianie potencjału naukowego i badawczo-rozwojowego w obszarze regionalnych inteligentnych specjalizacji, budowanie i rozwijanie kompetencji instytucji tworzących ekosystem innowacji, wsparcie rozwoju współpracy między: przedsiębiorstwami, przedsiębiorstwami a sektorem nauki oraz przedsiębiorstwami, sektorem nauki, partnerami społecznymi i gospodarczymi oraz podmiotami sektora publicznego będą miały charakter neutralny.</w:t>
      </w:r>
    </w:p>
    <w:p w14:paraId="5468C7DE" w14:textId="77777777" w:rsidR="009F1607" w:rsidRPr="00841EA4" w:rsidRDefault="009F1607" w:rsidP="009F1607">
      <w:pPr>
        <w:rPr>
          <w:szCs w:val="24"/>
        </w:rPr>
      </w:pPr>
      <w:r w:rsidRPr="00841EA4">
        <w:rPr>
          <w:szCs w:val="24"/>
        </w:rPr>
        <w:t xml:space="preserve">W odniesieniu do Priorytetu 1. </w:t>
      </w:r>
      <w:r w:rsidRPr="00841EA4">
        <w:rPr>
          <w:b/>
          <w:i/>
          <w:szCs w:val="24"/>
        </w:rPr>
        <w:t xml:space="preserve">FUNDUSZE EUROPEJSKIE NA RZECZ PRZEDSIĘBIORCZEGO POMORZA ZACHODNIEGO </w:t>
      </w:r>
      <w:r w:rsidRPr="00841EA4">
        <w:rPr>
          <w:i/>
          <w:szCs w:val="24"/>
        </w:rPr>
        <w:t>e</w:t>
      </w:r>
      <w:r w:rsidRPr="00841EA4">
        <w:rPr>
          <w:szCs w:val="24"/>
        </w:rPr>
        <w:t xml:space="preserve">wentualne negatywne oddziaływania na jakość powietrza atmosferycznego mogą wystąpić jedynie w wyniku realizacji projektów/przedsięwzięć, w ramach których prowadzone będą prace budowlane lub remontowe, związane z budową, przebudową, rozbudową lub adaptacją ośrodków badań naukowych i/lub przemysłowych, a także instalacji badawczych, linii produkcyjnych oraz instalacji pilotażowych ( w ramach celu szczegółowego </w:t>
      </w:r>
      <w:r w:rsidRPr="00841EA4">
        <w:rPr>
          <w:i/>
          <w:szCs w:val="24"/>
        </w:rPr>
        <w:t>cs(i):</w:t>
      </w:r>
      <w:r w:rsidRPr="00841EA4">
        <w:rPr>
          <w:i/>
          <w:iCs/>
          <w:szCs w:val="24"/>
        </w:rPr>
        <w:t xml:space="preserve"> Rozwijanie i wzmacnianie zdolności badawczych i innowac</w:t>
      </w:r>
      <w:r w:rsidRPr="00841EA4">
        <w:rPr>
          <w:i/>
          <w:szCs w:val="24"/>
        </w:rPr>
        <w:t>yjnych oraz /wykorzystywanie zaawansowanych technologii</w:t>
      </w:r>
      <w:r w:rsidRPr="00841EA4">
        <w:rPr>
          <w:szCs w:val="24"/>
        </w:rPr>
        <w:t xml:space="preserve">), a także rozwojem infrastruktury inkubatorów przedsiębiorczości w ramach </w:t>
      </w:r>
      <w:r w:rsidRPr="00841EA4">
        <w:rPr>
          <w:i/>
          <w:szCs w:val="24"/>
        </w:rPr>
        <w:t>cs (iii)</w:t>
      </w:r>
      <w:r w:rsidRPr="00841EA4">
        <w:rPr>
          <w:szCs w:val="24"/>
        </w:rPr>
        <w:t xml:space="preserve">: </w:t>
      </w:r>
      <w:r w:rsidRPr="00841EA4">
        <w:rPr>
          <w:i/>
          <w:iCs/>
          <w:szCs w:val="24"/>
        </w:rPr>
        <w:t>Wzmacnianie</w:t>
      </w:r>
      <w:r w:rsidRPr="00841EA4">
        <w:rPr>
          <w:i/>
          <w:szCs w:val="24"/>
        </w:rPr>
        <w:t xml:space="preserve"> trwałego wzrostu i konkurencyjności MŚP oraz tworzenie miejsc pracy w MŚP, w tym poprzez inwestycje produkcyjne</w:t>
      </w:r>
      <w:r w:rsidRPr="00841EA4">
        <w:rPr>
          <w:szCs w:val="24"/>
        </w:rPr>
        <w:t>.</w:t>
      </w:r>
    </w:p>
    <w:p w14:paraId="52C871E1" w14:textId="77777777" w:rsidR="009F1607" w:rsidRPr="00841EA4" w:rsidRDefault="009F1607" w:rsidP="009F1607">
      <w:pPr>
        <w:rPr>
          <w:szCs w:val="24"/>
        </w:rPr>
      </w:pPr>
      <w:r w:rsidRPr="00841EA4">
        <w:rPr>
          <w:szCs w:val="24"/>
        </w:rPr>
        <w:t>Z uwagi na rodzaj planowanych działań, potencjalnie negatywne oddziaływania będą miały charakter oddziaływań tymczasowych i krótkotrwałych, o zasięgu lokalnym, których obszar oddziaływania ograniczony zostanie do miejsca prowadzenia prac budowlanych i remontowo</w:t>
      </w:r>
      <w:r>
        <w:rPr>
          <w:szCs w:val="24"/>
        </w:rPr>
        <w:t>-</w:t>
      </w:r>
      <w:r w:rsidRPr="00841EA4">
        <w:rPr>
          <w:szCs w:val="24"/>
        </w:rPr>
        <w:t>budowlanych. Zakłada się, że ww. oddziaływania ustąpią z chwilą zakończenia inwestycji, a w perspektywie długoterminowej funkcjonowanie inwestycji nie będzie negatywnie wpływało na jakość powietrza atmosferycznego w regionie.</w:t>
      </w:r>
    </w:p>
    <w:p w14:paraId="6EC5A398" w14:textId="77777777" w:rsidR="009F1607" w:rsidRPr="00841EA4" w:rsidRDefault="009F1607" w:rsidP="009F1607">
      <w:r w:rsidRPr="00841EA4">
        <w:t>W odniesieniu do Priorytetu 2.</w:t>
      </w:r>
      <w:r w:rsidRPr="00841EA4">
        <w:rPr>
          <w:b/>
          <w:i/>
        </w:rPr>
        <w:t xml:space="preserve"> </w:t>
      </w:r>
      <w:r w:rsidRPr="00841EA4">
        <w:rPr>
          <w:b/>
          <w:i/>
          <w:szCs w:val="24"/>
        </w:rPr>
        <w:t>FUNDUSZE EUROPEJSKIE NA RZECZ ZIELONEGO POMORZA</w:t>
      </w:r>
      <w:r w:rsidRPr="00841EA4">
        <w:t xml:space="preserve">, przewiduje się, że zdecydowana większość planowanych działań wpłynie na poprawę jakości powietrza atmosferycznego w woj. zachodniopomorskim. Z uwagi na proekologiczny charakter przedsięwzięć planowanych do realizacji w ramach Priorytetu 2, potencjalne oddziaływania będą miały charakter pozytywny, regionalny i długoterminowy. Realizacja działań w szczególności w obszarze celów szczegółowych: </w:t>
      </w:r>
      <w:r w:rsidRPr="00841EA4">
        <w:rPr>
          <w:i/>
        </w:rPr>
        <w:t>cs (i)</w:t>
      </w:r>
      <w:r w:rsidRPr="00841EA4">
        <w:t xml:space="preserve">: </w:t>
      </w:r>
      <w:r w:rsidRPr="00841EA4">
        <w:rPr>
          <w:i/>
          <w:iCs/>
        </w:rPr>
        <w:t>Wspieranie efektywności energetycznej i redukcji emisji gazów cieplarnianych</w:t>
      </w:r>
      <w:r w:rsidRPr="00841EA4">
        <w:t xml:space="preserve">; </w:t>
      </w:r>
      <w:r w:rsidRPr="00841EA4">
        <w:rPr>
          <w:i/>
        </w:rPr>
        <w:t>cs (ii)</w:t>
      </w:r>
      <w:r w:rsidRPr="00841EA4">
        <w:t xml:space="preserve">: </w:t>
      </w:r>
      <w:r w:rsidRPr="00841EA4">
        <w:rPr>
          <w:i/>
          <w:iCs/>
        </w:rPr>
        <w:t>Wspieranie energii odnawialnej zgodnie z dyrektywą (UE) 2018/200, w tym określonymi w niej kryteriami zrównoważonego rozwoju</w:t>
      </w:r>
      <w:r w:rsidRPr="00841EA4">
        <w:t xml:space="preserve"> oraz </w:t>
      </w:r>
      <w:r w:rsidRPr="00841EA4">
        <w:rPr>
          <w:i/>
        </w:rPr>
        <w:t>cs (vii)</w:t>
      </w:r>
      <w:r w:rsidRPr="00841EA4">
        <w:t xml:space="preserve">: </w:t>
      </w:r>
      <w:r w:rsidRPr="00841EA4">
        <w:rPr>
          <w:i/>
        </w:rPr>
        <w:t>Wzmocnienie ochrony i zachowania przyrody, różnorodności biologicznej oraz zielonej infrastruktury, w tym na obszarach miejskich, oraz ograniczenie wszelkich rodzajów zanieczyszczenia</w:t>
      </w:r>
      <w:r w:rsidRPr="00841EA4">
        <w:t>, sprzyjała będzie zmniejszeniu emisji gazów cieplarnianych oraz poprawie jakości powietrza atmosferycznego wskutek redukcji niskiej emisji.</w:t>
      </w:r>
    </w:p>
    <w:p w14:paraId="2F21FCC6" w14:textId="77777777" w:rsidR="009F1607" w:rsidRPr="00841EA4" w:rsidRDefault="009F1607" w:rsidP="009F1607">
      <w:pPr>
        <w:rPr>
          <w:szCs w:val="24"/>
        </w:rPr>
      </w:pPr>
      <w:r w:rsidRPr="00841EA4">
        <w:rPr>
          <w:szCs w:val="24"/>
        </w:rPr>
        <w:t xml:space="preserve">W ramach celu szczegółowego </w:t>
      </w:r>
      <w:r w:rsidRPr="00841EA4">
        <w:rPr>
          <w:i/>
          <w:iCs/>
          <w:szCs w:val="24"/>
        </w:rPr>
        <w:t>cs (i): Wspieranie</w:t>
      </w:r>
      <w:r w:rsidRPr="00841EA4">
        <w:rPr>
          <w:i/>
          <w:szCs w:val="24"/>
        </w:rPr>
        <w:t xml:space="preserve"> efektywności energetycznej i redukcji emisji gazów cieplarnianych</w:t>
      </w:r>
      <w:r w:rsidRPr="00841EA4">
        <w:rPr>
          <w:szCs w:val="24"/>
        </w:rPr>
        <w:t xml:space="preserve"> przewiduje się realizację działań promujących wzrost efektywności energetycznej oraz energooszczędności, przyczyniających się bezpośrednio do poprawy stanu powietrza oraz zmniejszenia zjawiska ubóstwa energetycznego. Realizacja planowanych w ramach ww. celu szczegółowego </w:t>
      </w:r>
      <w:r w:rsidRPr="00841EA4">
        <w:rPr>
          <w:i/>
          <w:iCs/>
          <w:szCs w:val="24"/>
        </w:rPr>
        <w:t>cs (i)</w:t>
      </w:r>
      <w:r w:rsidRPr="00841EA4">
        <w:rPr>
          <w:szCs w:val="24"/>
        </w:rPr>
        <w:t xml:space="preserve"> działań przyczyni się do poprawy stanu środowiska, w szczególności poprzez: poprawę efektywności energetycznej przedsiębiorstw (modernizacja, wymiana urządzeń na energooszczędne wraz z instalacja urządzeń OZE), zwiększenie efektywności energetycznej budynków użyteczności publicznej (podłączenie do sieci ciepłowniczej/chłodniczej, wraz z instalacja urządzeń OZE), budowę/rozbudowę i modernizację systemów ciepłowniczych i chłodniczych (sieci) wraz z magazynami ciepła oraz przystosowaniem instalacji do spalania wodoru, a także prowadzenie działań podnoszących świadomość społeczną w zakresie działań na rzecz niskoemisyjnej gospodarki obiegu zamkniętego, w tym efektywności energetycznej i wykorzystania OZE. Ze szczególną intensywnością realizowane będą działania ukierunkowane na poprawę jakości powietrza poprzez ograniczanie niskiej emisji jako głównej przyczyny powstawania zjawiska smogu oraz ograniczanie emisji zanieczyszczeń (w szczególności NOx i PM).</w:t>
      </w:r>
    </w:p>
    <w:p w14:paraId="45EB09D4" w14:textId="77777777" w:rsidR="009F1607" w:rsidRPr="00841EA4" w:rsidRDefault="009F1607" w:rsidP="009F1607">
      <w:pPr>
        <w:rPr>
          <w:color w:val="FF0000"/>
          <w:szCs w:val="24"/>
        </w:rPr>
      </w:pPr>
      <w:r w:rsidRPr="00841EA4">
        <w:rPr>
          <w:szCs w:val="24"/>
        </w:rPr>
        <w:t xml:space="preserve">Kolejnymi przedsięwzięciami, które realizowane w ramach Priorytetu 2. </w:t>
      </w:r>
      <w:r w:rsidRPr="00841EA4">
        <w:rPr>
          <w:b/>
          <w:i/>
          <w:szCs w:val="24"/>
        </w:rPr>
        <w:t>FUNDUSZE EUROPEJSKIE NA RZECZ ZIELONEGO POMORZA</w:t>
      </w:r>
      <w:r w:rsidRPr="00841EA4">
        <w:rPr>
          <w:szCs w:val="24"/>
        </w:rPr>
        <w:t xml:space="preserve"> wpłyną bezpośrednio na poprawę jakości powietrza atmosferycznego, są działania w ramach celu szczegółowego </w:t>
      </w:r>
      <w:r w:rsidRPr="00841EA4">
        <w:rPr>
          <w:i/>
          <w:iCs/>
          <w:szCs w:val="24"/>
        </w:rPr>
        <w:t xml:space="preserve">cs (ii): </w:t>
      </w:r>
      <w:r w:rsidRPr="00841EA4">
        <w:rPr>
          <w:i/>
          <w:iCs/>
        </w:rPr>
        <w:t xml:space="preserve">Wspieranie energii odnawialnej zgodnie z dyrektywą (UE) 2018/200, w tym określonymi w niej kryteriami zrównoważonego rozwoju, </w:t>
      </w:r>
      <w:r w:rsidRPr="00841EA4">
        <w:rPr>
          <w:iCs/>
        </w:rPr>
        <w:t xml:space="preserve">ukierunkowane na dekarbonizacje sektora energetycznego, ze szczególnym uwzględnieniem zwiększenia udziału OZE w miksie energetycznym. </w:t>
      </w:r>
      <w:r w:rsidRPr="00841EA4">
        <w:rPr>
          <w:szCs w:val="24"/>
        </w:rPr>
        <w:t>Wsparcie zostanie przeznaczone na inwestycje polegaj</w:t>
      </w:r>
      <w:r w:rsidRPr="00841EA4">
        <w:rPr>
          <w:rFonts w:hint="eastAsia"/>
          <w:szCs w:val="24"/>
        </w:rPr>
        <w:t>ą</w:t>
      </w:r>
      <w:r w:rsidRPr="00841EA4">
        <w:rPr>
          <w:szCs w:val="24"/>
        </w:rPr>
        <w:t xml:space="preserve">ce na budowie i rozbudowie instalacji produkcji energii ze źródeł odnawialnych wraz z magazynami energii działającymi na potrzeby danego źródła OZE, projekty badawcze z zakresu energii rozproszonych i OZE, a także, działania niwelujące niestabilności procesu produkcji energii z OZE poprzez instalacje towarzyszące i równoważące produkcje energii. </w:t>
      </w:r>
    </w:p>
    <w:p w14:paraId="64E4D1F2" w14:textId="77777777" w:rsidR="009F1607" w:rsidRPr="00841EA4" w:rsidRDefault="009F1607" w:rsidP="009F1607">
      <w:pPr>
        <w:rPr>
          <w:szCs w:val="24"/>
        </w:rPr>
      </w:pPr>
      <w:r w:rsidRPr="00841EA4">
        <w:rPr>
          <w:iCs/>
        </w:rPr>
        <w:t xml:space="preserve">W ramach </w:t>
      </w:r>
      <w:r w:rsidRPr="00841EA4">
        <w:rPr>
          <w:szCs w:val="24"/>
        </w:rPr>
        <w:t xml:space="preserve">Priorytetu 2. </w:t>
      </w:r>
      <w:r w:rsidRPr="00841EA4">
        <w:rPr>
          <w:b/>
          <w:i/>
          <w:szCs w:val="24"/>
        </w:rPr>
        <w:t xml:space="preserve">FUNDUSZE EUROPEJSKIE NA RZECZ ZIELONEGO POMORZA, </w:t>
      </w:r>
      <w:r w:rsidRPr="00841EA4">
        <w:rPr>
          <w:szCs w:val="24"/>
        </w:rPr>
        <w:t>planowane są również działania zmierzających do zwiększenia ochrony przyrody i krajobrazu, zahamowanie spadku różnorodności biologicznej oraz wzmocnienie potencjałów przyrodniczych w przestrzeni miejskiej i pozamiejskiej, których realizacja również wpłynie</w:t>
      </w:r>
      <w:r w:rsidRPr="00841EA4">
        <w:rPr>
          <w:iCs/>
        </w:rPr>
        <w:t xml:space="preserve"> bezpośrednio na poprawę jakości powietrza atmosferycznego w regionie pomorza zachodniego. Działania te planowane są do realizacji w ramach </w:t>
      </w:r>
      <w:r w:rsidRPr="00841EA4">
        <w:rPr>
          <w:i/>
          <w:iCs/>
        </w:rPr>
        <w:t>cs (vii): Wzmacnianie ochrony i zachowania przyrody, różnorodności biologicznej oraz zielonej infrastruktury, w tym na obszarach miejskich, oraz ograniczanie wszelkich rodzajów zanieczyszczeń</w:t>
      </w:r>
      <w:r w:rsidRPr="00841EA4">
        <w:rPr>
          <w:iCs/>
        </w:rPr>
        <w:t xml:space="preserve"> i obejmują pakiet działań inwestycyjnych (poprawa infrastruktury turystycznej, modernizacja obiektów na szlakach turystycznych, itp.) oraz nie inwestycyjnych, związanych z działaniami edukacyjnymi zwiększającymi świadomość społeczną w zakresie ochrony przyrody, dziedzictwa przyrodniczego, obecnego wpływu zmian klimatycznych na różnorodność biologiczną oraz promocja postaw proekologicznych. </w:t>
      </w:r>
    </w:p>
    <w:p w14:paraId="39571924" w14:textId="77777777" w:rsidR="009F1607" w:rsidRPr="00841EA4" w:rsidRDefault="009F1607" w:rsidP="009F1607">
      <w:pPr>
        <w:rPr>
          <w:iCs/>
        </w:rPr>
      </w:pPr>
      <w:r w:rsidRPr="00841EA4">
        <w:rPr>
          <w:szCs w:val="24"/>
        </w:rPr>
        <w:t xml:space="preserve">Przewiduje się, iż działania realizowane w ramach </w:t>
      </w:r>
      <w:r w:rsidRPr="00841EA4">
        <w:rPr>
          <w:i/>
          <w:szCs w:val="24"/>
        </w:rPr>
        <w:t>cs(i):</w:t>
      </w:r>
      <w:r w:rsidRPr="00841EA4">
        <w:rPr>
          <w:szCs w:val="24"/>
        </w:rPr>
        <w:t xml:space="preserve"> </w:t>
      </w:r>
      <w:r w:rsidRPr="00841EA4">
        <w:rPr>
          <w:i/>
          <w:iCs/>
          <w:szCs w:val="24"/>
        </w:rPr>
        <w:t>Wspieranie</w:t>
      </w:r>
      <w:r w:rsidRPr="00841EA4">
        <w:rPr>
          <w:i/>
          <w:szCs w:val="24"/>
        </w:rPr>
        <w:t xml:space="preserve"> efektywności energetycznej i redukcji emisji gazów cieplarnianych</w:t>
      </w:r>
      <w:r w:rsidRPr="00841EA4">
        <w:rPr>
          <w:szCs w:val="24"/>
        </w:rPr>
        <w:t xml:space="preserve"> oraz</w:t>
      </w:r>
      <w:r w:rsidRPr="00841EA4">
        <w:rPr>
          <w:i/>
          <w:iCs/>
          <w:szCs w:val="24"/>
        </w:rPr>
        <w:t xml:space="preserve"> cs (ii): </w:t>
      </w:r>
      <w:r w:rsidRPr="00841EA4">
        <w:rPr>
          <w:i/>
          <w:iCs/>
        </w:rPr>
        <w:t xml:space="preserve">Wspieranie energii odnawialnej zgodnie z dyrektywą (UE) 2018/200, w tym określonymi w niej kryteriami zrównoważonego rozwoju </w:t>
      </w:r>
      <w:r w:rsidRPr="00841EA4">
        <w:rPr>
          <w:iCs/>
        </w:rPr>
        <w:t xml:space="preserve">oraz </w:t>
      </w:r>
      <w:r w:rsidRPr="00841EA4">
        <w:rPr>
          <w:i/>
          <w:iCs/>
        </w:rPr>
        <w:t xml:space="preserve">cs (vii): Wzmacnianie ochrony i zachowania przyrody, różnorodności biologicznej oraz zielonej infrastruktury, w tym na obszarach miejskich, oraz ograniczanie wszelkich rodzajów zanieczyszczeń, </w:t>
      </w:r>
      <w:r w:rsidRPr="00841EA4">
        <w:rPr>
          <w:iCs/>
        </w:rPr>
        <w:t xml:space="preserve">w perspektywie długoterminowej przyczynią się do poprawy jakości powietrza atmosferycznego w woj. zachodniopomorskim, a tym samym wpływ inwestycji poczynionych w ramach ww. celów szczegółowych uznać należy, za pozytywny, bezpośredni i długoterminowy. </w:t>
      </w:r>
    </w:p>
    <w:p w14:paraId="5D6C46F4" w14:textId="77777777" w:rsidR="009F1607" w:rsidRPr="00841EA4" w:rsidRDefault="009F1607" w:rsidP="009F1607">
      <w:pPr>
        <w:rPr>
          <w:szCs w:val="24"/>
        </w:rPr>
      </w:pPr>
      <w:r w:rsidRPr="00841EA4">
        <w:rPr>
          <w:iCs/>
        </w:rPr>
        <w:t xml:space="preserve">Należy pokreślić, że ewentualne negatywne oddziaływania na jakość powietrza atmosferycznego mogą wystąpić jedynie w przypadku prowadzonych w ramach celów szczegółowych </w:t>
      </w:r>
      <w:r w:rsidRPr="008D0CFC">
        <w:rPr>
          <w:i/>
          <w:iCs/>
        </w:rPr>
        <w:t xml:space="preserve">cs(i), cs(ii) </w:t>
      </w:r>
      <w:r w:rsidRPr="00841EA4">
        <w:rPr>
          <w:iCs/>
        </w:rPr>
        <w:t xml:space="preserve">oraz </w:t>
      </w:r>
      <w:r w:rsidRPr="008D0CFC">
        <w:rPr>
          <w:i/>
          <w:iCs/>
        </w:rPr>
        <w:t>cs(vii)</w:t>
      </w:r>
      <w:r w:rsidRPr="00841EA4">
        <w:rPr>
          <w:iCs/>
        </w:rPr>
        <w:t xml:space="preserve"> prac o charakterze remontowo-budowlany</w:t>
      </w:r>
      <w:r>
        <w:rPr>
          <w:iCs/>
        </w:rPr>
        <w:t>m</w:t>
      </w:r>
      <w:r w:rsidRPr="00841EA4">
        <w:rPr>
          <w:iCs/>
        </w:rPr>
        <w:t xml:space="preserve"> związanym z budową, modernizacj</w:t>
      </w:r>
      <w:r>
        <w:rPr>
          <w:iCs/>
        </w:rPr>
        <w:t>ą</w:t>
      </w:r>
      <w:r w:rsidRPr="00841EA4">
        <w:rPr>
          <w:iCs/>
        </w:rPr>
        <w:t xml:space="preserve"> oraz adaptacj</w:t>
      </w:r>
      <w:r>
        <w:rPr>
          <w:iCs/>
        </w:rPr>
        <w:t>ą</w:t>
      </w:r>
      <w:r w:rsidRPr="00841EA4">
        <w:rPr>
          <w:iCs/>
        </w:rPr>
        <w:t xml:space="preserve"> infrastruktury technicznej. </w:t>
      </w:r>
      <w:r w:rsidRPr="00841EA4">
        <w:rPr>
          <w:bCs/>
          <w:szCs w:val="24"/>
        </w:rPr>
        <w:t xml:space="preserve">Oddziaływania te związane będą z </w:t>
      </w:r>
      <w:r w:rsidRPr="00841EA4">
        <w:rPr>
          <w:szCs w:val="24"/>
        </w:rPr>
        <w:t>przygotowaniem placu budowy, budową obiektów infrastrukturalnych oraz porządkowaniem terenu po wykonaniu prac. Oddziaływania te będą jednak miały charakter chwilowy, lokalny i ustąpią w momencie zakończenia inwestycji. Należy podkreślić, że z uwagi, iż w dokumencie nie wskazano szczegółowo rodzaju (skali i typu) planowanych do przeprowadzenia prac, zgodnie z obowiązującym Rozporządzeniem Rady Ministrów z dnia 10 września 2019 r. w sprawie przedsięwzięć mogących znacząco oddziaływać na środowisko (Dz.U. 2019 poz. 1839), dla przedsięwzięć, co do których istnieją przesłanki, iż konieczne będzie sporządzenie oceny oddziaływania przedsięwzięć na środowisko, uzyskanie decyzji o środowiskowych uwarunkowaniach i/lub sporządzenia karty informacyjnej przedsięwzięcia, działania takie zostaną poczynione.</w:t>
      </w:r>
    </w:p>
    <w:p w14:paraId="1DEAE66B" w14:textId="77777777" w:rsidR="009F1607" w:rsidRPr="00841EA4" w:rsidRDefault="009F1607" w:rsidP="009F1607">
      <w:pPr>
        <w:rPr>
          <w:szCs w:val="24"/>
        </w:rPr>
      </w:pPr>
      <w:r w:rsidRPr="00841EA4">
        <w:rPr>
          <w:szCs w:val="24"/>
        </w:rPr>
        <w:t>Neutralny wpływ na jakość powietrza atmosferycznego będą miały również działania realizowane w ramach Priorytetu 2</w:t>
      </w:r>
      <w:r w:rsidRPr="00841EA4">
        <w:rPr>
          <w:b/>
          <w:i/>
          <w:szCs w:val="24"/>
        </w:rPr>
        <w:t>. FUNDUSZE EUROPEJSKIE NA RZECZ ZIELONEGO POMORZA</w:t>
      </w:r>
      <w:r w:rsidRPr="00841EA4">
        <w:rPr>
          <w:i/>
          <w:szCs w:val="24"/>
        </w:rPr>
        <w:t xml:space="preserve">, cs (iv): Wspieranie przystosowania się do zmian klimatu i zapobiegania ryzyku związanemu z klęskami żywiołowymi i katastrofami, a także odporności, z uwzględnieniem podejścia ekosystemowego, </w:t>
      </w:r>
      <w:r w:rsidRPr="00841EA4">
        <w:rPr>
          <w:szCs w:val="24"/>
        </w:rPr>
        <w:t xml:space="preserve">oraz </w:t>
      </w:r>
      <w:r w:rsidRPr="00841EA4">
        <w:rPr>
          <w:i/>
          <w:szCs w:val="24"/>
        </w:rPr>
        <w:t xml:space="preserve">cs (v): Wspieranie dostępu do wody oraz zrównoważonej gospodarki wodnej, </w:t>
      </w:r>
      <w:r w:rsidRPr="00841EA4">
        <w:rPr>
          <w:szCs w:val="24"/>
        </w:rPr>
        <w:t>ukierunkowanych odpowiednio na: ograniczenie negatywnych skutków zmian klimatu oraz poprawę bezpieczeństwa i jakości życia mieszkańców województwa (</w:t>
      </w:r>
      <w:r w:rsidRPr="00841EA4">
        <w:rPr>
          <w:i/>
          <w:szCs w:val="24"/>
        </w:rPr>
        <w:t>cs (iv)</w:t>
      </w:r>
      <w:r w:rsidRPr="00841EA4">
        <w:rPr>
          <w:szCs w:val="24"/>
        </w:rPr>
        <w:t>), oraz poprawę efektywności gospodarki wodno-ściekowej (</w:t>
      </w:r>
      <w:r w:rsidRPr="00841EA4">
        <w:rPr>
          <w:i/>
          <w:szCs w:val="24"/>
        </w:rPr>
        <w:t>cs (v)</w:t>
      </w:r>
      <w:r w:rsidRPr="00841EA4">
        <w:rPr>
          <w:szCs w:val="24"/>
        </w:rPr>
        <w:t>). Niemniej jednak, w związku z planowaną w ramach ww. celów szczegółowych prac</w:t>
      </w:r>
      <w:r>
        <w:rPr>
          <w:szCs w:val="24"/>
        </w:rPr>
        <w:t>ą</w:t>
      </w:r>
      <w:r w:rsidRPr="00841EA4">
        <w:rPr>
          <w:szCs w:val="24"/>
        </w:rPr>
        <w:t xml:space="preserve"> o charakterze inwestycyjnym (prace utrzymaniowe na rzekach, renaturyzacja przekształconych cieków wodnych, budowa sztucznych zbiorników retencyjnych, budowa i modernizacja infrastruktury kanalizacyjnej, inwestycje w rozwiązania dot. zagospodarowania osadów ściekowych i magazynowania wody, budowa/rozbudowa/modernizacja sieci wodociągowej, etc.), na etapie realizacji inwestycji mogą wystąpić negatywne oddziaływania, które jednak z uwagi na rodzaj planowanego przedsięwzięcia będą miały charakter lokalny, chwilowy, a samo oddziaływanie ustąpi z chwilą zakończenia inwestycji. </w:t>
      </w:r>
    </w:p>
    <w:p w14:paraId="5796604D" w14:textId="77777777" w:rsidR="009F1607" w:rsidRPr="00841EA4" w:rsidRDefault="009F1607" w:rsidP="009F1607">
      <w:r w:rsidRPr="00841EA4">
        <w:t xml:space="preserve">W odniesieniu do Priorytetu 3. </w:t>
      </w:r>
      <w:r w:rsidRPr="00841EA4">
        <w:rPr>
          <w:b/>
          <w:i/>
        </w:rPr>
        <w:t>FUNDUSZE EUROPEJSKIE NA RZECZ MOBILNEGO POMORZA ZACHODNIEGO</w:t>
      </w:r>
      <w:r w:rsidRPr="00841EA4">
        <w:t xml:space="preserve">, przewiduje się, że docelowe, działania realizowane w ramach priorytetu będą pozytywnie, bezpośrednio oraz długoterminowo oddziaływać na jakość powietrza atmosferycznego województwa zachodniopomorskim. Oddziaływania te będą miały charakter pozytywny, długoterminowy o zasięgu regionalny. Działania realizowane w ramach </w:t>
      </w:r>
      <w:r w:rsidRPr="00841EA4">
        <w:rPr>
          <w:i/>
        </w:rPr>
        <w:t xml:space="preserve">cs (viii): </w:t>
      </w:r>
      <w:r w:rsidRPr="00841EA4">
        <w:rPr>
          <w:i/>
          <w:iCs/>
        </w:rPr>
        <w:t>Wspieranie zrównoważonej multimodalnej mobilności miejskiej jako elementu transformacji w kierunku gospodarki zeroemisyjnej</w:t>
      </w:r>
      <w:r w:rsidRPr="00841EA4">
        <w:t xml:space="preserve">, promujące wdrażanie rozwiązań z obszaru zrównoważonej, zeroemisyjnej multimodalnej mobilności miejskiej docelowo, poprzez ograniczenie zanieczyszczeń emitowanych przez miejski tabór spalinowy, przyczynią się do poprawy jakości powietrza atmosferycznego województwa. Przewidziane do realizacji w ramach ww. celu szczegółowego działania, ukierunkowane są na poprawę jakości powietrza oraz zmianę nawyków transportowych, z uwzględnieniem rozwoju infrastruktury dla niezmotoryzowanych oraz promowania nowych, zrównoważonych sposobów przemieszczania się. </w:t>
      </w:r>
    </w:p>
    <w:p w14:paraId="3EF9441D" w14:textId="77777777" w:rsidR="009F1607" w:rsidRPr="00841EA4" w:rsidRDefault="009F1607" w:rsidP="009F1607">
      <w:r w:rsidRPr="00841EA4">
        <w:t>W odniesieniu do</w:t>
      </w:r>
      <w:r w:rsidRPr="00841EA4">
        <w:rPr>
          <w:i/>
        </w:rPr>
        <w:t xml:space="preserve"> cs (viii): </w:t>
      </w:r>
      <w:r w:rsidRPr="00841EA4">
        <w:rPr>
          <w:i/>
          <w:iCs/>
        </w:rPr>
        <w:t>Wspieranie zrównoważonej multimodalnej mobilności miejskiej jako elementu transformacji w kierunku gospodarki zeroemisyjnej</w:t>
      </w:r>
      <w:r w:rsidRPr="00841EA4">
        <w:t>, ewentualne oddziaływania o charakterze negatywnym mogą wystąpić na etapie realizacji prac związanych z: budową/modernizacj</w:t>
      </w:r>
      <w:r>
        <w:t>ą</w:t>
      </w:r>
      <w:r w:rsidRPr="00841EA4">
        <w:t xml:space="preserve"> infrastruktury dla ruchu pieszych oraz ścieżek rowerowych; inwestycjami w infrastrukturę drogow</w:t>
      </w:r>
      <w:r>
        <w:t>ą</w:t>
      </w:r>
      <w:r w:rsidRPr="00841EA4">
        <w:t xml:space="preserve"> transportu publicznego (buspasy, modernizacja skrzyżowań, budowa obiektów typu P+R, B+R), budową infrastruktury tankowania i ładowania pojazdów zeroemisyjnych, etc. Jednakże z uwagi na skale i rodzaj opisanych powyżej prac, negatywne oddziaływania będą miały charakter chwilowy, lokalny i ustąpią z chwilą zakończenia prac budowalnych/modernizacyjnych.</w:t>
      </w:r>
    </w:p>
    <w:p w14:paraId="7BB6D3B7" w14:textId="77777777" w:rsidR="009F1607" w:rsidRPr="00841EA4" w:rsidRDefault="009F1607" w:rsidP="009F1607">
      <w:r w:rsidRPr="00841EA4">
        <w:t xml:space="preserve">W odniesieniu do Priorytetu 4. </w:t>
      </w:r>
      <w:r w:rsidRPr="00841EA4">
        <w:rPr>
          <w:b/>
          <w:i/>
        </w:rPr>
        <w:t>FUNDUSZE EUROPEJSKIE NA RZECZ POŁĄCZONEGO POMORZA ZACHODNIEGO</w:t>
      </w:r>
      <w:r w:rsidRPr="00841EA4">
        <w:t xml:space="preserve">, przewiduje się, że docelowe, działania realizowane w ramach priorytetu będą pozytywnie, bezpośrednio oraz długoterminowo oddziaływać na jakość powietrza atmosferycznego województwa. Działania realizowane w ramach </w:t>
      </w:r>
      <w:r w:rsidRPr="00841EA4">
        <w:rPr>
          <w:i/>
        </w:rPr>
        <w:t>cs (</w:t>
      </w:r>
      <w:r>
        <w:rPr>
          <w:i/>
        </w:rPr>
        <w:t>i</w:t>
      </w:r>
      <w:r w:rsidRPr="00841EA4">
        <w:rPr>
          <w:i/>
        </w:rPr>
        <w:t>i)</w:t>
      </w:r>
      <w:r w:rsidRPr="00841EA4">
        <w:rPr>
          <w:i/>
          <w:iCs/>
        </w:rPr>
        <w:t xml:space="preserve">:Rozwój i udoskonalanie zrównoważonej, odpornej na zmiany klimatu, inteligentnej i intermodalnej mobilności na poziomie krajowym, regionalnym i lokalnym, w tym poprawę dostępu do TEN-T oraz mobilności transgranicznej, </w:t>
      </w:r>
      <w:r w:rsidRPr="00841EA4">
        <w:rPr>
          <w:iCs/>
        </w:rPr>
        <w:t>poprzez inwestycje w zakup bez emisyjnego taboru kolejowego przyczyni</w:t>
      </w:r>
      <w:r>
        <w:rPr>
          <w:iCs/>
        </w:rPr>
        <w:t>ą</w:t>
      </w:r>
      <w:r w:rsidRPr="00841EA4">
        <w:rPr>
          <w:iCs/>
        </w:rPr>
        <w:t xml:space="preserve"> się do poprawy jakości powierza w regionie pomorza zachodniego.</w:t>
      </w:r>
      <w:r w:rsidRPr="00841EA4">
        <w:t xml:space="preserve"> W odniesieniu do celu szczegółowego </w:t>
      </w:r>
      <w:r w:rsidRPr="00841EA4">
        <w:rPr>
          <w:i/>
        </w:rPr>
        <w:t>cs (ii)</w:t>
      </w:r>
      <w:r w:rsidRPr="00841EA4">
        <w:rPr>
          <w:i/>
          <w:iCs/>
        </w:rPr>
        <w:t>: Rozwój i udoskonalanie zrównoważonej, odpornej na zmiany klimatu, inteligentnej i intermodalnej mobilności na poziomie krajowym, regionalnym i lokalnym, w tym poprawę dostępu do TEN-T oraz mobilności transgranicznej</w:t>
      </w:r>
      <w:r w:rsidRPr="00841EA4">
        <w:t>, negatywne oddziaływania o charakterze bezpośrednim, krótkoterminowym i lokalnym mogą wystąpić na etapie realizacji inwestycji obejmujących budowę i modernizację infrastruktury publicznego transportu zbiorowego, w tym węzłów przesiadkowych wraz z zapleczem dla podróżujących. Z uwagi na charakter planowanych działań zakłada się, że negatywne oddziaływania ustąpią z chwilą zakończenia prac remontowo-budowlanych</w:t>
      </w:r>
    </w:p>
    <w:p w14:paraId="2FE502C0" w14:textId="77777777" w:rsidR="009F1607" w:rsidRPr="00841EA4" w:rsidRDefault="009F1607" w:rsidP="009F1607">
      <w:pPr>
        <w:rPr>
          <w:szCs w:val="24"/>
        </w:rPr>
      </w:pPr>
      <w:r w:rsidRPr="00841EA4">
        <w:rPr>
          <w:rFonts w:cstheme="minorHAnsi"/>
          <w:szCs w:val="24"/>
        </w:rPr>
        <w:t xml:space="preserve">W ramach Priorytetu 5. </w:t>
      </w:r>
      <w:r w:rsidRPr="00841EA4">
        <w:rPr>
          <w:rFonts w:cstheme="minorHAnsi"/>
          <w:b/>
          <w:i/>
          <w:szCs w:val="24"/>
        </w:rPr>
        <w:t>FUNDUSZE EUROPEJSKIE NA RZECZ PRZYJAZNEGO MIESZKANKOM I MIESZKAŃCOM POMORZA ZACHODNIEGO</w:t>
      </w:r>
      <w:r w:rsidRPr="00841EA4">
        <w:rPr>
          <w:rFonts w:cstheme="minorHAnsi"/>
          <w:i/>
          <w:szCs w:val="24"/>
        </w:rPr>
        <w:t>,</w:t>
      </w:r>
      <w:r w:rsidRPr="00841EA4">
        <w:rPr>
          <w:rFonts w:cstheme="minorHAnsi"/>
          <w:szCs w:val="24"/>
        </w:rPr>
        <w:t xml:space="preserve"> przewiduje się realizację działań skierowanych bezpośrednio dla mieszkańców województwa zachodniopomorskiego, obejmujących głównie działania systemowe o charakterze prospołecznym. Realizacja działań w ramach ww. priorytetu </w:t>
      </w:r>
      <w:r w:rsidRPr="00841EA4">
        <w:rPr>
          <w:szCs w:val="24"/>
        </w:rPr>
        <w:t xml:space="preserve">ma istotne znaczenie ze względu na zapewnienia finansowania Strategii Unii Europejskiej dla Regionu Morza Bałtyckiego (SUERMB) przyczyniając się do wsparcia realizacji celu nr 3 strategii („Wzrost dobrobytu”). </w:t>
      </w:r>
    </w:p>
    <w:p w14:paraId="7FA74F8C" w14:textId="77777777" w:rsidR="009F1607" w:rsidRPr="00841EA4" w:rsidRDefault="009F1607" w:rsidP="009F1607">
      <w:pPr>
        <w:rPr>
          <w:rFonts w:cstheme="minorHAnsi"/>
          <w:szCs w:val="24"/>
        </w:rPr>
      </w:pPr>
      <w:r w:rsidRPr="00841EA4">
        <w:rPr>
          <w:szCs w:val="24"/>
        </w:rPr>
        <w:t xml:space="preserve">W perspektywie długoterminowej, działania planowane do realizacji w ramach </w:t>
      </w:r>
      <w:r w:rsidRPr="00841EA4">
        <w:rPr>
          <w:rFonts w:cstheme="minorHAnsi"/>
          <w:i/>
          <w:szCs w:val="24"/>
        </w:rPr>
        <w:t>cs (ii):</w:t>
      </w:r>
      <w:r w:rsidRPr="00841EA4">
        <w:rPr>
          <w:i/>
          <w:iCs/>
          <w:szCs w:val="24"/>
        </w:rPr>
        <w:t xml:space="preserve">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w:t>
      </w:r>
      <w:r w:rsidRPr="00841EA4">
        <w:rPr>
          <w:iCs/>
          <w:szCs w:val="24"/>
        </w:rPr>
        <w:t xml:space="preserve"> oraz </w:t>
      </w:r>
      <w:r w:rsidRPr="00841EA4">
        <w:rPr>
          <w:i/>
          <w:iCs/>
          <w:szCs w:val="24"/>
        </w:rPr>
        <w:t xml:space="preserve">cs (iii): Wspieranie wyłączenia społeczno-gospodarczego społeczności marginalizowanych, gospodarstw domowych o niskich dochodach oraz grup w niekorzystnej sytuacji, w tym osób o szczególnych potrzebach, dzięki zintegrowanym działaniom obejmującym usługi mieszkaniowe i usługi społeczne, oraz cs (iv):Wspieranie integracji społeczno-gospodarczej obywateli państw trzecich, w tym migrantów, dzięki zintegrowanym działaniom obejmującym usługi mieszkaniowe i usługi społeczne, </w:t>
      </w:r>
      <w:r w:rsidRPr="00841EA4">
        <w:rPr>
          <w:iCs/>
          <w:szCs w:val="24"/>
        </w:rPr>
        <w:t xml:space="preserve">będą miały neutralny wpływ na jakość powietrza atmosferycznego w regionie pomorza zachodniego. </w:t>
      </w:r>
    </w:p>
    <w:p w14:paraId="50A398DB" w14:textId="77777777" w:rsidR="009F1607" w:rsidRPr="00841EA4" w:rsidRDefault="009F1607" w:rsidP="009F1607">
      <w:pPr>
        <w:rPr>
          <w:rFonts w:cstheme="minorHAnsi"/>
          <w:szCs w:val="24"/>
        </w:rPr>
      </w:pPr>
      <w:r w:rsidRPr="00841EA4">
        <w:rPr>
          <w:rFonts w:cstheme="minorHAnsi"/>
          <w:szCs w:val="24"/>
        </w:rPr>
        <w:t>Nadrzędnym celem działań planowanych do realizacji w ramach cs (ii):</w:t>
      </w:r>
      <w:r w:rsidRPr="00841EA4">
        <w:rPr>
          <w:i/>
          <w:iCs/>
          <w:szCs w:val="24"/>
        </w:rPr>
        <w:t xml:space="preserve">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w:t>
      </w:r>
      <w:r w:rsidRPr="00841EA4">
        <w:rPr>
          <w:rFonts w:cstheme="minorHAnsi"/>
          <w:szCs w:val="24"/>
        </w:rPr>
        <w:t xml:space="preserve"> jest dostosowanie systemów kształcenia i szkolenia do potrzeb rynku pracy i rozwoju osobistego. Osiągnięcie zakładanego celu </w:t>
      </w:r>
      <w:r w:rsidRPr="00841EA4">
        <w:rPr>
          <w:szCs w:val="24"/>
        </w:rPr>
        <w:t>przyczyni się do realizacji określonych w SUERMB obszarów polityki (tj. obszaru: Edukacja)</w:t>
      </w:r>
      <w:r w:rsidRPr="00841EA4">
        <w:rPr>
          <w:rFonts w:cstheme="minorHAnsi"/>
          <w:szCs w:val="24"/>
        </w:rPr>
        <w:t>.</w:t>
      </w:r>
    </w:p>
    <w:p w14:paraId="2F2BF216" w14:textId="77777777" w:rsidR="009F1607" w:rsidRPr="00841EA4" w:rsidRDefault="009F1607" w:rsidP="009F1607">
      <w:pPr>
        <w:rPr>
          <w:szCs w:val="24"/>
        </w:rPr>
      </w:pPr>
      <w:r w:rsidRPr="00841EA4">
        <w:rPr>
          <w:rFonts w:cstheme="minorHAnsi"/>
          <w:szCs w:val="24"/>
        </w:rPr>
        <w:t xml:space="preserve">Realizacja w ramach Priorytetu 5. </w:t>
      </w:r>
      <w:r w:rsidRPr="00841EA4">
        <w:rPr>
          <w:rFonts w:cstheme="minorHAnsi"/>
          <w:b/>
          <w:i/>
          <w:szCs w:val="24"/>
        </w:rPr>
        <w:t>FUNDUSZE EUROPEJSKIE NA RZECZ PRZYJAZNEGO MIESZKANKOM I MIESZKAŃCOM POMORZA ZACHODNIEGO</w:t>
      </w:r>
      <w:r w:rsidRPr="00841EA4">
        <w:rPr>
          <w:rFonts w:cstheme="minorHAnsi"/>
          <w:szCs w:val="24"/>
        </w:rPr>
        <w:t xml:space="preserve">, </w:t>
      </w:r>
      <w:r w:rsidRPr="00841EA4">
        <w:rPr>
          <w:szCs w:val="24"/>
        </w:rPr>
        <w:t xml:space="preserve">celów szczegółowych: </w:t>
      </w:r>
    </w:p>
    <w:p w14:paraId="43F2F861" w14:textId="77777777" w:rsidR="009F1607" w:rsidRPr="00AA0EAA" w:rsidRDefault="009F1607" w:rsidP="00622DC9">
      <w:pPr>
        <w:pStyle w:val="Akapitzlist"/>
        <w:numPr>
          <w:ilvl w:val="0"/>
          <w:numId w:val="29"/>
        </w:numPr>
        <w:rPr>
          <w:i/>
          <w:szCs w:val="24"/>
        </w:rPr>
      </w:pPr>
      <w:r w:rsidRPr="00AA0EAA">
        <w:rPr>
          <w:i/>
          <w:szCs w:val="24"/>
        </w:rPr>
        <w:t>cs (iii): Wspieranie wyłączenia społeczno-gospodarczego społeczności marginalizowanych, gospodarstw domowych o niskich dochodach oraz grup w niekorzystnej sytuacji, w tym osób o szczególnych potrzebach, dzięki zintegrowanym działaniom obejmującym usługi mieszkaniowe i usługi społeczne;</w:t>
      </w:r>
    </w:p>
    <w:p w14:paraId="5B2F7887" w14:textId="77777777" w:rsidR="009F1607" w:rsidRPr="00AA0EAA" w:rsidRDefault="009F1607" w:rsidP="00622DC9">
      <w:pPr>
        <w:pStyle w:val="Akapitzlist"/>
        <w:numPr>
          <w:ilvl w:val="0"/>
          <w:numId w:val="29"/>
        </w:numPr>
        <w:rPr>
          <w:i/>
          <w:szCs w:val="24"/>
        </w:rPr>
      </w:pPr>
      <w:r w:rsidRPr="00AA0EAA">
        <w:rPr>
          <w:i/>
          <w:szCs w:val="24"/>
        </w:rPr>
        <w:t>cs (iv): Wspieranie integracji społeczno-gospodarczej obywateli państw trzecich, w tym migrantów, dzięki zintegrowanym działaniom obejmującym usługi mieszkaniowe i usługi społeczne,</w:t>
      </w:r>
    </w:p>
    <w:p w14:paraId="472FC456" w14:textId="77777777" w:rsidR="009F1607" w:rsidRPr="00AA0EAA" w:rsidRDefault="009F1607" w:rsidP="00622DC9">
      <w:pPr>
        <w:pStyle w:val="Akapitzlist"/>
        <w:numPr>
          <w:ilvl w:val="0"/>
          <w:numId w:val="29"/>
        </w:numPr>
        <w:rPr>
          <w:i/>
          <w:szCs w:val="24"/>
        </w:rPr>
      </w:pPr>
      <w:r w:rsidRPr="00AA0EAA">
        <w:rPr>
          <w:i/>
          <w:szCs w:val="24"/>
        </w:rPr>
        <w:t>cs (v): Zapewnienie równego dostępu do opieki zdrowotnej i wspieranie odporności systemów opieki zdrowotnej, w tym podstawowej opieki zdrowotnej, oraz wspieranie przechodzenia od opieki instytucjonalnej do opieki rodzinnej i środowiskowej,</w:t>
      </w:r>
    </w:p>
    <w:p w14:paraId="0E8BE34C" w14:textId="77777777" w:rsidR="009F1607" w:rsidRPr="00AA0EAA" w:rsidRDefault="009F1607" w:rsidP="00622DC9">
      <w:pPr>
        <w:pStyle w:val="Akapitzlist"/>
        <w:numPr>
          <w:ilvl w:val="0"/>
          <w:numId w:val="29"/>
        </w:numPr>
        <w:rPr>
          <w:i/>
          <w:szCs w:val="24"/>
        </w:rPr>
      </w:pPr>
      <w:r w:rsidRPr="00AA0EAA">
        <w:rPr>
          <w:i/>
          <w:szCs w:val="24"/>
        </w:rPr>
        <w:t>cs (vi): Wzmocnienie roli kultury i turystyki w rozwoju gospodarczym, włączeniu społecznym i innowacjach społecznych,</w:t>
      </w:r>
    </w:p>
    <w:p w14:paraId="279B9C19" w14:textId="77777777" w:rsidR="009F1607" w:rsidRPr="00841EA4" w:rsidRDefault="009F1607" w:rsidP="009F1607">
      <w:pPr>
        <w:rPr>
          <w:iCs/>
          <w:szCs w:val="24"/>
        </w:rPr>
      </w:pPr>
      <w:r w:rsidRPr="00841EA4">
        <w:rPr>
          <w:iCs/>
          <w:szCs w:val="24"/>
        </w:rPr>
        <w:t>przyczyni się do poprawy infrastruktury społecznej, powiązanej z procesem integracji i aktywizacji społeczno-zawodowej, sprzyjała będzie asymilacji migrantów z lokalną społecznością.</w:t>
      </w:r>
    </w:p>
    <w:p w14:paraId="17C03B7C" w14:textId="77777777" w:rsidR="009F1607" w:rsidRPr="00841EA4" w:rsidRDefault="009F1607" w:rsidP="009F1607">
      <w:pPr>
        <w:rPr>
          <w:rFonts w:cstheme="minorHAnsi"/>
          <w:szCs w:val="24"/>
        </w:rPr>
      </w:pPr>
      <w:r w:rsidRPr="00841EA4">
        <w:rPr>
          <w:rFonts w:cstheme="minorHAnsi"/>
          <w:szCs w:val="24"/>
        </w:rPr>
        <w:t xml:space="preserve">Działania planowane w ramach Priorytetu 5. </w:t>
      </w:r>
      <w:r w:rsidRPr="00841EA4">
        <w:rPr>
          <w:rFonts w:cstheme="minorHAnsi"/>
          <w:b/>
          <w:i/>
          <w:szCs w:val="24"/>
        </w:rPr>
        <w:t>FUNDUSZE EUROPEJSKIE NA RZECZ PRZYJAZNEGO MIESZKANKOM I MIESZKAŃCOM POMORZA ZACHODNIEGO</w:t>
      </w:r>
      <w:r w:rsidRPr="00841EA4">
        <w:rPr>
          <w:rFonts w:cstheme="minorHAnsi"/>
          <w:szCs w:val="24"/>
        </w:rPr>
        <w:t>, będą miały charakter wsparciu infrastruktury szkół, wzmacnianiu edukacji, poprawie infrastruktury społecznej, poprawie procesów integracji społecznej, wsparciu osób z niepełnosprawnościami, osób w kryzysie bezdomności, osób starszych, wsparciu obywateli państw trzecich, w tym migrantów, poprawie dostępu do wysokiej jakości usług zdrowotnych oraz skuteczności i odporności systemu opieki zdrowotnej i opieki długoterminowej. Z uwagi na skalę, charakter oraz zakres planowanych przedsięwzięć, ewentualne negatywne oddziaływania na jakość powietrza atmosferycznego mogą wystąpić na etapie realizacji inwestycji związanych z budową, rozbudową, adaptacją lub modernizacją infrastruktury i związane są z krótkoterminowym, ograniczonym lokalnie negatywnym oddziaływaniem (do miejsca pracy maszyn budowlanych), które ustąpi z chwilą zakończenia prac.</w:t>
      </w:r>
    </w:p>
    <w:p w14:paraId="44B6B3B4" w14:textId="77777777" w:rsidR="009F1607" w:rsidRPr="00841EA4" w:rsidRDefault="009F1607" w:rsidP="009F1607">
      <w:pPr>
        <w:rPr>
          <w:rFonts w:cstheme="minorHAnsi"/>
          <w:color w:val="FF0000"/>
          <w:szCs w:val="24"/>
        </w:rPr>
      </w:pPr>
      <w:r w:rsidRPr="00841EA4">
        <w:t xml:space="preserve">Analiza działań w ramach Priorytetu 6. </w:t>
      </w:r>
      <w:r w:rsidRPr="00841EA4">
        <w:rPr>
          <w:rFonts w:cstheme="minorHAnsi"/>
          <w:b/>
          <w:i/>
          <w:szCs w:val="24"/>
        </w:rPr>
        <w:t>FUNDUSZE EUROPEJSKIE NA RZECZ AKTYWNEGO POMORZA ZACHODNIEGO</w:t>
      </w:r>
      <w:r w:rsidRPr="00841EA4">
        <w:t>, wykazała, że z uwagi na społeczno-edukacyjny, a zarazem nie inwestycyjny charakter większość realizowanych przedsięwzięć, ich realizacja nie będzie wiązała się z wystąpieniem negatywnych oddziaływań na poszczególne komponenty środowiska naturalnego, ze szczególnym uwzględnieniem powietrza atmosferycznego. Tym samym działania planowane do realizacji w ramach ww. Priorytetu, mają charakter neutralny względem jakości powietrza atmosferycznego.</w:t>
      </w:r>
    </w:p>
    <w:p w14:paraId="3018C7F3" w14:textId="77777777" w:rsidR="009F1607" w:rsidRPr="00841EA4" w:rsidRDefault="009F1607" w:rsidP="009F1607">
      <w:pPr>
        <w:rPr>
          <w:rFonts w:cstheme="minorHAnsi"/>
          <w:szCs w:val="24"/>
        </w:rPr>
      </w:pPr>
      <w:r w:rsidRPr="00841EA4">
        <w:rPr>
          <w:rFonts w:cstheme="minorHAnsi"/>
          <w:szCs w:val="24"/>
        </w:rPr>
        <w:t xml:space="preserve">W ramach Priorytetu 7. </w:t>
      </w:r>
      <w:r w:rsidRPr="00841EA4">
        <w:rPr>
          <w:rFonts w:cstheme="minorHAnsi"/>
          <w:b/>
          <w:i/>
          <w:szCs w:val="24"/>
        </w:rPr>
        <w:t>FUNDUSZE EUROPEJSKIE NA RZECZ PARTNERSKIEGO POMORZA ZACHODNIEGO</w:t>
      </w:r>
      <w:r w:rsidRPr="00841EA4">
        <w:rPr>
          <w:rFonts w:cstheme="minorHAnsi"/>
          <w:szCs w:val="24"/>
        </w:rPr>
        <w:t xml:space="preserve">, w ramach cel szczegółowego </w:t>
      </w:r>
      <w:r w:rsidRPr="00841EA4">
        <w:rPr>
          <w:rFonts w:cstheme="minorHAnsi"/>
          <w:i/>
          <w:szCs w:val="24"/>
        </w:rPr>
        <w:t>cs (i): Wspieranie zintegrowanego i sprzyjającego włączeniu społecznemu rozwoju społecznego, gospodarczego i środowiskowego, kultury, dziedzictwa naturalnego, zrównoważonej turystyki i bezpieczeństwa na obszarach miejskich</w:t>
      </w:r>
      <w:r w:rsidRPr="00841EA4">
        <w:rPr>
          <w:rFonts w:cstheme="minorHAnsi"/>
          <w:szCs w:val="24"/>
        </w:rPr>
        <w:t xml:space="preserve"> przewiduje się realizację działań m.in. z zakresu gospodarki turystycznej, wsparcie infrastruktury turystyki rowerowej, budowa, rozbudowa i modernizacja instytucji kultury, prace restauratorskie i konserwatorskie obiektów zabytkowych i o znaczeniu historycznym oraz obiektów przynależnych do szlaków kulturowych, wsparcie oraz rozwój terenów inwestycyjnych/infrastruktury biznesowej, inwestycje nadające nowe funkcje gospodarcze obszarom poprzemysłowym itp., wsparcie inwestycji w istniejącą bazę dydaktyczną szkół zawodowych, wyposażenie pracowni/warsztatów itp. Wyżej wymienione działania można podzielić na inwestycje systemowe o charakterze nietechnicznym oraz działania techniczne, wymagające przeprowadzenia prac budowlanych, modernizacyjnych lub rekultywacyjnych. </w:t>
      </w:r>
    </w:p>
    <w:p w14:paraId="41BB7AA9" w14:textId="77777777" w:rsidR="009F1607" w:rsidRPr="007B1158" w:rsidRDefault="009F1607" w:rsidP="009F1607">
      <w:pPr>
        <w:rPr>
          <w:rFonts w:cstheme="minorHAnsi"/>
          <w:szCs w:val="24"/>
        </w:rPr>
      </w:pPr>
      <w:r w:rsidRPr="00841EA4">
        <w:rPr>
          <w:rFonts w:cstheme="minorHAnsi"/>
          <w:szCs w:val="24"/>
        </w:rPr>
        <w:t xml:space="preserve">W perspektywie długoterminowej, działania planowane do realizacji w ramach Priorytetu 7. </w:t>
      </w:r>
      <w:r w:rsidRPr="00841EA4">
        <w:rPr>
          <w:rFonts w:cstheme="minorHAnsi"/>
          <w:b/>
          <w:i/>
          <w:szCs w:val="24"/>
        </w:rPr>
        <w:t>FUNDUSZE EUROPEJSKIE NA RZECZ PARTNERSKIEGO POMORZA ZACHODNIEGO</w:t>
      </w:r>
      <w:r w:rsidRPr="00841EA4">
        <w:rPr>
          <w:rFonts w:cstheme="minorHAnsi"/>
          <w:szCs w:val="24"/>
        </w:rPr>
        <w:t>, cechują się neutralnym oddziaływaniem na jakość powietrza atmosferycznego</w:t>
      </w:r>
      <w:r w:rsidRPr="00841EA4">
        <w:rPr>
          <w:rFonts w:cstheme="minorHAnsi"/>
          <w:b/>
          <w:i/>
          <w:szCs w:val="24"/>
        </w:rPr>
        <w:t xml:space="preserve">. </w:t>
      </w:r>
      <w:r w:rsidRPr="00841EA4">
        <w:rPr>
          <w:rFonts w:cstheme="minorHAnsi"/>
          <w:szCs w:val="24"/>
        </w:rPr>
        <w:t>Ewentualne negatywne oddziaływani</w:t>
      </w:r>
      <w:r w:rsidRPr="007B1158">
        <w:rPr>
          <w:rFonts w:cstheme="minorHAnsi"/>
          <w:szCs w:val="24"/>
        </w:rPr>
        <w:t>e na powietrze atmosferyczne, może wystąpić na etapie realizacji działań o charakterze technicznym, związanym z prowadzeniem prac budowalnych w terenie. Oddziaływania te będą jednak ograniczone do miejsca prowadzenia robót budowlanych, modernizacyjnych lub rekultywacyjnych, będą miały charakter chwilowy i ustąpią w momencie zakończenia prac.</w:t>
      </w:r>
    </w:p>
    <w:p w14:paraId="505D86E0" w14:textId="77777777" w:rsidR="009F1607" w:rsidRDefault="009F1607" w:rsidP="009F1607">
      <w:pPr>
        <w:rPr>
          <w:rFonts w:cstheme="minorHAnsi"/>
          <w:szCs w:val="24"/>
        </w:rPr>
      </w:pPr>
      <w:r w:rsidRPr="007B1158">
        <w:rPr>
          <w:rFonts w:cstheme="minorHAnsi"/>
          <w:szCs w:val="24"/>
        </w:rPr>
        <w:t xml:space="preserve">Realizacja działań w ramach Priorytetu 8. </w:t>
      </w:r>
      <w:r w:rsidRPr="007B1158">
        <w:rPr>
          <w:rFonts w:cstheme="minorHAnsi"/>
          <w:b/>
          <w:i/>
          <w:szCs w:val="24"/>
        </w:rPr>
        <w:t xml:space="preserve">POMOC TECHNICZNA (EFRR) </w:t>
      </w:r>
      <w:r w:rsidRPr="007B1158">
        <w:rPr>
          <w:rFonts w:cstheme="minorHAnsi"/>
          <w:szCs w:val="24"/>
        </w:rPr>
        <w:t>oraz Priorytetu 9.</w:t>
      </w:r>
      <w:r w:rsidRPr="007B1158">
        <w:rPr>
          <w:rFonts w:cstheme="minorHAnsi"/>
          <w:b/>
          <w:i/>
          <w:szCs w:val="24"/>
        </w:rPr>
        <w:t xml:space="preserve"> POMOC TECHNICZNA (EFS+) </w:t>
      </w:r>
      <w:r w:rsidRPr="007B1158">
        <w:rPr>
          <w:rFonts w:cstheme="minorHAnsi"/>
          <w:szCs w:val="24"/>
        </w:rPr>
        <w:t>będzie miała neutralny wpływ na stan powietrza atmosferycznego. Realizacja działań w ramach powyższ</w:t>
      </w:r>
      <w:r>
        <w:rPr>
          <w:rFonts w:cstheme="minorHAnsi"/>
          <w:szCs w:val="24"/>
        </w:rPr>
        <w:t>ych</w:t>
      </w:r>
      <w:r w:rsidRPr="007B1158">
        <w:rPr>
          <w:rFonts w:cstheme="minorHAnsi"/>
          <w:szCs w:val="24"/>
        </w:rPr>
        <w:t xml:space="preserve"> priorytet</w:t>
      </w:r>
      <w:r>
        <w:rPr>
          <w:rFonts w:cstheme="minorHAnsi"/>
          <w:szCs w:val="24"/>
        </w:rPr>
        <w:t>ów</w:t>
      </w:r>
      <w:r w:rsidRPr="007B1158">
        <w:rPr>
          <w:rFonts w:cstheme="minorHAnsi"/>
          <w:szCs w:val="24"/>
        </w:rPr>
        <w:t>, nie będzie wiązała się z pośrednim lub bezpośrednim negatywnym oddziaływaniem na w/w elementy oraz nie pogorszy jakości powietrza atmosferycznego na terenie województwa.</w:t>
      </w:r>
    </w:p>
    <w:p w14:paraId="2F0C2547" w14:textId="77777777" w:rsidR="009F1607" w:rsidRPr="00784B1A" w:rsidRDefault="009F1607" w:rsidP="009F1607"/>
    <w:p w14:paraId="7FFEEFD4" w14:textId="77777777" w:rsidR="009F1607" w:rsidRDefault="009F1607" w:rsidP="009F1607">
      <w:pPr>
        <w:pStyle w:val="Nagwek1"/>
        <w:numPr>
          <w:ilvl w:val="1"/>
          <w:numId w:val="4"/>
        </w:numPr>
        <w:ind w:left="1134" w:hanging="774"/>
        <w:rPr>
          <w:sz w:val="24"/>
        </w:rPr>
      </w:pPr>
      <w:bookmarkStart w:id="28" w:name="_Toc80283933"/>
      <w:bookmarkStart w:id="29" w:name="_Toc82945175"/>
      <w:bookmarkStart w:id="30" w:name="_Toc102902706"/>
      <w:bookmarkStart w:id="31" w:name="_Toc104790635"/>
      <w:r w:rsidRPr="00655B1E">
        <w:rPr>
          <w:caps w:val="0"/>
          <w:sz w:val="32"/>
        </w:rPr>
        <w:t>PRZEWIDYWANE ZNACZĄCE ODDZIAŁYWANIA NA POWIERZCHNIĘ ZIEMI</w:t>
      </w:r>
      <w:bookmarkEnd w:id="28"/>
      <w:bookmarkEnd w:id="29"/>
      <w:bookmarkEnd w:id="30"/>
      <w:bookmarkEnd w:id="31"/>
    </w:p>
    <w:p w14:paraId="72438C74" w14:textId="77777777" w:rsidR="009F1607" w:rsidRPr="00982E23" w:rsidRDefault="009F1607" w:rsidP="009F1607">
      <w:pPr>
        <w:rPr>
          <w:szCs w:val="24"/>
        </w:rPr>
      </w:pPr>
      <w:r w:rsidRPr="00982E23">
        <w:rPr>
          <w:szCs w:val="24"/>
        </w:rPr>
        <w:t>Projekty realizowane w ramach projektu Programu FEPZ 2021-2027 w zależności od rodzaju planowanych przedsięwzięć oraz ich skali będą charakteryzowały się różnym stopniem oddziaływania na powierzchnię ziemi. W Programie, w ramach poszczególnych celów szczegółowych wskazano typy możliwych przedsięwzięć, co daje ogólny obraz o możliwych projektach inwestycyjnych. Zakłada się jednak, iż większość projektów inwestycyjnych realizowanych w ramach Programu przyczyniać się będzie do poprawy aktualnego stanu środowiska województwa zachodniopomorskiego, zwłaszcza tych związanych z rozwojem zielonych technologii i racjonalnym gospodarowaniem terenami.</w:t>
      </w:r>
    </w:p>
    <w:p w14:paraId="24702279" w14:textId="77777777" w:rsidR="009F1607" w:rsidRPr="00982E23" w:rsidRDefault="009F1607" w:rsidP="009F1607">
      <w:pPr>
        <w:rPr>
          <w:szCs w:val="24"/>
        </w:rPr>
      </w:pPr>
      <w:r w:rsidRPr="00982E23">
        <w:rPr>
          <w:szCs w:val="24"/>
        </w:rPr>
        <w:t xml:space="preserve">Analiza potencjalnych działań w ramach Priorytetu 1. </w:t>
      </w:r>
      <w:r w:rsidRPr="00BD525C">
        <w:rPr>
          <w:b/>
          <w:i/>
          <w:szCs w:val="24"/>
        </w:rPr>
        <w:t>FUNDUSZE EUROPEJSKIE NA RZECZ PRZEDSIĘBIORCZEGO POMORZA ZACHODNIEGO</w:t>
      </w:r>
      <w:r>
        <w:rPr>
          <w:b/>
          <w:i/>
          <w:szCs w:val="24"/>
        </w:rPr>
        <w:t xml:space="preserve"> </w:t>
      </w:r>
      <w:r w:rsidRPr="00982E23">
        <w:rPr>
          <w:szCs w:val="24"/>
        </w:rPr>
        <w:t xml:space="preserve">wiąże się z realizacją głównie projektów mających neutralny charakter względem stanu jakości środowiska i powierzchni ziemi i jakość gleb, gdyż ukierunkowane będą na ekonomiczne wsparcie przedsiębiorczości, innowacyjności, współpracy gospodarczej. Działania związane z rozwojem przedsiębiorstw mogą przybrać wymiar inwestycyjnych i związany z lokalizowaniem nowych obiektów budowlanych i instalacji a tym samym przekształceniem powierzchni ziemi, w szczególności w ramach celu szczegółowego </w:t>
      </w:r>
      <w:r w:rsidRPr="008D0CFC">
        <w:rPr>
          <w:i/>
          <w:szCs w:val="24"/>
        </w:rPr>
        <w:t>cs</w:t>
      </w:r>
      <w:r>
        <w:rPr>
          <w:szCs w:val="24"/>
        </w:rPr>
        <w:t xml:space="preserve"> </w:t>
      </w:r>
      <w:r w:rsidRPr="008D0CFC">
        <w:rPr>
          <w:i/>
          <w:szCs w:val="24"/>
        </w:rPr>
        <w:t>(iii)</w:t>
      </w:r>
      <w:r>
        <w:rPr>
          <w:i/>
          <w:szCs w:val="24"/>
        </w:rPr>
        <w:t>:</w:t>
      </w:r>
      <w:r w:rsidRPr="00982E23">
        <w:rPr>
          <w:szCs w:val="24"/>
        </w:rPr>
        <w:t xml:space="preserve"> </w:t>
      </w:r>
      <w:r w:rsidRPr="00982E23">
        <w:rPr>
          <w:i/>
          <w:szCs w:val="24"/>
        </w:rPr>
        <w:t xml:space="preserve">Wzmacnianie trwałego wzrostu i konkurencyjności MŚP oraz tworzenie miejsc pracy w MŚP, w tym poprzez inwestycje produkcyjne, </w:t>
      </w:r>
      <w:r w:rsidRPr="00982E23">
        <w:rPr>
          <w:szCs w:val="24"/>
        </w:rPr>
        <w:t xml:space="preserve">poprawy infrastruktury turystycznej oraz budowy infrastruktury rekreacyjnej. Dla zminimalizowania tego typu oddziaływania istotne jest wykorzystywanie w pierwszej kolejności terenów już przekształconych bądź tzw. „brown field". Lokalizacja tego typu nowych obszarów powinna być zgodna z dokumentami planistycznymi, jak również w zgodzie z zasadami zrównoważonego rozwoju dla zminimalizowania negatywnych skutków inwestycji na poziomie lokalnym. Oddziaływanie będzie miało wymiar krótkotrwały na etapie prowadzenia prac budowalnych. Działaniami minimalizującymi powinny być rozwiązania związane z zachowaniem zasady racjonalnego gospodarowania, minimalizacji stopnia i łagodzeniu skutków zasklepienia gleby, zapobiegania zanieczyszczeniu substancjami powodującymi ryzyko oraz remediacji oraz zachowaniu funkcji środowiskowych, w tym w kontekście adaptacji do zmian klimatu. </w:t>
      </w:r>
    </w:p>
    <w:p w14:paraId="7CE737D2" w14:textId="77777777" w:rsidR="009F1607" w:rsidRPr="00982E23" w:rsidRDefault="009F1607" w:rsidP="009F1607">
      <w:pPr>
        <w:rPr>
          <w:szCs w:val="24"/>
        </w:rPr>
      </w:pPr>
      <w:r w:rsidRPr="00982E23">
        <w:rPr>
          <w:szCs w:val="24"/>
        </w:rPr>
        <w:t>Program szczególnie akcentuje konieczność aktywizacji gospodarczej obszaru Specjalnej Strefy Włączenia (SSW)</w:t>
      </w:r>
      <w:r w:rsidRPr="00982E23">
        <w:rPr>
          <w:rStyle w:val="Odwoanieprzypisudolnego"/>
          <w:szCs w:val="24"/>
        </w:rPr>
        <w:footnoteReference w:id="21"/>
      </w:r>
      <w:r w:rsidRPr="00982E23">
        <w:rPr>
          <w:szCs w:val="24"/>
        </w:rPr>
        <w:t xml:space="preserve"> jak również na terenie obszarów funkcjonalnych– Koszalina i Szczecina zgodnie z Strategią Rozwoju Województwa Zachodniopomorskiego do roku 2030 oraz Polityką gospodarczą województwa . Inwestycje zatem co do zasady realizowane będą na obszary przekształconych i zurbanizowanych zatem wpływ działań na powierzchnię ziemi jest potencjalnie w większości neutralny.</w:t>
      </w:r>
    </w:p>
    <w:p w14:paraId="4D557883" w14:textId="77777777" w:rsidR="009F1607" w:rsidRPr="00982E23" w:rsidRDefault="009F1607" w:rsidP="009F1607">
      <w:pPr>
        <w:rPr>
          <w:szCs w:val="24"/>
        </w:rPr>
      </w:pPr>
      <w:r w:rsidRPr="00982E23">
        <w:rPr>
          <w:szCs w:val="24"/>
        </w:rPr>
        <w:t xml:space="preserve">W ramach Priorytetu 2. </w:t>
      </w:r>
      <w:r w:rsidRPr="00BD525C">
        <w:rPr>
          <w:b/>
          <w:i/>
          <w:szCs w:val="24"/>
        </w:rPr>
        <w:t xml:space="preserve">FUNDUSZE EUROPEJSKIE NA RZECZ </w:t>
      </w:r>
      <w:r>
        <w:rPr>
          <w:b/>
          <w:i/>
          <w:szCs w:val="24"/>
        </w:rPr>
        <w:t>ZIELONEGO</w:t>
      </w:r>
      <w:r w:rsidRPr="00BD525C">
        <w:rPr>
          <w:b/>
          <w:i/>
          <w:szCs w:val="24"/>
        </w:rPr>
        <w:t xml:space="preserve"> POMORZA ZACHODNIEGO</w:t>
      </w:r>
      <w:r w:rsidRPr="00982E23">
        <w:rPr>
          <w:b/>
          <w:i/>
          <w:szCs w:val="24"/>
        </w:rPr>
        <w:t xml:space="preserve"> </w:t>
      </w:r>
      <w:r w:rsidRPr="00982E23">
        <w:rPr>
          <w:szCs w:val="24"/>
        </w:rPr>
        <w:t xml:space="preserve">zaplanowano interwencje, które z założenia mają charakter prośrodowiskowy i w efekcie przyczyniać się będą do poprawy stanu środowiska naturalnego, oszczędności zasobów naturalnych, zwiększenia bioróżnorodności oraz poprawy bezpieczeństwa publicznego. W odniesieniu do zasobów gleb pozytywny charakter mają cele szczegółowe jak </w:t>
      </w:r>
      <w:r w:rsidRPr="00982E23">
        <w:rPr>
          <w:i/>
          <w:szCs w:val="24"/>
        </w:rPr>
        <w:t>cs (iv)</w:t>
      </w:r>
      <w:r>
        <w:rPr>
          <w:i/>
          <w:szCs w:val="24"/>
        </w:rPr>
        <w:t>:</w:t>
      </w:r>
      <w:r w:rsidRPr="00982E23">
        <w:rPr>
          <w:szCs w:val="24"/>
        </w:rPr>
        <w:t xml:space="preserve"> </w:t>
      </w:r>
      <w:r w:rsidRPr="00982E23">
        <w:rPr>
          <w:i/>
          <w:szCs w:val="24"/>
        </w:rPr>
        <w:t>Wspieranie przystosowania się do zmian klimatu i zapobiegania ryzyku związanemu z klęskami żywiołowymi i katastrofami, a także odporności, z uwzględnieniem podejścia ekosystemowego oraz cs (vii)</w:t>
      </w:r>
      <w:r>
        <w:rPr>
          <w:i/>
          <w:szCs w:val="24"/>
        </w:rPr>
        <w:t>:</w:t>
      </w:r>
      <w:r w:rsidRPr="00982E23">
        <w:rPr>
          <w:i/>
          <w:szCs w:val="24"/>
        </w:rPr>
        <w:t xml:space="preserve"> Wzmacnianie ochrony i zachowania przyrody, różnorodności biologicznej oraz zielonej infrastruktury, w tym na obszarach miejskich oraz ograniczanie wszelkich rodzajów zanieczyszczenia</w:t>
      </w:r>
      <w:r w:rsidRPr="00982E23">
        <w:rPr>
          <w:szCs w:val="24"/>
        </w:rPr>
        <w:t xml:space="preserve">, w ramach których realizowana będzie ochrona zasobów gleb oraz kształtowane będą prośrodowiskowe postawy społeczne. Neutralny charakter mogą wykazywać działania realizowane w ramach celu szczegółowego </w:t>
      </w:r>
      <w:r w:rsidRPr="008D0CFC">
        <w:rPr>
          <w:i/>
          <w:szCs w:val="24"/>
        </w:rPr>
        <w:t>cs (i)</w:t>
      </w:r>
      <w:r>
        <w:rPr>
          <w:szCs w:val="24"/>
        </w:rPr>
        <w:t xml:space="preserve">: </w:t>
      </w:r>
      <w:r w:rsidRPr="00982E23">
        <w:rPr>
          <w:i/>
          <w:szCs w:val="24"/>
        </w:rPr>
        <w:t>Wspieranie efektywności energetycznej i redukcji emisji gazów cieplarnianych</w:t>
      </w:r>
      <w:r w:rsidRPr="00982E23">
        <w:rPr>
          <w:szCs w:val="24"/>
        </w:rPr>
        <w:t>, który dotyczyć będzie w głównej mierze prac budowlanych związanych z kompleksową modernizacją energetyczną istniejących budynków i nie wiąż</w:t>
      </w:r>
      <w:r>
        <w:rPr>
          <w:szCs w:val="24"/>
        </w:rPr>
        <w:t>e</w:t>
      </w:r>
      <w:r w:rsidRPr="00982E23">
        <w:rPr>
          <w:szCs w:val="24"/>
        </w:rPr>
        <w:t xml:space="preserve"> się z przekształceniem powierzchni ziemi.</w:t>
      </w:r>
    </w:p>
    <w:p w14:paraId="62FD11EE" w14:textId="77777777" w:rsidR="009F1607" w:rsidRPr="00982E23" w:rsidRDefault="009F1607" w:rsidP="009F1607">
      <w:pPr>
        <w:rPr>
          <w:szCs w:val="24"/>
        </w:rPr>
      </w:pPr>
      <w:r w:rsidRPr="00982E23">
        <w:rPr>
          <w:szCs w:val="24"/>
        </w:rPr>
        <w:t>Potencjalnie negatywny wpływ na zasoby powierzchni ziemi należy upatrywać się w realizacji działań inwestycyjnych zmierzających do budowy nowych obiektów i infrastruktury w ramach celów szczegółowych:</w:t>
      </w:r>
    </w:p>
    <w:p w14:paraId="21A5B739" w14:textId="77777777" w:rsidR="009F1607" w:rsidRPr="00982E23" w:rsidRDefault="009F1607" w:rsidP="00622DC9">
      <w:pPr>
        <w:pStyle w:val="Akapitzlist"/>
        <w:numPr>
          <w:ilvl w:val="0"/>
          <w:numId w:val="29"/>
        </w:numPr>
        <w:rPr>
          <w:i/>
          <w:szCs w:val="24"/>
        </w:rPr>
      </w:pPr>
      <w:r w:rsidRPr="00982E23">
        <w:rPr>
          <w:i/>
          <w:szCs w:val="24"/>
        </w:rPr>
        <w:t>cs (i) Wspieranie efektywności energetycznej i redukcji emisji gazów cieplarnianych</w:t>
      </w:r>
    </w:p>
    <w:p w14:paraId="6D72BE6D" w14:textId="77777777" w:rsidR="009F1607" w:rsidRPr="00982E23" w:rsidRDefault="009F1607" w:rsidP="00622DC9">
      <w:pPr>
        <w:pStyle w:val="Akapitzlist"/>
        <w:numPr>
          <w:ilvl w:val="0"/>
          <w:numId w:val="29"/>
        </w:numPr>
        <w:rPr>
          <w:i/>
          <w:szCs w:val="24"/>
        </w:rPr>
      </w:pPr>
      <w:r w:rsidRPr="00982E23">
        <w:rPr>
          <w:i/>
          <w:szCs w:val="24"/>
        </w:rPr>
        <w:t>cs (ii) Wspieranie energii odnawialnej zgodnie z dyrektywą (UE) 2018/2001, w tym określonymi w niej kryteriami zrównoważonego rozwoju</w:t>
      </w:r>
    </w:p>
    <w:p w14:paraId="660048B1" w14:textId="77777777" w:rsidR="009F1607" w:rsidRPr="00982E23" w:rsidRDefault="009F1607" w:rsidP="00622DC9">
      <w:pPr>
        <w:pStyle w:val="Akapitzlist"/>
        <w:numPr>
          <w:ilvl w:val="0"/>
          <w:numId w:val="29"/>
        </w:numPr>
        <w:rPr>
          <w:i/>
          <w:szCs w:val="24"/>
        </w:rPr>
      </w:pPr>
      <w:r w:rsidRPr="00982E23">
        <w:rPr>
          <w:i/>
          <w:szCs w:val="24"/>
        </w:rPr>
        <w:t>cs (v) Wspieranie dostępu do wody oraz zrównoważonej gospodarki wodnej</w:t>
      </w:r>
    </w:p>
    <w:p w14:paraId="33F19A20" w14:textId="77777777" w:rsidR="009F1607" w:rsidRPr="00982E23" w:rsidRDefault="009F1607" w:rsidP="00622DC9">
      <w:pPr>
        <w:pStyle w:val="Akapitzlist"/>
        <w:numPr>
          <w:ilvl w:val="0"/>
          <w:numId w:val="29"/>
        </w:numPr>
        <w:rPr>
          <w:i/>
          <w:szCs w:val="24"/>
        </w:rPr>
      </w:pPr>
      <w:r w:rsidRPr="00982E23">
        <w:rPr>
          <w:i/>
          <w:szCs w:val="24"/>
        </w:rPr>
        <w:t>cs (vi) Wspieranie transformacji w kierunku gospodarki o obiegu zamkniętym i gospodarki zasobooszczędnej.</w:t>
      </w:r>
    </w:p>
    <w:p w14:paraId="56B27FB6" w14:textId="77777777" w:rsidR="009F1607" w:rsidRPr="00982E23" w:rsidRDefault="009F1607" w:rsidP="009F1607">
      <w:pPr>
        <w:rPr>
          <w:szCs w:val="24"/>
        </w:rPr>
      </w:pPr>
      <w:r w:rsidRPr="00982E23">
        <w:rPr>
          <w:szCs w:val="24"/>
        </w:rPr>
        <w:t>Są to przedsięwzięcia, które mają charakter inwestycyjny i wiążą się z pracami ziemnymi i oddziaływaniem na powierzchnię ziemi i gleby. Oddziaływania te będą mieć charakter krótkotrwały związan</w:t>
      </w:r>
      <w:r>
        <w:rPr>
          <w:szCs w:val="24"/>
        </w:rPr>
        <w:t>y</w:t>
      </w:r>
      <w:r w:rsidRPr="00982E23">
        <w:rPr>
          <w:szCs w:val="24"/>
        </w:rPr>
        <w:t xml:space="preserve"> ze zmianą ukształtowania i naruszaniem powierzchni terenu. W kontekście długoterminowych oddziaływań będzie to trwałe przekształcenie powierzchni ziemi, naturalnej struktury gleby na trasie wykopów wynikające z trwałego posadowienia obiektów i infrastruktury energetyki odnawialnej, ciepła systemowego, gospodarki odpadami, wodno-ściekowej. Minimalizacja tego typu oddziaływań nastąpi na etapie budowy poprzez m.in. zapewnienie racjonalnego wykorzystania przemieszczanych lub usuwanych mas ziemnych i skalnych oraz wykorzystania warstwy próchnicznej gleb, głównie w kierunku odtworzenia i ulepszania gleb. Istotnym działaniem będzie dostosowanie rozwiązań projektowych do ukształtowania terenu oraz uwzględnienie rozwiązań technologicznych korzystnych dla środowiska przyrodniczego na każdym etapie inwestycji i eksploatacji nowych obiektów.</w:t>
      </w:r>
    </w:p>
    <w:p w14:paraId="18DA4AE7" w14:textId="77777777" w:rsidR="009F1607" w:rsidRPr="00982E23" w:rsidRDefault="009F1607" w:rsidP="009F1607">
      <w:pPr>
        <w:rPr>
          <w:szCs w:val="24"/>
        </w:rPr>
      </w:pPr>
      <w:r w:rsidRPr="00982E23">
        <w:rPr>
          <w:szCs w:val="24"/>
        </w:rPr>
        <w:t>Podobne potencjalne oddziaływania związane z inwestycjami, w ramach których przewidziana jest budowa obiektów i infrastruktury energetyki odnawialnej jak i gospodarki odpadami na powierzchnię ziemi (np. infrastruktura związana z selektywnym zbieraniem odpadów oraz ich zagospodarowaniem, instalacje służących procesom odzysku, zwiększanie pojemności kwater do utylizacji azbestu). Projekty te dotyczyć będą typowych prac budowlanych, z czym związane są wykopy, nasypy i posadowienie nowych obiektów budowalnych. Po zakończeniu budowy zajęte tereny powinny być uporządkowane, a oddziaływania na tym etapie należy uznać jako krótkotrwałe. Istotne jest, iż przedsięwzięcia te powinny zostać zaplanowane w sposób zapewniający pełną zgodność z obowiązującymi przepisami i każdorazowo podlegać indywidualnej ocenie oddziaływania na środowisko (są przedsięwzięciami charakteryzowanymi, w zależności od mocy, jako mogące zawsze znacząco oddziaływać na środowisko lub mogące potencjalnie znacząco oddziaływać na środowisko), a zastosowane rozwiązania projektowe powinny minimalizować negatywny wpływ na powierzchnię ziemi. Dodatkowo, w przypadku stwierdzenia historycznego zanieczyszczenia ziemi władający gruntem zobowiązany jest do przeprowadzenia remediacji czyli np. usunięcia lub zmniejszenia ilości substancji powodujących ryzyko w taki sposób, aby teren zanieczyszczony był bezpieczny dla zdrowia ludzi i stanu środowiska. Działanie takie powinno być poprzedzone badaniami terenu zrealizowanymi przez akredytowaną jednostkę, sporządzenie projektu planu remediacji i uzgodnienie go z Regionalnym Dyrektorem Ochrony Środowiska w Szczecinie oraz uzyskanie</w:t>
      </w:r>
      <w:r>
        <w:rPr>
          <w:szCs w:val="24"/>
        </w:rPr>
        <w:t>m</w:t>
      </w:r>
      <w:r w:rsidRPr="00982E23">
        <w:rPr>
          <w:szCs w:val="24"/>
        </w:rPr>
        <w:t xml:space="preserve"> decyzji określającej m.in.: granice terenu do wykonania prac remediacyjnych, nazwy substancji powodujących ryzyko, ich wartość oraz poziom, do którego doprowadzi remediacja, sposób prowadzenia remediacji, termin rozpoczęcia i zakończenia remediacji oraz sposób potwierdzenia przeprowadzonych prac i ich efektów. Dodatkowo, NIK</w:t>
      </w:r>
      <w:r w:rsidRPr="00982E23">
        <w:rPr>
          <w:rStyle w:val="Odwoanieprzypisudolnego"/>
          <w:szCs w:val="24"/>
        </w:rPr>
        <w:footnoteReference w:id="22"/>
      </w:r>
      <w:r w:rsidRPr="00982E23">
        <w:rPr>
          <w:szCs w:val="24"/>
        </w:rPr>
        <w:t>rekomenduje uwzględnianie w wydawanych decyzjach o środowiskowych uwarunkowaniach informacji związanych z potencjalnymi historycznymi zanieczyszczeniami powierzchni ziemi lub historycznymi zanieczyszczeniami powierzchni ziemi.</w:t>
      </w:r>
    </w:p>
    <w:p w14:paraId="097834F9" w14:textId="77777777" w:rsidR="009F1607" w:rsidRPr="00982E23" w:rsidRDefault="009F1607" w:rsidP="009F1607">
      <w:pPr>
        <w:rPr>
          <w:szCs w:val="24"/>
        </w:rPr>
      </w:pPr>
      <w:r w:rsidRPr="00982E23">
        <w:rPr>
          <w:szCs w:val="24"/>
        </w:rPr>
        <w:t xml:space="preserve">Realizacja działań w ramach Priorytetu 3. </w:t>
      </w:r>
      <w:r w:rsidRPr="00BD525C">
        <w:rPr>
          <w:b/>
          <w:i/>
          <w:szCs w:val="24"/>
        </w:rPr>
        <w:t>FUNDUSZE EUROPEJSKIE NA RZECZ MOBILNEGO POMORZA ZACHODNIEGO</w:t>
      </w:r>
      <w:r w:rsidRPr="00982E23">
        <w:rPr>
          <w:b/>
          <w:i/>
          <w:szCs w:val="24"/>
        </w:rPr>
        <w:t xml:space="preserve"> </w:t>
      </w:r>
      <w:r w:rsidRPr="00982E23">
        <w:rPr>
          <w:szCs w:val="24"/>
        </w:rPr>
        <w:t>mając</w:t>
      </w:r>
      <w:r>
        <w:rPr>
          <w:szCs w:val="24"/>
        </w:rPr>
        <w:t>ych</w:t>
      </w:r>
      <w:r w:rsidRPr="00982E23">
        <w:rPr>
          <w:szCs w:val="24"/>
        </w:rPr>
        <w:t xml:space="preserve"> na celu wspieranie zrównoważonej mobilności miejskiej w kierunku zeroemisyjnym w większości w aspektach związanych z ochroną powierzchni ziemi i gleb ma pozytywny wpływ ze względu na ograniczenie emisji zanieczyszczeń. Potencjalnym negatywnym wpływem mogą charakteryzować się projekty związane z budową i przebudową infrastruktury transportu publicznego (np. infrastruktura punktowa: przystanki, wysepki, centra przesiadkowe, dworce intermodalne, obiekty P&amp;R, B&amp;R, ścieżki rowerowe), które związane będą z przekształceniem powierzchni ziemi i zmianą użytkowania i funkcji terenu. Będą to oddziaływania bezpośrednie o charakterze oddziaływań lokalnych i chwilowych, które ustąpią z chwilą zakończenia inwestycji. Należy założyć, że projekty realizowane będą na terenach dotychczas zurbanizowanych i skomunikowanych a projekty związane z budową i przebudową infrastruktury transportu publicznego generalnie będą mieć pośrednio docelowy pozytywny wpływ ze względu na obniżenie opadu na powierzchnię terenu zanieczyszczeń wynikających z emisji pochodzących ze środków transportu i ograniczenie indywidualnych przejazdów. </w:t>
      </w:r>
    </w:p>
    <w:p w14:paraId="6394D8A5" w14:textId="77777777" w:rsidR="009F1607" w:rsidRPr="00982E23" w:rsidRDefault="009F1607" w:rsidP="009F1607">
      <w:pPr>
        <w:rPr>
          <w:rFonts w:cstheme="minorHAnsi"/>
          <w:szCs w:val="24"/>
        </w:rPr>
      </w:pPr>
      <w:r w:rsidRPr="00982E23">
        <w:rPr>
          <w:szCs w:val="24"/>
        </w:rPr>
        <w:t xml:space="preserve">Realizacja Priorytetu 4. </w:t>
      </w:r>
      <w:r w:rsidRPr="00BD525C">
        <w:rPr>
          <w:b/>
          <w:i/>
          <w:szCs w:val="24"/>
        </w:rPr>
        <w:t>FUNDUSZE EUROPEJSKIE NA RZECZ POŁĄCZONEGO POMORZA ZACHODNIEGO</w:t>
      </w:r>
      <w:r w:rsidRPr="00982E23">
        <w:rPr>
          <w:b/>
          <w:i/>
          <w:szCs w:val="24"/>
        </w:rPr>
        <w:t xml:space="preserve"> </w:t>
      </w:r>
      <w:r w:rsidRPr="00982E23">
        <w:rPr>
          <w:rFonts w:cstheme="minorHAnsi"/>
          <w:szCs w:val="24"/>
        </w:rPr>
        <w:t xml:space="preserve">w obszarze </w:t>
      </w:r>
      <w:r w:rsidRPr="007D023E">
        <w:rPr>
          <w:rFonts w:cstheme="minorHAnsi"/>
          <w:i/>
          <w:szCs w:val="24"/>
        </w:rPr>
        <w:t>cs (ii)</w:t>
      </w:r>
      <w:r>
        <w:rPr>
          <w:rFonts w:cstheme="minorHAnsi"/>
          <w:i/>
          <w:szCs w:val="24"/>
        </w:rPr>
        <w:t>:</w:t>
      </w:r>
      <w:r w:rsidRPr="00982E23">
        <w:rPr>
          <w:rFonts w:cstheme="minorHAnsi"/>
          <w:szCs w:val="24"/>
        </w:rPr>
        <w:t xml:space="preserve"> </w:t>
      </w:r>
      <w:r w:rsidRPr="00982E23">
        <w:rPr>
          <w:rFonts w:cstheme="minorHAnsi"/>
          <w:i/>
          <w:szCs w:val="24"/>
        </w:rPr>
        <w:t>Rozwój i udoskonalenie zrównoważonej, odpornej na zmiany klimatu, inteligentnej i intermodalnej mobilności na poziomie krajowym, regionalnym i lokalnym, w tym poprawę dostępu do TEN-T oraz mobilności transgranicznej</w:t>
      </w:r>
      <w:r w:rsidRPr="00982E23">
        <w:rPr>
          <w:rFonts w:cstheme="minorHAnsi"/>
          <w:szCs w:val="24"/>
        </w:rPr>
        <w:t>, to z uwagi na ich charakter związane ze zmiana przebiegu dróg wojewódzkich poprzez realizację obwodnic, uzupełnienie połączeń drogowych klasyfikowane są jako przedsięwzięcia mogące zawsze lub potencjalnie znacząco oddziaływać na środowisko</w:t>
      </w:r>
      <w:r w:rsidRPr="00982E23">
        <w:rPr>
          <w:rStyle w:val="Odwoanieprzypisudolnego"/>
          <w:szCs w:val="24"/>
        </w:rPr>
        <w:footnoteReference w:id="23"/>
      </w:r>
      <w:r w:rsidRPr="00982E23">
        <w:rPr>
          <w:rFonts w:cstheme="minorHAnsi"/>
          <w:szCs w:val="24"/>
        </w:rPr>
        <w:t xml:space="preserve">. Tego typu przedsięwzięcia pomimo, iż są niezbędne dla zaspokojenia potrzeb społecznych oraz rozwoju gospodarczego regionu, to jednak wiążą się z negatywnym wpływem na poszczególne komponenty środowiska naturalnego. Realizacja działań w ramach w/w </w:t>
      </w:r>
      <w:r w:rsidRPr="00AA0EAA">
        <w:rPr>
          <w:rFonts w:cstheme="minorHAnsi"/>
          <w:i/>
          <w:szCs w:val="24"/>
        </w:rPr>
        <w:t>cs (ii)</w:t>
      </w:r>
      <w:r w:rsidRPr="00AA0EAA">
        <w:rPr>
          <w:rFonts w:cstheme="minorHAnsi"/>
          <w:szCs w:val="24"/>
        </w:rPr>
        <w:t>,</w:t>
      </w:r>
      <w:r w:rsidRPr="00982E23">
        <w:rPr>
          <w:rFonts w:cstheme="minorHAnsi"/>
          <w:szCs w:val="24"/>
        </w:rPr>
        <w:t xml:space="preserve"> obejmujących</w:t>
      </w:r>
      <w:r w:rsidRPr="00982E23">
        <w:rPr>
          <w:szCs w:val="24"/>
        </w:rPr>
        <w:t xml:space="preserve"> inwestycje ukierunkowan</w:t>
      </w:r>
      <w:r>
        <w:rPr>
          <w:szCs w:val="24"/>
        </w:rPr>
        <w:t>e</w:t>
      </w:r>
      <w:r w:rsidRPr="00982E23">
        <w:rPr>
          <w:szCs w:val="24"/>
        </w:rPr>
        <w:t xml:space="preserve"> na integrację transportu publicznego, zmniejszenie ruchu samochodowego w miastach, w tym budowę obwodnic</w:t>
      </w:r>
      <w:r w:rsidRPr="00982E23">
        <w:rPr>
          <w:rFonts w:cstheme="minorHAnsi"/>
          <w:szCs w:val="24"/>
        </w:rPr>
        <w:t xml:space="preserve"> będzie wiązała się występowaniem dwóch typów oddziaływań. Pierwszy rodzaj oddziaływań wystąpi na etapie realizacji inwestycji i będą to oddziaływania bezpośrednie o charakterze lokalnym i chwilowym, które ustąpią z chwilą zakończenia prac budowlanych (prac inwestycyjnych). Drugi typ oddziaływań to oddziaływania negatywne długoterminowe związane z powstaniem w efekcie realizacji inwestycji liniowych źródeł zanieczyszczeń powietrza. Oddziaływania na etapie późniejszej eksploatacji infrastruktury drogowej związane będą z emisją zanieczyszczeń wprowadzanych przez pojazdy z silnikami spalinowymi (emisja spalin oraz unos zanieczyszczeń z dróg </w:t>
      </w:r>
      <w:r>
        <w:rPr>
          <w:rFonts w:cstheme="minorHAnsi"/>
          <w:szCs w:val="24"/>
        </w:rPr>
        <w:t>w</w:t>
      </w:r>
      <w:r w:rsidRPr="00982E23">
        <w:rPr>
          <w:rFonts w:cstheme="minorHAnsi"/>
          <w:szCs w:val="24"/>
        </w:rPr>
        <w:t xml:space="preserve"> efekcie ruchu pojazdów). Oddziaływania te będą miały charakter oddziaływań negatywnych, długoterminowych o charakterze zarówno lokalnym jak i regionalnym.</w:t>
      </w:r>
    </w:p>
    <w:p w14:paraId="604827E0" w14:textId="77777777" w:rsidR="009F1607" w:rsidRPr="00982E23" w:rsidRDefault="009F1607" w:rsidP="009F1607">
      <w:pPr>
        <w:rPr>
          <w:rFonts w:cstheme="minorHAnsi"/>
          <w:szCs w:val="24"/>
        </w:rPr>
      </w:pPr>
      <w:r w:rsidRPr="00982E23">
        <w:rPr>
          <w:szCs w:val="24"/>
        </w:rPr>
        <w:t xml:space="preserve">W inwestycjach tych dla ograniczenia do minimum ich potencjalnego oddziaływania oraz gwarancji optymalnej ochrony środowiska przyrodniczego, zwłaszcza powierzchni ziemi, zgodnie z zasadą przezorności – należy założyć wystąpienie istotnych negatywnych oddziaływań, jak również przewidzieć działania minimalizujące. </w:t>
      </w:r>
      <w:r w:rsidRPr="00982E23">
        <w:rPr>
          <w:rFonts w:cstheme="minorHAnsi"/>
          <w:szCs w:val="24"/>
        </w:rPr>
        <w:t>Bezpośrednie oddziaływanie na powierzchnię ziemi będzie wiązało się z: tworzeniem wykopów, wydobywaniem ziemi i jej przemieszczaniem, co skutkuje wpływem na podłoże czy przekształceniem powierzchni ziemi. Oddziaływanie bezpośrednie będzie miało charakter oddziaływania lokalnego i chwilowego, które ustąpi z chwilą zakończenia inwestycji. Wszelkie zmiany stanu powierzchni ziemi powinny zostać przywrócone do stanu pierwotnego. Oddziaływania pośrednie inwestycji w ramach tego priorytetu będą wiązały się ze wzmożonym ruchem drogowym, co przyczyni się do powstania liniowych źródeł zanieczyszczeń powierzchni ziemi. Istotne jest zachowanie funkcji środowiskowych oraz stosowanie zieleni izolacyjnej zmniejszającej stopień zanieczyszczenia powietrza i sprawnego odwodnienia z rozwiązaniami podczyszczającymi wody opadowe i roztopowe.</w:t>
      </w:r>
    </w:p>
    <w:p w14:paraId="4B2EB8D5" w14:textId="77777777" w:rsidR="009F1607" w:rsidRPr="00982E23" w:rsidRDefault="009F1607" w:rsidP="009F1607">
      <w:pPr>
        <w:rPr>
          <w:szCs w:val="24"/>
        </w:rPr>
      </w:pPr>
      <w:r w:rsidRPr="00982E23">
        <w:rPr>
          <w:szCs w:val="24"/>
        </w:rPr>
        <w:t xml:space="preserve">Analiza potencjalnych działań w ramach Priorytetu 5. </w:t>
      </w:r>
      <w:r w:rsidRPr="00BD525C">
        <w:rPr>
          <w:b/>
          <w:i/>
          <w:szCs w:val="24"/>
        </w:rPr>
        <w:t>FUNDUSZE EUROPEJSKIE NA RZECZ PRZYJAZNEGO MIESZKANKOM I MIESZKAŃCOM POMORZA ZACHODNIEGO</w:t>
      </w:r>
      <w:r>
        <w:rPr>
          <w:b/>
          <w:i/>
          <w:szCs w:val="24"/>
        </w:rPr>
        <w:t xml:space="preserve"> </w:t>
      </w:r>
      <w:r w:rsidRPr="00982E23">
        <w:rPr>
          <w:szCs w:val="24"/>
        </w:rPr>
        <w:t xml:space="preserve">wykazała, że </w:t>
      </w:r>
      <w:r>
        <w:rPr>
          <w:szCs w:val="24"/>
        </w:rPr>
        <w:t xml:space="preserve">realizacja </w:t>
      </w:r>
      <w:r w:rsidRPr="00982E23">
        <w:rPr>
          <w:szCs w:val="24"/>
        </w:rPr>
        <w:t>przedsięwzięć z uwagi na ich społeczno-edukacyjny charakter nie będzie wiązała się z negatywnym wpływem na środowisko. Potencjalne presje na środowisko wystąpić mogą podczas realizacji obiektów budo</w:t>
      </w:r>
      <w:r>
        <w:rPr>
          <w:szCs w:val="24"/>
        </w:rPr>
        <w:t xml:space="preserve">wlanych służących zaspokajania </w:t>
      </w:r>
      <w:r w:rsidRPr="00982E23">
        <w:rPr>
          <w:szCs w:val="24"/>
        </w:rPr>
        <w:t xml:space="preserve">potrzeb społecznych w dziedzinie edukacji, pomocy społecznej, mieszkalnictwa, kultury, zdrowia. Projekty inwestycyjne związane są z realizacją punktowych obiektów budowlanych na potrzeby rozwoju usług dla mieszkańców województwa </w:t>
      </w:r>
      <w:r>
        <w:rPr>
          <w:szCs w:val="24"/>
        </w:rPr>
        <w:t xml:space="preserve">wystąpić mogą </w:t>
      </w:r>
      <w:r w:rsidRPr="00982E23">
        <w:rPr>
          <w:szCs w:val="24"/>
        </w:rPr>
        <w:t>w ramach następujących celów szczegółowych:</w:t>
      </w:r>
    </w:p>
    <w:p w14:paraId="5A7591E7" w14:textId="77777777" w:rsidR="009F1607" w:rsidRPr="00982E23" w:rsidRDefault="009F1607" w:rsidP="00622DC9">
      <w:pPr>
        <w:pStyle w:val="Akapitzlist"/>
        <w:numPr>
          <w:ilvl w:val="0"/>
          <w:numId w:val="27"/>
        </w:numPr>
        <w:rPr>
          <w:i/>
          <w:szCs w:val="24"/>
        </w:rPr>
      </w:pPr>
      <w:r w:rsidRPr="00982E23">
        <w:rPr>
          <w:i/>
          <w:szCs w:val="24"/>
        </w:rPr>
        <w:t>cs</w:t>
      </w:r>
      <w:r>
        <w:rPr>
          <w:i/>
          <w:szCs w:val="24"/>
        </w:rPr>
        <w:t>:</w:t>
      </w:r>
      <w:r w:rsidRPr="00982E23">
        <w:rPr>
          <w:i/>
          <w:szCs w:val="24"/>
        </w:rPr>
        <w:t xml:space="preserve"> (ii)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w:t>
      </w:r>
    </w:p>
    <w:p w14:paraId="6B6B328B" w14:textId="77777777" w:rsidR="009F1607" w:rsidRPr="00982E23" w:rsidRDefault="009F1607" w:rsidP="00622DC9">
      <w:pPr>
        <w:pStyle w:val="Akapitzlist"/>
        <w:numPr>
          <w:ilvl w:val="0"/>
          <w:numId w:val="27"/>
        </w:numPr>
        <w:rPr>
          <w:i/>
          <w:szCs w:val="24"/>
        </w:rPr>
      </w:pPr>
      <w:r w:rsidRPr="00982E23">
        <w:rPr>
          <w:i/>
          <w:szCs w:val="24"/>
        </w:rPr>
        <w:t>cs</w:t>
      </w:r>
      <w:r>
        <w:rPr>
          <w:i/>
          <w:szCs w:val="24"/>
        </w:rPr>
        <w:t>:</w:t>
      </w:r>
      <w:r w:rsidRPr="00982E23">
        <w:rPr>
          <w:i/>
          <w:szCs w:val="24"/>
        </w:rPr>
        <w:t xml:space="preserve"> (iii) Wspieranie włączenia społeczno-gospodarczego społeczności marginalizowanych, gospodarstw domowych o niskich dochodach oraz grup w niekorzystnej sytuacji, w tym osób o szczególnych potrzebach, dzięki zintegrowanym działaniom obejmującym usługi mieszkaniowe i usługi społeczne</w:t>
      </w:r>
    </w:p>
    <w:p w14:paraId="0A7EE05B" w14:textId="77777777" w:rsidR="009F1607" w:rsidRPr="00982E23" w:rsidRDefault="009F1607" w:rsidP="00622DC9">
      <w:pPr>
        <w:pStyle w:val="Akapitzlist"/>
        <w:numPr>
          <w:ilvl w:val="0"/>
          <w:numId w:val="27"/>
        </w:numPr>
        <w:rPr>
          <w:i/>
          <w:szCs w:val="24"/>
        </w:rPr>
      </w:pPr>
      <w:r w:rsidRPr="00982E23">
        <w:rPr>
          <w:i/>
          <w:szCs w:val="24"/>
        </w:rPr>
        <w:t>cs: (</w:t>
      </w:r>
      <w:r>
        <w:rPr>
          <w:i/>
          <w:szCs w:val="24"/>
        </w:rPr>
        <w:t>iv</w:t>
      </w:r>
      <w:r w:rsidRPr="00982E23">
        <w:rPr>
          <w:i/>
          <w:szCs w:val="24"/>
        </w:rPr>
        <w:t xml:space="preserve">) </w:t>
      </w:r>
      <w:r w:rsidRPr="00FA3BA4">
        <w:rPr>
          <w:i/>
          <w:szCs w:val="24"/>
        </w:rPr>
        <w:t>Wspieranie integracji społeczno-gospodarczej obywateli państw trzecich, w tym migrantów, dzięki zintegrowanym działaniom obejmującym usługi mieszkaniowe i usługi społeczne</w:t>
      </w:r>
    </w:p>
    <w:p w14:paraId="4071BF3A" w14:textId="77777777" w:rsidR="009F1607" w:rsidRPr="00982E23" w:rsidRDefault="009F1607" w:rsidP="00622DC9">
      <w:pPr>
        <w:pStyle w:val="Akapitzlist"/>
        <w:numPr>
          <w:ilvl w:val="0"/>
          <w:numId w:val="27"/>
        </w:numPr>
        <w:rPr>
          <w:i/>
          <w:szCs w:val="24"/>
        </w:rPr>
      </w:pPr>
      <w:r w:rsidRPr="00982E23">
        <w:rPr>
          <w:i/>
          <w:szCs w:val="24"/>
        </w:rPr>
        <w:t>cs: (v): Zapewnianie równego dostępu do opieki zdrowotnej i wspieranie odporności systemów opieki zdrowotnej, w tym podstawowej opieki zdrowotnej, oraz wspieranie przechodzenia od opieki instytucjonalnej do opieki rodzinnej i środowiskowej</w:t>
      </w:r>
    </w:p>
    <w:p w14:paraId="66C1E870" w14:textId="77777777" w:rsidR="009F1607" w:rsidRPr="00982E23" w:rsidRDefault="009F1607" w:rsidP="00622DC9">
      <w:pPr>
        <w:pStyle w:val="Akapitzlist"/>
        <w:numPr>
          <w:ilvl w:val="0"/>
          <w:numId w:val="27"/>
        </w:numPr>
        <w:rPr>
          <w:i/>
          <w:szCs w:val="24"/>
        </w:rPr>
      </w:pPr>
      <w:r w:rsidRPr="00982E23">
        <w:rPr>
          <w:i/>
          <w:szCs w:val="24"/>
        </w:rPr>
        <w:t>cs: (vi): Wzmocnienie roli kultury i turystyki w rozwoju gospodarczym, włączeniu społecznym i innowacjach społecznych</w:t>
      </w:r>
    </w:p>
    <w:p w14:paraId="37FEFEC2" w14:textId="77777777" w:rsidR="009F1607" w:rsidRPr="00982E23" w:rsidRDefault="009F1607" w:rsidP="009F1607">
      <w:pPr>
        <w:rPr>
          <w:szCs w:val="24"/>
          <w:highlight w:val="cyan"/>
        </w:rPr>
      </w:pPr>
      <w:r w:rsidRPr="00982E23">
        <w:rPr>
          <w:szCs w:val="24"/>
        </w:rPr>
        <w:t xml:space="preserve">Potencjalne oddziaływanie na środowisko można uznać jako neutralne z uwagi na fakt, iż dotyczy w większości terenu już zainwestowanego i zurbanizowanego. Oddziaływanie to wystąpi na etapie realizacji, i w wyniku bezpośredniego przekształcania powierzchni ziemi </w:t>
      </w:r>
      <w:r>
        <w:rPr>
          <w:szCs w:val="24"/>
        </w:rPr>
        <w:t>jako efekt</w:t>
      </w:r>
      <w:r w:rsidRPr="00982E23">
        <w:rPr>
          <w:szCs w:val="24"/>
        </w:rPr>
        <w:t xml:space="preserve"> prac ziemnych na etapie budowy. Działania minimalizujące dla ograniczenia potencjalnego negatywnego wpływu to odpowiednia organizacja placu budowy, stosowanie sprawnych urządzeń i maszyn budowlanych. Realizacja wskazanych powyżej działań będzie się wiązała z wystąpieniem na etapie realizacji projektu </w:t>
      </w:r>
      <w:r>
        <w:rPr>
          <w:szCs w:val="24"/>
        </w:rPr>
        <w:t xml:space="preserve">oddziaływań </w:t>
      </w:r>
      <w:r w:rsidRPr="00982E23">
        <w:rPr>
          <w:szCs w:val="24"/>
        </w:rPr>
        <w:t>krótkoterminowych o charakterze lokalnym, które ustąpią w chwili zakończenia prac inwestycyjnych. Istotne będzie również zapobieganie zasklepieniu gruntu na terenie gdzie nie jest to konieczne, zarówno na etapie budowy jak i użytkowania</w:t>
      </w:r>
      <w:r>
        <w:rPr>
          <w:szCs w:val="24"/>
        </w:rPr>
        <w:t>,</w:t>
      </w:r>
      <w:r w:rsidRPr="00982E23">
        <w:rPr>
          <w:szCs w:val="24"/>
        </w:rPr>
        <w:t xml:space="preserve"> wpływającym na jakość gleb.</w:t>
      </w:r>
    </w:p>
    <w:p w14:paraId="4C802BCC" w14:textId="77777777" w:rsidR="009F1607" w:rsidRPr="00982E23" w:rsidRDefault="009F1607" w:rsidP="009F1607">
      <w:pPr>
        <w:rPr>
          <w:szCs w:val="24"/>
        </w:rPr>
      </w:pPr>
      <w:r w:rsidRPr="00982E23">
        <w:rPr>
          <w:szCs w:val="24"/>
        </w:rPr>
        <w:t xml:space="preserve">Przewiduje się, że większość przedsięwzięć planowanych w ramach priorytetu 6. </w:t>
      </w:r>
      <w:r w:rsidRPr="00BD525C">
        <w:rPr>
          <w:b/>
          <w:i/>
          <w:szCs w:val="24"/>
        </w:rPr>
        <w:t>FUNDUSZE EUROPEJSKIE NA RZECZ AKTYWNEGO POMORZA ZACHODNIEGO</w:t>
      </w:r>
      <w:r w:rsidRPr="00982E23">
        <w:rPr>
          <w:b/>
          <w:i/>
          <w:szCs w:val="24"/>
        </w:rPr>
        <w:t xml:space="preserve"> </w:t>
      </w:r>
      <w:r w:rsidRPr="00982E23">
        <w:rPr>
          <w:szCs w:val="24"/>
        </w:rPr>
        <w:t xml:space="preserve">obejmuje interwencje mające charakter nieinwestycyjny oddziaływujące na sferę społeczną w zakresie rozwoju m.in. kwalifikacji i umiejętności, dlatego w większości będzie wiązała się z neutralnym wpływem na środowisko. </w:t>
      </w:r>
    </w:p>
    <w:p w14:paraId="6C1D0A59" w14:textId="77777777" w:rsidR="009F1607" w:rsidRPr="00982E23" w:rsidRDefault="009F1607" w:rsidP="009F1607">
      <w:pPr>
        <w:rPr>
          <w:szCs w:val="24"/>
        </w:rPr>
      </w:pPr>
      <w:r w:rsidRPr="00982E23">
        <w:rPr>
          <w:szCs w:val="24"/>
        </w:rPr>
        <w:t>Niemniej realizacja projektów w ramach priorytetu zakłada również wsparcie dla działań o charakterze inwestycyjnym związanym z potencjalną budową nowych budynków dla utworzenia nowych miejsc przedszkolnych , mieszkań chronionych w ramach:</w:t>
      </w:r>
    </w:p>
    <w:p w14:paraId="3122DEFC" w14:textId="77777777" w:rsidR="009F1607" w:rsidRPr="00982E23" w:rsidRDefault="009F1607" w:rsidP="00622DC9">
      <w:pPr>
        <w:pStyle w:val="Akapitzlist"/>
        <w:numPr>
          <w:ilvl w:val="0"/>
          <w:numId w:val="28"/>
        </w:numPr>
        <w:rPr>
          <w:i/>
          <w:szCs w:val="24"/>
        </w:rPr>
      </w:pPr>
      <w:r w:rsidRPr="007D023E">
        <w:rPr>
          <w:i/>
          <w:szCs w:val="24"/>
        </w:rPr>
        <w:t>cs (f):</w:t>
      </w:r>
      <w:r w:rsidRPr="00982E23">
        <w:rPr>
          <w:i/>
          <w:szCs w:val="24"/>
        </w:rPr>
        <w:t>Wspieranie równego dostępu do 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w:t>
      </w:r>
    </w:p>
    <w:p w14:paraId="21D13DB2" w14:textId="77777777" w:rsidR="009F1607" w:rsidRPr="00982E23" w:rsidRDefault="009F1607" w:rsidP="00622DC9">
      <w:pPr>
        <w:pStyle w:val="Akapitzlist"/>
        <w:numPr>
          <w:ilvl w:val="0"/>
          <w:numId w:val="28"/>
        </w:numPr>
        <w:rPr>
          <w:i/>
          <w:szCs w:val="24"/>
        </w:rPr>
      </w:pPr>
      <w:r w:rsidRPr="00982E23">
        <w:rPr>
          <w:szCs w:val="24"/>
        </w:rPr>
        <w:t xml:space="preserve">cs </w:t>
      </w:r>
      <w:r w:rsidRPr="00982E23">
        <w:rPr>
          <w:i/>
          <w:szCs w:val="24"/>
        </w:rPr>
        <w:t>(k): Zwiększanie równego i szybkiego dostępu do dobrej jakości, trwałych i przystępnych cenowo usług, w tym usług, które promują dostęp do mieszkań oraz opieki skoncentrowanej na osobie, w tym opieki zdrowotnej; modernizacja systemów ochrony socjalnej, w tym promowanie dostępu do ochrony socjalnej, ze szczególnym uwzględnieniem dzieci i grup w niekorzystnej sytuacji; poprawa dostępności, w tym dla osób z niepełnosprawnościami, skuteczności i odporności systemów ochrony zdrowia i usług opieki długoterminowej</w:t>
      </w:r>
    </w:p>
    <w:p w14:paraId="73388876" w14:textId="77777777" w:rsidR="009F1607" w:rsidRPr="00982E23" w:rsidRDefault="009F1607" w:rsidP="00622DC9">
      <w:pPr>
        <w:pStyle w:val="Akapitzlist"/>
        <w:numPr>
          <w:ilvl w:val="0"/>
          <w:numId w:val="28"/>
        </w:numPr>
        <w:rPr>
          <w:i/>
          <w:szCs w:val="24"/>
        </w:rPr>
      </w:pPr>
      <w:r w:rsidRPr="00982E23">
        <w:rPr>
          <w:szCs w:val="24"/>
        </w:rPr>
        <w:t>cs (</w:t>
      </w:r>
      <w:r w:rsidRPr="00982E23">
        <w:rPr>
          <w:i/>
          <w:szCs w:val="24"/>
        </w:rPr>
        <w:t>l): Wspieranie integracji społecznej osób zagrożonych ubóstwem lub wykluczeniem społecznym, w tym osób najbardziej potrzebujących i dzieci</w:t>
      </w:r>
      <w:r>
        <w:rPr>
          <w:i/>
          <w:szCs w:val="24"/>
        </w:rPr>
        <w:t xml:space="preserve"> (EFS+)</w:t>
      </w:r>
    </w:p>
    <w:p w14:paraId="5AD81CEA" w14:textId="77777777" w:rsidR="009F1607" w:rsidRPr="00982E23" w:rsidRDefault="009F1607" w:rsidP="009F1607">
      <w:pPr>
        <w:rPr>
          <w:szCs w:val="24"/>
        </w:rPr>
      </w:pPr>
      <w:r w:rsidRPr="00982E23">
        <w:rPr>
          <w:szCs w:val="24"/>
        </w:rPr>
        <w:t>W tych wypadkach potencjalne oddziaływanie względem powierzchni ziemi może nastąpić</w:t>
      </w:r>
      <w:r>
        <w:rPr>
          <w:szCs w:val="24"/>
        </w:rPr>
        <w:t>,</w:t>
      </w:r>
      <w:r w:rsidRPr="00982E23">
        <w:rPr>
          <w:szCs w:val="24"/>
        </w:rPr>
        <w:t xml:space="preserve"> lecz </w:t>
      </w:r>
      <w:r>
        <w:rPr>
          <w:szCs w:val="24"/>
        </w:rPr>
        <w:t>będzie miało</w:t>
      </w:r>
      <w:r w:rsidRPr="00982E23">
        <w:rPr>
          <w:szCs w:val="24"/>
        </w:rPr>
        <w:t xml:space="preserve"> charakter krótkotrwały i neutralny, z uwagi iż dotyczyć będ</w:t>
      </w:r>
      <w:r>
        <w:rPr>
          <w:szCs w:val="24"/>
        </w:rPr>
        <w:t>zie</w:t>
      </w:r>
      <w:r w:rsidRPr="00982E23">
        <w:rPr>
          <w:szCs w:val="24"/>
        </w:rPr>
        <w:t xml:space="preserve"> terenów już zagospodarowanych.</w:t>
      </w:r>
    </w:p>
    <w:p w14:paraId="2FDA1533" w14:textId="77777777" w:rsidR="009F1607" w:rsidRPr="00982E23" w:rsidRDefault="009F1607" w:rsidP="009F1607">
      <w:pPr>
        <w:rPr>
          <w:szCs w:val="24"/>
        </w:rPr>
      </w:pPr>
      <w:r w:rsidRPr="00982E23">
        <w:rPr>
          <w:szCs w:val="24"/>
        </w:rPr>
        <w:t xml:space="preserve">Działania minimalizujące dla ograniczenia potencjalnego negatywnego wpływu to odpowiednia organizacja placu budowy, stosowanie sprawnych urządzeń i maszyn budowlanych. Realizacja wskazanych powyżej działań będzie się wiązała z wystąpieniem na etapie realizacji projektu krótkoterminowych </w:t>
      </w:r>
      <w:r>
        <w:rPr>
          <w:szCs w:val="24"/>
        </w:rPr>
        <w:t xml:space="preserve">oddziaływań </w:t>
      </w:r>
      <w:r w:rsidRPr="00982E23">
        <w:rPr>
          <w:szCs w:val="24"/>
        </w:rPr>
        <w:t>o charakterze lokalnym, które ustąpią w chwili zakończenia prac inwestycyjnych. Istotne będzie również zapobieganie zasklepieniu gruntu na terenie gdzie nie jest to konieczne, zarówno na etapie budowy jak i użytkowania wpływającym na jakość gleb.</w:t>
      </w:r>
    </w:p>
    <w:p w14:paraId="5C6C1759" w14:textId="06287793" w:rsidR="009F1607" w:rsidRPr="00982E23" w:rsidRDefault="009F1607" w:rsidP="009F1607">
      <w:pPr>
        <w:rPr>
          <w:szCs w:val="24"/>
          <w:highlight w:val="cyan"/>
        </w:rPr>
      </w:pPr>
      <w:r w:rsidRPr="00982E23">
        <w:rPr>
          <w:szCs w:val="24"/>
        </w:rPr>
        <w:t xml:space="preserve">Działania przewidziane w ramach Priorytetu 7. </w:t>
      </w:r>
      <w:r w:rsidRPr="00BD525C">
        <w:rPr>
          <w:b/>
          <w:i/>
          <w:szCs w:val="24"/>
        </w:rPr>
        <w:t>FUNDUSZE EUROPEJSKIE NA RZECZ PARTNERSKIEGO POMORZA ZACHODNIEGO</w:t>
      </w:r>
      <w:r w:rsidRPr="00982E23">
        <w:rPr>
          <w:b/>
          <w:i/>
          <w:szCs w:val="24"/>
        </w:rPr>
        <w:t xml:space="preserve"> </w:t>
      </w:r>
      <w:r w:rsidRPr="00982E23">
        <w:rPr>
          <w:szCs w:val="24"/>
        </w:rPr>
        <w:t>związane są z wykorzystaniem zintegrowanych działań inwestycyjnych zmierzających d</w:t>
      </w:r>
      <w:r>
        <w:rPr>
          <w:szCs w:val="24"/>
        </w:rPr>
        <w:t>o</w:t>
      </w:r>
      <w:r w:rsidR="00D4052B">
        <w:rPr>
          <w:szCs w:val="24"/>
        </w:rPr>
        <w:t xml:space="preserve"> </w:t>
      </w:r>
      <w:r w:rsidRPr="00982E23">
        <w:rPr>
          <w:szCs w:val="24"/>
        </w:rPr>
        <w:t xml:space="preserve">uporządkowania ładu przestrzennego i nadanie nowych funkcji terenom opuszczonym lub zdegradowanym. Z założenia projekty realizowane będą z poszanowaniem zasobów środowiskowych a ingerencja w środowisko zależeć będzie od typu i skali inwestycji. W przypadku inwestycji drogowej spodziewać się należy odziaływań jak w przypadku realizacji projektów w ramach Priorytetu 4. </w:t>
      </w:r>
      <w:r w:rsidRPr="00BD525C">
        <w:rPr>
          <w:b/>
          <w:i/>
          <w:szCs w:val="24"/>
        </w:rPr>
        <w:t>FUNDUSZE EUROPEJSKIE NA RZECZ POŁĄCZONEGO POMORZA ZACHODNIEGO</w:t>
      </w:r>
      <w:r>
        <w:rPr>
          <w:szCs w:val="24"/>
        </w:rPr>
        <w:t>.</w:t>
      </w:r>
      <w:r w:rsidRPr="00982E23">
        <w:rPr>
          <w:szCs w:val="24"/>
        </w:rPr>
        <w:t xml:space="preserve"> </w:t>
      </w:r>
      <w:r>
        <w:rPr>
          <w:szCs w:val="24"/>
        </w:rPr>
        <w:t>W</w:t>
      </w:r>
      <w:r w:rsidRPr="00982E23">
        <w:rPr>
          <w:szCs w:val="24"/>
        </w:rPr>
        <w:t xml:space="preserve"> przypadku rewitalizacji może wystąpić konieczność remediacji gruntów jak </w:t>
      </w:r>
      <w:r>
        <w:rPr>
          <w:szCs w:val="24"/>
        </w:rPr>
        <w:t xml:space="preserve">dla </w:t>
      </w:r>
      <w:r w:rsidRPr="00982E23">
        <w:rPr>
          <w:szCs w:val="24"/>
        </w:rPr>
        <w:t>inwestycji w ramach Priorytetu 2.</w:t>
      </w:r>
      <w:r w:rsidRPr="00BD525C">
        <w:rPr>
          <w:b/>
          <w:i/>
          <w:szCs w:val="24"/>
        </w:rPr>
        <w:t xml:space="preserve">FUNDUSZE EUROPEJSKIE NA RZECZ </w:t>
      </w:r>
      <w:r>
        <w:rPr>
          <w:b/>
          <w:i/>
          <w:szCs w:val="24"/>
        </w:rPr>
        <w:t>ZIELONEGO</w:t>
      </w:r>
      <w:r w:rsidRPr="00BD525C">
        <w:rPr>
          <w:b/>
          <w:i/>
          <w:szCs w:val="24"/>
        </w:rPr>
        <w:t xml:space="preserve"> POMORZA ZACHODNIEGO</w:t>
      </w:r>
      <w:r w:rsidRPr="00982E23">
        <w:rPr>
          <w:i/>
          <w:szCs w:val="24"/>
        </w:rPr>
        <w:t xml:space="preserve">. </w:t>
      </w:r>
      <w:r w:rsidRPr="00982E23">
        <w:rPr>
          <w:szCs w:val="24"/>
        </w:rPr>
        <w:t>Budowa obiektów budowlanych wiąże się z odziaływaniami jak w przypadku oddziaływań omówionych w ramach</w:t>
      </w:r>
      <w:r w:rsidRPr="00982E23">
        <w:rPr>
          <w:i/>
          <w:szCs w:val="24"/>
        </w:rPr>
        <w:t xml:space="preserve"> </w:t>
      </w:r>
      <w:r w:rsidRPr="007D023E">
        <w:rPr>
          <w:szCs w:val="24"/>
        </w:rPr>
        <w:t>Priorytetu 5</w:t>
      </w:r>
      <w:r w:rsidRPr="00982E23">
        <w:rPr>
          <w:i/>
          <w:szCs w:val="24"/>
        </w:rPr>
        <w:t xml:space="preserve">. </w:t>
      </w:r>
      <w:r w:rsidRPr="00BD525C">
        <w:rPr>
          <w:b/>
          <w:i/>
          <w:szCs w:val="24"/>
        </w:rPr>
        <w:t>FUNDUSZE EUROPEJSKIE NA RZECZ PRZYJAZNEGO MIESZKANKOM I MIESZKAŃCOM POMORZA ZACHODNIEGO</w:t>
      </w:r>
      <w:r w:rsidRPr="00982E23">
        <w:rPr>
          <w:i/>
          <w:szCs w:val="24"/>
        </w:rPr>
        <w:t xml:space="preserve"> </w:t>
      </w:r>
      <w:r w:rsidRPr="007D023E">
        <w:rPr>
          <w:szCs w:val="24"/>
        </w:rPr>
        <w:t>czy też</w:t>
      </w:r>
      <w:r w:rsidRPr="00E70EDF">
        <w:t xml:space="preserve"> </w:t>
      </w:r>
      <w:r w:rsidRPr="00E70EDF">
        <w:rPr>
          <w:szCs w:val="24"/>
        </w:rPr>
        <w:t>Priorytetu</w:t>
      </w:r>
      <w:r w:rsidRPr="00982E23">
        <w:rPr>
          <w:i/>
          <w:szCs w:val="24"/>
        </w:rPr>
        <w:t xml:space="preserve"> </w:t>
      </w:r>
      <w:r w:rsidRPr="007D023E">
        <w:rPr>
          <w:szCs w:val="24"/>
        </w:rPr>
        <w:t>6</w:t>
      </w:r>
      <w:r>
        <w:rPr>
          <w:szCs w:val="24"/>
        </w:rPr>
        <w:t xml:space="preserve">. </w:t>
      </w:r>
      <w:r w:rsidRPr="00BD525C">
        <w:rPr>
          <w:b/>
          <w:i/>
          <w:szCs w:val="24"/>
        </w:rPr>
        <w:t>FUNDUSZE EUROPEJSKIE NA RZECZ AKTYWNEGO POMORZA ZACHODNIEGO</w:t>
      </w:r>
      <w:r w:rsidRPr="00982E23">
        <w:rPr>
          <w:i/>
          <w:szCs w:val="24"/>
        </w:rPr>
        <w:t xml:space="preserve">. </w:t>
      </w:r>
      <w:r w:rsidRPr="00982E23">
        <w:rPr>
          <w:szCs w:val="24"/>
        </w:rPr>
        <w:t xml:space="preserve">Zatem potencjalne negatywne oddziaływania na powierzchnię ziemi i gleby mogą zaistnieć w przypadku działań inwestycyjnych </w:t>
      </w:r>
      <w:r w:rsidRPr="007D023E">
        <w:rPr>
          <w:szCs w:val="24"/>
        </w:rPr>
        <w:t xml:space="preserve">związanych z przekształceniem gruntu i gleb o charakterze naturalnym </w:t>
      </w:r>
      <w:r w:rsidRPr="00982E23">
        <w:rPr>
          <w:szCs w:val="24"/>
        </w:rPr>
        <w:t xml:space="preserve">obejmujących tworzenie nowej infrastruktury </w:t>
      </w:r>
      <w:r w:rsidRPr="007D023E">
        <w:rPr>
          <w:szCs w:val="24"/>
        </w:rPr>
        <w:t xml:space="preserve">technicznej </w:t>
      </w:r>
      <w:r w:rsidRPr="00982E23">
        <w:rPr>
          <w:szCs w:val="24"/>
        </w:rPr>
        <w:t>lub budynków o różnych funkcjach. Projekty związane z dostosowaniem istniejących obiektów budowalnych czy też infrastruktury</w:t>
      </w:r>
      <w:r>
        <w:rPr>
          <w:szCs w:val="24"/>
        </w:rPr>
        <w:t>,</w:t>
      </w:r>
      <w:r w:rsidRPr="00982E23">
        <w:rPr>
          <w:szCs w:val="24"/>
        </w:rPr>
        <w:t xml:space="preserve"> z założenia powinn</w:t>
      </w:r>
      <w:r>
        <w:rPr>
          <w:szCs w:val="24"/>
        </w:rPr>
        <w:t>y</w:t>
      </w:r>
      <w:r w:rsidRPr="00982E23">
        <w:rPr>
          <w:szCs w:val="24"/>
        </w:rPr>
        <w:t xml:space="preserve"> zostać zrealizowan</w:t>
      </w:r>
      <w:r>
        <w:rPr>
          <w:szCs w:val="24"/>
        </w:rPr>
        <w:t>e</w:t>
      </w:r>
      <w:r w:rsidRPr="00982E23">
        <w:rPr>
          <w:szCs w:val="24"/>
        </w:rPr>
        <w:t xml:space="preserve"> w sposób harmonijny i z zachowaniem racjonalnego gospodarowania zasobami terenowymi. </w:t>
      </w:r>
      <w:r w:rsidRPr="007D023E">
        <w:rPr>
          <w:szCs w:val="24"/>
        </w:rPr>
        <w:t>Istotnym jest, iż w ramach priorytetu projekty mają wdrażać założenia Nowego Europejskiego Bauhausu, którego głównymi wartościami są zrównoważony rozwój, estetyka i integracja społeczna.</w:t>
      </w:r>
      <w:r>
        <w:rPr>
          <w:szCs w:val="24"/>
        </w:rPr>
        <w:t xml:space="preserve"> Niemniej, n</w:t>
      </w:r>
      <w:r w:rsidRPr="00982E23">
        <w:rPr>
          <w:szCs w:val="24"/>
        </w:rPr>
        <w:t>iezbędne są wszelkie działania, tj. dokonywanie niezbędnych analiz środowiskowych, ocen wpływu inwestycji na środowisko, aby rozwój zintegrowanych inwestycji nie wpływał negatywnie na stan powierzchni terenu i gleb.</w:t>
      </w:r>
    </w:p>
    <w:p w14:paraId="39C898A9" w14:textId="77777777" w:rsidR="009F1607" w:rsidRPr="00982E23" w:rsidRDefault="009F1607" w:rsidP="009F1607">
      <w:pPr>
        <w:rPr>
          <w:szCs w:val="24"/>
        </w:rPr>
      </w:pPr>
      <w:r w:rsidRPr="00982E23">
        <w:rPr>
          <w:szCs w:val="24"/>
        </w:rPr>
        <w:t>Przewiduje się, że planowane działania w ramach Priorytet</w:t>
      </w:r>
      <w:r>
        <w:rPr>
          <w:szCs w:val="24"/>
        </w:rPr>
        <w:t>u 8.</w:t>
      </w:r>
      <w:r w:rsidRPr="00982E23">
        <w:rPr>
          <w:szCs w:val="24"/>
        </w:rPr>
        <w:t xml:space="preserve"> </w:t>
      </w:r>
      <w:r w:rsidRPr="00982E23">
        <w:rPr>
          <w:b/>
          <w:i/>
          <w:szCs w:val="24"/>
        </w:rPr>
        <w:t>POMOC TECHNICZNA</w:t>
      </w:r>
      <w:r>
        <w:rPr>
          <w:b/>
          <w:i/>
          <w:szCs w:val="24"/>
        </w:rPr>
        <w:t xml:space="preserve"> (EFRR)</w:t>
      </w:r>
      <w:r>
        <w:rPr>
          <w:szCs w:val="24"/>
        </w:rPr>
        <w:t xml:space="preserve"> oraz </w:t>
      </w:r>
      <w:r w:rsidRPr="00982E23">
        <w:rPr>
          <w:szCs w:val="24"/>
        </w:rPr>
        <w:t>Priorytet</w:t>
      </w:r>
      <w:r>
        <w:rPr>
          <w:szCs w:val="24"/>
        </w:rPr>
        <w:t>u 9.</w:t>
      </w:r>
      <w:r w:rsidRPr="00982E23">
        <w:rPr>
          <w:szCs w:val="24"/>
        </w:rPr>
        <w:t xml:space="preserve"> </w:t>
      </w:r>
      <w:r w:rsidRPr="00982E23">
        <w:rPr>
          <w:b/>
          <w:i/>
          <w:szCs w:val="24"/>
        </w:rPr>
        <w:t>POMOC TECHNICZNA</w:t>
      </w:r>
      <w:r>
        <w:rPr>
          <w:b/>
          <w:i/>
          <w:szCs w:val="24"/>
        </w:rPr>
        <w:t xml:space="preserve"> (EFS)</w:t>
      </w:r>
      <w:r w:rsidRPr="00982E23">
        <w:rPr>
          <w:szCs w:val="24"/>
        </w:rPr>
        <w:t xml:space="preserve"> dokumentu FEPZ 2021-2027 mają neutralny wpływ na środowisko, w tym powierzchnię gleb.</w:t>
      </w:r>
    </w:p>
    <w:p w14:paraId="5F955160" w14:textId="77777777" w:rsidR="009F1607" w:rsidRPr="00982E23" w:rsidRDefault="009F1607" w:rsidP="009F1607"/>
    <w:p w14:paraId="7E5FC2BD" w14:textId="77777777" w:rsidR="009F1607" w:rsidRDefault="009F1607" w:rsidP="009F1607">
      <w:pPr>
        <w:pStyle w:val="Nagwek1"/>
        <w:numPr>
          <w:ilvl w:val="1"/>
          <w:numId w:val="4"/>
        </w:numPr>
        <w:ind w:left="1134" w:hanging="774"/>
        <w:jc w:val="both"/>
        <w:rPr>
          <w:caps w:val="0"/>
          <w:sz w:val="32"/>
        </w:rPr>
      </w:pPr>
      <w:bookmarkStart w:id="32" w:name="_Toc82945176"/>
      <w:bookmarkStart w:id="33" w:name="_Toc104790636"/>
      <w:bookmarkStart w:id="34" w:name="_Toc80283934"/>
      <w:bookmarkStart w:id="35" w:name="_Toc102902707"/>
      <w:r w:rsidRPr="00655B1E">
        <w:rPr>
          <w:caps w:val="0"/>
          <w:sz w:val="32"/>
        </w:rPr>
        <w:t>PRZEWIDYWANE ZNACZĄCE ODDZIAŁYWANIA NA KRAJOBRAZ</w:t>
      </w:r>
      <w:bookmarkEnd w:id="32"/>
      <w:bookmarkEnd w:id="33"/>
      <w:r w:rsidRPr="00655B1E">
        <w:rPr>
          <w:caps w:val="0"/>
          <w:sz w:val="32"/>
        </w:rPr>
        <w:t xml:space="preserve"> </w:t>
      </w:r>
      <w:bookmarkEnd w:id="34"/>
      <w:bookmarkEnd w:id="35"/>
    </w:p>
    <w:p w14:paraId="3ABEB7F5" w14:textId="77777777" w:rsidR="009F1607" w:rsidRPr="000B6588" w:rsidRDefault="009F1607" w:rsidP="009F1607">
      <w:pPr>
        <w:spacing w:before="120" w:after="120"/>
      </w:pPr>
      <w:r w:rsidRPr="000B6588">
        <w:t xml:space="preserve">Dokument FEPZ 2021-2027, co do zasady pozytywnie wpłynie na środowisko i krajobraz, co jest akcentowane w celach w szczególności odnoszących się do poprawy zasobów przyrody i bioróżnorodności oraz realizacji działań prośrodowiskowych, tworzących nową wartość krajobrazową jak błękitno-zielona infrastruktura. </w:t>
      </w:r>
    </w:p>
    <w:p w14:paraId="41A4100A" w14:textId="77777777" w:rsidR="009F1607" w:rsidRPr="000B6588" w:rsidRDefault="009F1607" w:rsidP="009F1607">
      <w:pPr>
        <w:spacing w:before="120" w:after="120"/>
      </w:pPr>
      <w:r w:rsidRPr="000B6588">
        <w:t xml:space="preserve">Analiza potencjalnych działań w ramach Priorytetu 1. </w:t>
      </w:r>
      <w:r w:rsidRPr="000B6588">
        <w:rPr>
          <w:b/>
          <w:i/>
        </w:rPr>
        <w:t xml:space="preserve">FUNDUSZE EUROPEJSKIE NA RZECZ PRZEDSIĘBIORCZEGO POMORZA ZACHODNIEGO </w:t>
      </w:r>
      <w:r w:rsidRPr="000B6588">
        <w:t>wiąże się z realizacją głównie projektów mających neutralny charakter względem krajobrazu, wyjątkiem mogą być projekty ukierunkowane na rozwój skali przedsiębiorstw. Potencjalnie wiążą się z działaniami inwestycyjnymi i możliwością lokalizowania nowych obiektów budowlanych i instalacji przemysłowych</w:t>
      </w:r>
      <w:r>
        <w:t>,</w:t>
      </w:r>
      <w:r w:rsidRPr="000B6588">
        <w:t xml:space="preserve"> a tym samym w niektórych przypadkach zmianą charakteru krajobrazu z naturalnego na krajobraz przemysłowy. Dla zminimalizowania tego typu oddziaływania istotne jest wykorzystywanie w pierwszej kolejności terenów już przekształconych, tzw. „brown field". Lokalizacja tego typu nowych obszarów powinna być zgodna z dokumentami planistycznymi, jak również z zasadami zrównoważonego rozwoju dla zminimalizowania negatywnych skutków inwestycji na poziomie lokalnym. </w:t>
      </w:r>
    </w:p>
    <w:p w14:paraId="4E0827E6" w14:textId="77777777" w:rsidR="009F1607" w:rsidRPr="000B6588" w:rsidRDefault="009F1607" w:rsidP="009F1607">
      <w:pPr>
        <w:spacing w:before="120" w:after="120"/>
      </w:pPr>
      <w:r w:rsidRPr="000B6588">
        <w:t xml:space="preserve">W ramach Priorytetu 2. </w:t>
      </w:r>
      <w:r w:rsidRPr="000B6588">
        <w:rPr>
          <w:b/>
          <w:i/>
        </w:rPr>
        <w:t xml:space="preserve">FUNDUSZE EUROPEJSKIE NA RZECZ ZIELONEGO POMORZA ZACHODNIEGO </w:t>
      </w:r>
      <w:r w:rsidRPr="000B6588">
        <w:t xml:space="preserve">zaplanowano interwencje, które z założenia mają charakter prośrodowiskowy i w efekcie również wpływać będą pozytywnie na walory krajobrazowe, w szczególności cele szczegółowe: </w:t>
      </w:r>
      <w:r w:rsidRPr="000B6588">
        <w:rPr>
          <w:i/>
        </w:rPr>
        <w:t>cs (iv)</w:t>
      </w:r>
      <w:r>
        <w:rPr>
          <w:i/>
        </w:rPr>
        <w:t>:</w:t>
      </w:r>
      <w:r w:rsidRPr="000B6588">
        <w:t xml:space="preserve"> </w:t>
      </w:r>
      <w:r w:rsidRPr="000B6588">
        <w:rPr>
          <w:i/>
          <w:lang w:bidi="pl-PL"/>
        </w:rPr>
        <w:t>Wspieranie przystosowania się do zmian klimatu i zapobiegania ryzyku związanemu z klęskami żywiołowymi i katastrofami, a także odporności, z uwzględnieniem podejścia ekosystemowego</w:t>
      </w:r>
      <w:r w:rsidRPr="000B6588">
        <w:rPr>
          <w:i/>
        </w:rPr>
        <w:t xml:space="preserve"> </w:t>
      </w:r>
      <w:r w:rsidRPr="009C77FD">
        <w:t>oraz</w:t>
      </w:r>
      <w:r w:rsidRPr="000B6588">
        <w:rPr>
          <w:i/>
        </w:rPr>
        <w:t xml:space="preserve"> cs (vii)</w:t>
      </w:r>
      <w:r>
        <w:rPr>
          <w:i/>
        </w:rPr>
        <w:t>:</w:t>
      </w:r>
      <w:r w:rsidRPr="000B6588">
        <w:rPr>
          <w:i/>
        </w:rPr>
        <w:t xml:space="preserve"> Wzmacnianie ochrony i zachowania przyrody, różnorodności biologicznej oraz zielonej infrastruktury, w</w:t>
      </w:r>
      <w:r w:rsidRPr="000B6588">
        <w:rPr>
          <w:szCs w:val="22"/>
        </w:rPr>
        <w:t xml:space="preserve"> </w:t>
      </w:r>
      <w:r w:rsidRPr="000B6588">
        <w:rPr>
          <w:i/>
        </w:rPr>
        <w:t>tym na obszarach miejskich oraz ograniczanie wszelkich rodzajów zanieczyszczenia</w:t>
      </w:r>
      <w:r w:rsidRPr="000B6588">
        <w:t xml:space="preserve">, </w:t>
      </w:r>
      <w:r w:rsidRPr="000B6588">
        <w:rPr>
          <w:i/>
        </w:rPr>
        <w:t>cs (i)</w:t>
      </w:r>
      <w:r>
        <w:rPr>
          <w:i/>
        </w:rPr>
        <w:t>:</w:t>
      </w:r>
      <w:r w:rsidRPr="000B6588">
        <w:t xml:space="preserve"> </w:t>
      </w:r>
      <w:r w:rsidRPr="000B6588">
        <w:rPr>
          <w:i/>
        </w:rPr>
        <w:t>Wspieranie efektywności energetycznej i redukcji emisji gazów cieplarnianych</w:t>
      </w:r>
      <w:r w:rsidRPr="000B6588">
        <w:t>. Cele te wiążą się z estetyzacją i renaturyzacją przestrzeni m.in. poprzez rozwój zielono-błękitnej infrastruktury, proprzyrodniczym zagospodarowaniem przestrzeni publicznych estetyzacją istniejących budynków. Istotne są również działania w zakresie edukacji ekologicznej i</w:t>
      </w:r>
      <w:r w:rsidRPr="000B6588">
        <w:rPr>
          <w:szCs w:val="22"/>
        </w:rPr>
        <w:t xml:space="preserve"> </w:t>
      </w:r>
      <w:r w:rsidRPr="000B6588">
        <w:t>promocji prośrodowiskowych postaw społecznych i wrażliwości na krajobraz.</w:t>
      </w:r>
    </w:p>
    <w:p w14:paraId="29EF7B59" w14:textId="77777777" w:rsidR="009F1607" w:rsidRPr="000B6588" w:rsidRDefault="009F1607" w:rsidP="009F1607">
      <w:pPr>
        <w:spacing w:before="120" w:after="120"/>
      </w:pPr>
      <w:r w:rsidRPr="000B6588">
        <w:t>Neutralny charakter wykazują cele szczegółowe związane z inwestycji dotyczącymi infrastruktury podziemnej, tj. systemów wodno-kanalizacyjnych. Potencjalnie negatywnego wpływu na krajobraz należy upatrywać się w realizacji działań inwestycyjnych zmierzających do budowy nowych obiektów, infrastruktury i instalacji przemysłowych w ramach celów szczegółowych:</w:t>
      </w:r>
    </w:p>
    <w:p w14:paraId="635BC22C" w14:textId="77777777" w:rsidR="009F1607" w:rsidRPr="000B6588" w:rsidRDefault="009F1607" w:rsidP="00622DC9">
      <w:pPr>
        <w:numPr>
          <w:ilvl w:val="0"/>
          <w:numId w:val="18"/>
        </w:numPr>
        <w:spacing w:before="120" w:after="120"/>
        <w:ind w:left="714" w:hanging="357"/>
        <w:rPr>
          <w:i/>
        </w:rPr>
      </w:pPr>
      <w:r w:rsidRPr="000B6588">
        <w:rPr>
          <w:i/>
        </w:rPr>
        <w:t>cs (i)</w:t>
      </w:r>
      <w:r>
        <w:rPr>
          <w:i/>
        </w:rPr>
        <w:t>:</w:t>
      </w:r>
      <w:r w:rsidRPr="000B6588">
        <w:rPr>
          <w:i/>
        </w:rPr>
        <w:t xml:space="preserve"> Wspieranie efektywności energetycznej i redukcji emisji gazów cieplarnianych</w:t>
      </w:r>
    </w:p>
    <w:p w14:paraId="5234FEB4" w14:textId="77777777" w:rsidR="009F1607" w:rsidRPr="000B6588" w:rsidRDefault="009F1607" w:rsidP="00622DC9">
      <w:pPr>
        <w:numPr>
          <w:ilvl w:val="0"/>
          <w:numId w:val="18"/>
        </w:numPr>
        <w:spacing w:before="120" w:after="120"/>
        <w:rPr>
          <w:i/>
        </w:rPr>
      </w:pPr>
      <w:r w:rsidRPr="000B6588">
        <w:rPr>
          <w:i/>
        </w:rPr>
        <w:t>cs (ii)</w:t>
      </w:r>
      <w:r>
        <w:rPr>
          <w:i/>
        </w:rPr>
        <w:t>:</w:t>
      </w:r>
      <w:r w:rsidRPr="000B6588">
        <w:rPr>
          <w:i/>
        </w:rPr>
        <w:t xml:space="preserve"> </w:t>
      </w:r>
      <w:r w:rsidRPr="000B6588">
        <w:rPr>
          <w:i/>
          <w:lang w:bidi="pl-PL"/>
        </w:rPr>
        <w:t>Wspieranie energii odnawialnej zgodnie z dyrektywą (UE) 2018/2001, w tym z określonymi w niej kryteriami zrównoważonego rozwoju</w:t>
      </w:r>
    </w:p>
    <w:p w14:paraId="561C2EBC" w14:textId="77777777" w:rsidR="009F1607" w:rsidRPr="000B6588" w:rsidRDefault="009F1607" w:rsidP="00622DC9">
      <w:pPr>
        <w:numPr>
          <w:ilvl w:val="0"/>
          <w:numId w:val="18"/>
        </w:numPr>
        <w:spacing w:before="120" w:after="120"/>
        <w:ind w:left="714" w:hanging="357"/>
        <w:rPr>
          <w:i/>
        </w:rPr>
      </w:pPr>
      <w:r w:rsidRPr="000B6588">
        <w:rPr>
          <w:i/>
        </w:rPr>
        <w:t>cs (v)</w:t>
      </w:r>
      <w:r>
        <w:rPr>
          <w:i/>
        </w:rPr>
        <w:t>:</w:t>
      </w:r>
      <w:r w:rsidRPr="000B6588">
        <w:rPr>
          <w:i/>
        </w:rPr>
        <w:t xml:space="preserve"> Wspieranie dostępu do wody oraz zrównoważonej gospodarki wodnej</w:t>
      </w:r>
    </w:p>
    <w:p w14:paraId="1239B8FE" w14:textId="77777777" w:rsidR="009F1607" w:rsidRPr="000B6588" w:rsidRDefault="009F1607" w:rsidP="00622DC9">
      <w:pPr>
        <w:numPr>
          <w:ilvl w:val="0"/>
          <w:numId w:val="18"/>
        </w:numPr>
        <w:spacing w:before="120" w:after="120"/>
        <w:ind w:left="714" w:hanging="357"/>
        <w:rPr>
          <w:i/>
        </w:rPr>
      </w:pPr>
      <w:r w:rsidRPr="000B6588">
        <w:rPr>
          <w:i/>
        </w:rPr>
        <w:t>cs (vi)</w:t>
      </w:r>
      <w:r>
        <w:rPr>
          <w:i/>
        </w:rPr>
        <w:t>:</w:t>
      </w:r>
      <w:r w:rsidRPr="000B6588">
        <w:rPr>
          <w:i/>
        </w:rPr>
        <w:t xml:space="preserve"> Wspieranie transformacji w kierunku gospodarki o obiegu zamkniętym i</w:t>
      </w:r>
      <w:r w:rsidRPr="000B6588">
        <w:rPr>
          <w:szCs w:val="22"/>
        </w:rPr>
        <w:t xml:space="preserve"> </w:t>
      </w:r>
      <w:r w:rsidRPr="000B6588">
        <w:rPr>
          <w:i/>
        </w:rPr>
        <w:t>gospodarki zasobooszczędnej.</w:t>
      </w:r>
    </w:p>
    <w:p w14:paraId="4B7AA1D1" w14:textId="77777777" w:rsidR="009F1607" w:rsidRPr="000B6588" w:rsidRDefault="009F1607" w:rsidP="009F1607">
      <w:pPr>
        <w:spacing w:before="120" w:after="120"/>
      </w:pPr>
      <w:r w:rsidRPr="000B6588">
        <w:t>Oddziaływania w trakcie budowy obiektów i infrastruktury energetyki odnawialnej, jak i</w:t>
      </w:r>
      <w:r w:rsidRPr="000B6588">
        <w:rPr>
          <w:szCs w:val="22"/>
        </w:rPr>
        <w:t xml:space="preserve"> </w:t>
      </w:r>
      <w:r w:rsidRPr="000B6588">
        <w:t>gospodarki odpadami na krajobraz dotyczyć będą typowych prac budowlanych, z czym związane są wykopy, nasypy. Po zakończeniu budowy zajęte tereny powinny być uporządkowane, a oddziaływania na tym etapie należy uznać jako krótkotrwałe. Istotne jest oddziaływanie na krajobraz samej infrastruktury, która zmienia jego pierwotny charakter, niejednokrotnie wprowadzając dominanty o charakterze przemysłowym (np. farmy wiatrowe, farmy fotowoltaiczne, biogazownie, oczyszczalnie ścieków). Inwestycje te powinny zostać zaplanowane w sposób zapewniający pełną zgodność z obowiązującymi przepisami i każdorazowo podlegać indywidualnej ocenie oddziaływania na środowisko (są przedsięwzięciami charakteryzowanymi, w zależności od mocy, jako mogące zawsze znacząco oddziaływać na środowisko lub mogące potencjalnie znacząco oddziaływać na środowisko), a zastosowane rozwiązania projektowe powinny minimalizować negatywny wpływ na krajobraz. Zatem, realizacja tego typu inwestycji możliwa będzie, jeżeli ocena oddziaływania przedsięwzięcia na środowisko wykaże brak negatywnego oddziaływania na krajobraz.</w:t>
      </w:r>
    </w:p>
    <w:p w14:paraId="3A9EBBF2" w14:textId="77777777" w:rsidR="009F1607" w:rsidRPr="000B6588" w:rsidRDefault="009F1607" w:rsidP="009F1607">
      <w:pPr>
        <w:spacing w:before="120" w:after="120"/>
        <w:rPr>
          <w:highlight w:val="yellow"/>
        </w:rPr>
      </w:pPr>
      <w:r w:rsidRPr="000B6588">
        <w:t xml:space="preserve">Realizacja działań w ramach Priorytetu 3. </w:t>
      </w:r>
      <w:r w:rsidRPr="000B6588">
        <w:rPr>
          <w:b/>
          <w:i/>
        </w:rPr>
        <w:t xml:space="preserve">FUNDUSZE EUROPEJSKIE NA RZECZ MOBILNEGO POMORZA ZACHODNIEGO </w:t>
      </w:r>
      <w:r w:rsidRPr="000B6588">
        <w:t>ma na celu</w:t>
      </w:r>
      <w:r w:rsidRPr="000B6588">
        <w:rPr>
          <w:i/>
        </w:rPr>
        <w:t xml:space="preserve"> w</w:t>
      </w:r>
      <w:r w:rsidRPr="000B6588">
        <w:t>spieranie zrównoważonej multimodalnej mobilności miejskiej w kierunku zeroemisyjnym, w większości w aspektach związanych z ochroną krajobrazu będzie miała na niego neutralny wpływ. Można założyć, że projekty realizowane będą na terenach dotychczas zurbanizowanych i skomunikowanych, a projekty związane z budową i przebudową infrastruktury transportu publicznego (np. centra przesiadkowe, buspasy, przebudowa skrzyżowań, modernizacja zajezdni autobusowych, obiekty bike&amp;ride), nie wpłyną istotnie na naturalne walory krajobrazowe. Dotyczyć będą krajobrazów miejskich, już przekształconych i szczególny nacisk powinien zostać położony na estetyzację obiektów i</w:t>
      </w:r>
      <w:r w:rsidRPr="000B6588">
        <w:rPr>
          <w:szCs w:val="22"/>
        </w:rPr>
        <w:t xml:space="preserve"> </w:t>
      </w:r>
      <w:r w:rsidRPr="000B6588">
        <w:t xml:space="preserve">harmonijne ich powiązanie z istniejącymi elementami krajobrazu. Będą to oddziaływania bezpośrednie o charakterze oddziaływań lokalnych i długoterminowych. Należy pamiętać, że projekty realizowane w ramach niniejszego celu szczegółowego muszą wynikać ze strategii ZIT oraz dotyczyć publicznego transportu miejskiego. Natomiast projekty zlokalizowane w Szczecinie muszą wynikać z SUMP, a w przypadku pozostałych Miejskich Obszarów Funkcjonalnych muszą wynikać z SUMP lub innych dokumentów z zakresu mobilności miejskiej. </w:t>
      </w:r>
    </w:p>
    <w:p w14:paraId="769D17C4" w14:textId="1C3C7398" w:rsidR="009F1607" w:rsidRPr="000B6588" w:rsidRDefault="009F1607" w:rsidP="009F1607">
      <w:pPr>
        <w:spacing w:before="120" w:after="120"/>
      </w:pPr>
      <w:r w:rsidRPr="000B6588">
        <w:t xml:space="preserve">Realizacja </w:t>
      </w:r>
      <w:r>
        <w:t>P</w:t>
      </w:r>
      <w:r w:rsidRPr="000B6588">
        <w:t xml:space="preserve">riorytetu 4. </w:t>
      </w:r>
      <w:r w:rsidRPr="000B6588">
        <w:rPr>
          <w:b/>
          <w:i/>
        </w:rPr>
        <w:t>FUNDUSZE EUROPEJSKIE NA RZECZ POŁĄCZONEGO POMORZA ZACHODNIEGO</w:t>
      </w:r>
      <w:r w:rsidRPr="000B6588">
        <w:t xml:space="preserve"> wiąże się z inwestycjami obejmującymi rozwój regionalnej sieci połączeń drogowych, w tym połączenie obszarów o niskiej dostępności transportowej z kluczowymi szlakami komunikacyjnymi TEN-T wyznaczonymi w szczególności przez drogi S3, S6, wraz z Zachodnim Drogowym Obejściem Miasta Szczecina,</w:t>
      </w:r>
      <w:r w:rsidR="00D4052B">
        <w:t xml:space="preserve"> </w:t>
      </w:r>
      <w:r w:rsidRPr="000B6588">
        <w:t>a docelowo także dróg S10 i S11. Nie mniej istotna będzie poprawa skomunikowania regionu w układzie transgranicznym oraz w relacji z sąsiednimi regionami. Tego typu przedsięwzięcia w zależności od parametrów technicznych należą do przedsięwzięć mogących zawsze lub potencjalnie znacząco oddziaływać na środowisko</w:t>
      </w:r>
      <w:r w:rsidRPr="000B6588">
        <w:rPr>
          <w:vertAlign w:val="superscript"/>
        </w:rPr>
        <w:footnoteReference w:id="24"/>
      </w:r>
      <w:r w:rsidRPr="000B6588">
        <w:t>. Najistotniejsze negatywne oddziaływania związane z fragmentacją niektórych obszarów mogą wiązać się z budową nowych dróg oraz budową obiektów inżynieryjnych, w tym: nasypów, estakad, mostów, wiaduktów. Dodatkowo, może wystąpić konieczność przeprowadzenia wycinki drzew (którą należy przeprowadzić zgodnie z zachowaniem standardów ochrony drzew</w:t>
      </w:r>
      <w:r w:rsidRPr="000B6588">
        <w:rPr>
          <w:vertAlign w:val="superscript"/>
        </w:rPr>
        <w:t xml:space="preserve"> </w:t>
      </w:r>
      <w:r w:rsidRPr="000B6588">
        <w:rPr>
          <w:vertAlign w:val="superscript"/>
        </w:rPr>
        <w:footnoteReference w:id="25"/>
      </w:r>
      <w:r w:rsidRPr="000B6588">
        <w:t>)</w:t>
      </w:r>
      <w:r w:rsidRPr="000B6588">
        <w:rPr>
          <w:vertAlign w:val="superscript"/>
        </w:rPr>
        <w:t xml:space="preserve"> </w:t>
      </w:r>
      <w:r w:rsidRPr="000B6588">
        <w:t xml:space="preserve">na niektórych terenach i prowadzić do częściowej bądź całkowitej zmiany wyglądu danej przestrzeni. Oddziaływanie dotyczy również obiektów inżynieryjnych, które to powinny podlegać osobnej ocenie pod kątem harmonizacji z otaczającym krajobrazem. Pozytywnym aspektem może być również aspekt harmonijnego wykonania obiektów inżynieryjnych w stosunku do otaczającego krajobrazu, dzięki czemu mogą one stać się lokalnym wyróżnikiem krajobrazu, stanowiącym w przyszłości także walor krajobrazu kulturowego. </w:t>
      </w:r>
    </w:p>
    <w:p w14:paraId="03A5A6C7" w14:textId="77777777" w:rsidR="009F1607" w:rsidRPr="000B6588" w:rsidRDefault="009F1607" w:rsidP="009F1607">
      <w:pPr>
        <w:spacing w:before="120" w:after="120"/>
      </w:pPr>
      <w:r w:rsidRPr="000B6588">
        <w:t>Inwestycje wiążą się z występowaniem czasowego, negatywnego oddziaływania na etapie budowy. Będzie to związane z pojawieniem się maszyn, urządzeń, środków transportu oraz składowaniem materiałów niezbędnych podczas procesu budowy. W tym przypadku skala negatywnego wpływu oddziaływania będzie miała charakter chwilowy, krótkoterminowy i wraz z zakończeniem prowadzenia prac ulegać będzie stopniowej poprawie.</w:t>
      </w:r>
    </w:p>
    <w:p w14:paraId="04FBDB6A" w14:textId="77777777" w:rsidR="009F1607" w:rsidRPr="000B6588" w:rsidRDefault="009F1607" w:rsidP="009F1607">
      <w:pPr>
        <w:spacing w:before="120" w:after="120"/>
      </w:pPr>
      <w:r w:rsidRPr="000B6588">
        <w:t xml:space="preserve">Wpływ na krajobraz na etapie eksploatacji i charakter oddziaływania zależeć będzie od zastosowanych rozwiązań. W przypadku budowy nowych dróg, których oddziaływanie na walory krajobrazowe może być negatywne, zaleca się wykonywanie szczegółowych analiz wpływu na aspekty wizualne krajobrazu. Minimalizacja negatywnego oddziaływania inwestycji powinna odbywać się na etapie projektowania. Zaleca się tu dążenie do zachowania harmonii pomiędzy budowlą inżynierską a krajobrazem. </w:t>
      </w:r>
    </w:p>
    <w:p w14:paraId="4D1D310C" w14:textId="77777777" w:rsidR="009F1607" w:rsidRPr="000B6588" w:rsidRDefault="009F1607" w:rsidP="009F1607">
      <w:pPr>
        <w:spacing w:before="120" w:after="120"/>
        <w:rPr>
          <w:highlight w:val="yellow"/>
        </w:rPr>
      </w:pPr>
      <w:r w:rsidRPr="000B6588">
        <w:t xml:space="preserve">Analiza potencjalnych działań w ramach priorytetu 5. </w:t>
      </w:r>
      <w:r w:rsidRPr="000B6588">
        <w:rPr>
          <w:b/>
          <w:i/>
        </w:rPr>
        <w:t xml:space="preserve">FUNDUSZE EUROPEJSKIE NA RZECZ PRZYJAZNEGO MIESZKANKOM I MIESZKAŃCOM POMORZA ZACHODNIEGO </w:t>
      </w:r>
      <w:r w:rsidRPr="000B6588">
        <w:t>w</w:t>
      </w:r>
      <w:r w:rsidRPr="000B6588">
        <w:rPr>
          <w:i/>
        </w:rPr>
        <w:t xml:space="preserve"> </w:t>
      </w:r>
      <w:r w:rsidRPr="000B6588">
        <w:t>większości będzie wiązała się z neutralnym wpływem na środowisko, gdyż obejmuje interwencje mające charakter nieinwestycyjny oddziaływujące na sferę społeczną. Potencjalne projekty inwestycyjne, które mogą oddziaływać na krajobraz związane są z</w:t>
      </w:r>
      <w:r w:rsidRPr="000B6588">
        <w:rPr>
          <w:szCs w:val="22"/>
        </w:rPr>
        <w:t xml:space="preserve"> </w:t>
      </w:r>
      <w:r w:rsidRPr="000B6588">
        <w:t xml:space="preserve">budową nowych obiektów budowlanych dla poprawy jakości usług publicznych w obszarze edukacji, zdrowia, pomocy społecznej, mieszkalnictwa, kultury i w większości dotyczyć będą krajobrazu antropogenicznie przekształconego. Nowopowstałe obiekty w przestrzeni miejskiej i wiejskiej uzupełnią istniejącą zabudowę i nie będą miały istotnego wpływu na krajobraz. Niemniej jednak celem harmonijnego uzupełnienia istniejącej zabudowy na etapie planowania inwestycji jest m.in. dbałość o estetykę nowych obiektów jak również ich bezpośredniego otoczenia. Oddziaływanie na krajobraz będzie miało charakter bezpośredni i stały. Natomiast biorąc pod uwagę działania przewidziane w ramach celu szczegółowego </w:t>
      </w:r>
      <w:r w:rsidRPr="009C77FD">
        <w:rPr>
          <w:i/>
        </w:rPr>
        <w:t>cs</w:t>
      </w:r>
      <w:r w:rsidRPr="000B6588">
        <w:t xml:space="preserve"> </w:t>
      </w:r>
      <w:r w:rsidRPr="009C77FD">
        <w:rPr>
          <w:i/>
        </w:rPr>
        <w:t>(vi):</w:t>
      </w:r>
      <w:r w:rsidRPr="000B6588">
        <w:t xml:space="preserve"> </w:t>
      </w:r>
      <w:r w:rsidRPr="000B6588">
        <w:rPr>
          <w:i/>
        </w:rPr>
        <w:t xml:space="preserve">Wzmocnienie roli kultury i zrównoważonej turystyki w rozwoju gospodarczym, włączeniu społecznym i innowacjach społecznych, </w:t>
      </w:r>
      <w:r w:rsidRPr="000B6588">
        <w:t>takie jak poprawa stanu zabytków należy się spodziewać pozytywnego wpływu na krajobraz w wyniku estetyzacji obiektów cennych kulturowo.</w:t>
      </w:r>
    </w:p>
    <w:p w14:paraId="73EF7465" w14:textId="77777777" w:rsidR="009F1607" w:rsidRPr="000B6588" w:rsidRDefault="009F1607" w:rsidP="009F1607">
      <w:pPr>
        <w:spacing w:before="120" w:after="120"/>
      </w:pPr>
      <w:r w:rsidRPr="000B6588">
        <w:t xml:space="preserve">Przewiduje się, że większość przedsięwzięć planowanych w ramach Priorytetu 6. </w:t>
      </w:r>
      <w:r w:rsidRPr="000B6588">
        <w:rPr>
          <w:b/>
          <w:i/>
        </w:rPr>
        <w:t xml:space="preserve">FUNDUSZE EUROPEJSKIE NA RZECZ AKTYWNEGO POMORZA ZACHODNIEGO </w:t>
      </w:r>
      <w:r w:rsidRPr="000B6588">
        <w:t>podobnie jak w</w:t>
      </w:r>
      <w:r w:rsidRPr="000B6588">
        <w:rPr>
          <w:i/>
        </w:rPr>
        <w:t xml:space="preserve"> </w:t>
      </w:r>
      <w:r w:rsidRPr="000B6588">
        <w:t xml:space="preserve">przypadku Priorytetu 5. obejmuje interwencje mające charakter nieinwestycyjny oddziaływujące na sferę społeczną, dlatego w większości będzie wiązała się z neutralnym wpływem na krajobraz. </w:t>
      </w:r>
    </w:p>
    <w:p w14:paraId="44513B21" w14:textId="77777777" w:rsidR="009F1607" w:rsidRPr="000B6588" w:rsidRDefault="009F1607" w:rsidP="009F1607">
      <w:pPr>
        <w:spacing w:before="120" w:after="120"/>
        <w:rPr>
          <w:b/>
        </w:rPr>
      </w:pPr>
      <w:r w:rsidRPr="000B6588">
        <w:t>Przy poszanowaniu lokalnych zasobów przyrody oraz minimalnej ingerencji w środowisko naturalne wraz z wykorzystaniem rozwiązań cyfrowych działania przewidziane w ramach Priorytetu 7.</w:t>
      </w:r>
      <w:r w:rsidRPr="000B6588">
        <w:rPr>
          <w:b/>
          <w:i/>
        </w:rPr>
        <w:t xml:space="preserve"> FUNDUSZE EUROPEJSKIE NA RZECZ PARTNERSKIEGO POMORZA ZACHODNIEGO </w:t>
      </w:r>
      <w:r w:rsidRPr="000B6588">
        <w:t xml:space="preserve">nie będą wywierały negatywnego wpływu na krajobraz. Inwestycje przewidziane w ramach celu szczegółowego </w:t>
      </w:r>
      <w:r w:rsidRPr="009C77FD">
        <w:rPr>
          <w:i/>
        </w:rPr>
        <w:t xml:space="preserve">cs </w:t>
      </w:r>
      <w:r w:rsidRPr="000B6588">
        <w:rPr>
          <w:i/>
          <w:iCs/>
        </w:rPr>
        <w:t>(i)</w:t>
      </w:r>
      <w:r>
        <w:rPr>
          <w:i/>
          <w:iCs/>
        </w:rPr>
        <w:t>:</w:t>
      </w:r>
      <w:r w:rsidRPr="000B6588">
        <w:rPr>
          <w:i/>
          <w:iCs/>
        </w:rPr>
        <w:t xml:space="preserve"> Wspieranie zintegrowanego i sprzyjającego włączeniu społecznemu rozwoju społecznego, gospodarczego i środowiskowego, kultury, dziedzictwa naturalnego, zrównoważonej turystyki i bezpieczeństwa na obszarach miejskich, </w:t>
      </w:r>
      <w:r w:rsidRPr="000B6588">
        <w:t>nadające nowe funkcje gospodarcze obszarom poprzemysłowym, powojskowym, pokolejowym, popegeerowskim, poprzez tworzenie centrów biznesowych, centrów usług wspólnych, dzielonych powierzchni magazynowych/wytwórczych czy usługowych dają możliwość do stworzenia nowych wartości krajobrazowych. Każdorazowo należy pamiętać o harmonijnym wykonaniu obiektów inżynieryjnych w stosunku do otaczającego krajobrazu.</w:t>
      </w:r>
    </w:p>
    <w:p w14:paraId="7B564550" w14:textId="77777777" w:rsidR="009F1607" w:rsidRDefault="009F1607" w:rsidP="009F1607">
      <w:pPr>
        <w:rPr>
          <w:rFonts w:cstheme="minorHAnsi"/>
        </w:rPr>
      </w:pPr>
      <w:r w:rsidRPr="000B6588">
        <w:t xml:space="preserve">Przewiduje się, że większość przedsięwzięć planowanych w ramach </w:t>
      </w:r>
      <w:r w:rsidRPr="00982E23">
        <w:rPr>
          <w:szCs w:val="24"/>
        </w:rPr>
        <w:t>Priorytet</w:t>
      </w:r>
      <w:r>
        <w:rPr>
          <w:szCs w:val="24"/>
        </w:rPr>
        <w:t>u 8.</w:t>
      </w:r>
      <w:r w:rsidRPr="00982E23">
        <w:rPr>
          <w:szCs w:val="24"/>
        </w:rPr>
        <w:t xml:space="preserve"> </w:t>
      </w:r>
      <w:r w:rsidRPr="00982E23">
        <w:rPr>
          <w:b/>
          <w:i/>
          <w:szCs w:val="24"/>
        </w:rPr>
        <w:t>POMOC TECHNICZNA</w:t>
      </w:r>
      <w:r>
        <w:rPr>
          <w:b/>
          <w:i/>
          <w:szCs w:val="24"/>
        </w:rPr>
        <w:t xml:space="preserve"> (EFRR)</w:t>
      </w:r>
      <w:r>
        <w:rPr>
          <w:szCs w:val="24"/>
        </w:rPr>
        <w:t xml:space="preserve"> oraz </w:t>
      </w:r>
      <w:r w:rsidRPr="00982E23">
        <w:rPr>
          <w:szCs w:val="24"/>
        </w:rPr>
        <w:t>Priorytet</w:t>
      </w:r>
      <w:r>
        <w:rPr>
          <w:szCs w:val="24"/>
        </w:rPr>
        <w:t>u 9.</w:t>
      </w:r>
      <w:r w:rsidRPr="00982E23">
        <w:rPr>
          <w:szCs w:val="24"/>
        </w:rPr>
        <w:t xml:space="preserve"> </w:t>
      </w:r>
      <w:r w:rsidRPr="00982E23">
        <w:rPr>
          <w:b/>
          <w:i/>
          <w:szCs w:val="24"/>
        </w:rPr>
        <w:t>POMOC TECHNICZNA</w:t>
      </w:r>
      <w:r>
        <w:rPr>
          <w:b/>
          <w:i/>
          <w:szCs w:val="24"/>
        </w:rPr>
        <w:t xml:space="preserve"> (EFS+)</w:t>
      </w:r>
      <w:r w:rsidRPr="000B6588">
        <w:rPr>
          <w:b/>
          <w:i/>
        </w:rPr>
        <w:t xml:space="preserve"> </w:t>
      </w:r>
      <w:r w:rsidRPr="000B6588">
        <w:t xml:space="preserve">nie będzie wiązała się z negatywnym wpływem na krajobraz. </w:t>
      </w:r>
      <w:r w:rsidRPr="000B6588">
        <w:rPr>
          <w:rFonts w:cstheme="minorHAnsi"/>
        </w:rPr>
        <w:t>Realizacja działań będzie miała neutralny charakter na krajobraz.</w:t>
      </w:r>
    </w:p>
    <w:p w14:paraId="37AE1695" w14:textId="77777777" w:rsidR="009F1607" w:rsidRPr="000B6588" w:rsidRDefault="009F1607" w:rsidP="009F1607">
      <w:pPr>
        <w:rPr>
          <w:rFonts w:cstheme="minorHAnsi"/>
        </w:rPr>
      </w:pPr>
    </w:p>
    <w:p w14:paraId="2CA52A2C" w14:textId="77777777" w:rsidR="009F1607" w:rsidRDefault="009F1607" w:rsidP="009F1607">
      <w:pPr>
        <w:pStyle w:val="Nagwek1"/>
        <w:numPr>
          <w:ilvl w:val="1"/>
          <w:numId w:val="4"/>
        </w:numPr>
        <w:ind w:left="1134" w:hanging="774"/>
        <w:rPr>
          <w:sz w:val="24"/>
        </w:rPr>
      </w:pPr>
      <w:bookmarkStart w:id="36" w:name="_Toc80283935"/>
      <w:bookmarkStart w:id="37" w:name="_Toc82945177"/>
      <w:bookmarkStart w:id="38" w:name="_Toc104790637"/>
      <w:bookmarkStart w:id="39" w:name="_Toc102902708"/>
      <w:r w:rsidRPr="00655B1E">
        <w:rPr>
          <w:caps w:val="0"/>
          <w:sz w:val="32"/>
        </w:rPr>
        <w:t>WPŁYW NA KLIMAT I ADAPTACJA DO ZMIAN KLIMATU</w:t>
      </w:r>
      <w:bookmarkEnd w:id="36"/>
      <w:bookmarkEnd w:id="37"/>
      <w:bookmarkEnd w:id="38"/>
      <w:r>
        <w:rPr>
          <w:caps w:val="0"/>
          <w:sz w:val="32"/>
        </w:rPr>
        <w:t xml:space="preserve"> </w:t>
      </w:r>
      <w:bookmarkEnd w:id="39"/>
    </w:p>
    <w:p w14:paraId="574F9DDE" w14:textId="77777777" w:rsidR="009F1607" w:rsidRPr="0085245B" w:rsidRDefault="009F1607" w:rsidP="009F1607">
      <w:pPr>
        <w:spacing w:before="120" w:after="120"/>
        <w:rPr>
          <w:rFonts w:cstheme="minorHAnsi"/>
          <w:szCs w:val="24"/>
        </w:rPr>
      </w:pPr>
      <w:bookmarkStart w:id="40" w:name="_Hlk55909221"/>
      <w:r w:rsidRPr="0085245B">
        <w:rPr>
          <w:rFonts w:cstheme="minorHAnsi"/>
          <w:szCs w:val="24"/>
        </w:rPr>
        <w:t>Nasilające się zmian</w:t>
      </w:r>
      <w:r>
        <w:rPr>
          <w:rFonts w:cstheme="minorHAnsi"/>
          <w:szCs w:val="24"/>
        </w:rPr>
        <w:t>y</w:t>
      </w:r>
      <w:r w:rsidRPr="0085245B">
        <w:rPr>
          <w:rFonts w:cstheme="minorHAnsi"/>
          <w:szCs w:val="24"/>
        </w:rPr>
        <w:t xml:space="preserve"> klimatu, których negatywne skutki coraz częściej odczuwalne są dla niemalże wszystkich stref społeczno-gospodarczych, warunkują konieczność podjęcia szeroko zakrojonych działań w tym obszarze. Jednym z działań kluczowych jest wdrożenie strategii w zakresie przeciwdziałania i równocześnie adaptacji do zmian klimatu. Opracowany strategiczny plan adaptacji dla sektorów i obszarów wrażliwych na zmiany klimatu</w:t>
      </w:r>
      <w:r w:rsidRPr="008842D5">
        <w:rPr>
          <w:rFonts w:cstheme="minorHAnsi"/>
          <w:szCs w:val="24"/>
          <w:vertAlign w:val="superscript"/>
        </w:rPr>
        <w:footnoteReference w:id="26"/>
      </w:r>
      <w:r w:rsidRPr="0085245B">
        <w:rPr>
          <w:rFonts w:cstheme="minorHAnsi"/>
          <w:szCs w:val="24"/>
        </w:rPr>
        <w:t xml:space="preserve">znajduje swoje odzwierciedlenie również w zapisach Programu FEPZ 2021-2027, czego bezpośrednim wyrazem jest zawarty w ramach </w:t>
      </w:r>
      <w:r w:rsidRPr="005A5137">
        <w:t>Priorytetu 2.</w:t>
      </w:r>
      <w:r w:rsidRPr="005A5137">
        <w:rPr>
          <w:b/>
          <w:i/>
        </w:rPr>
        <w:t xml:space="preserve"> </w:t>
      </w:r>
      <w:r w:rsidRPr="005A5137">
        <w:rPr>
          <w:b/>
          <w:i/>
          <w:szCs w:val="24"/>
        </w:rPr>
        <w:t>FUNDUSZE EUROPEJSKIE NA RZECZ ZIELONEGO POMORZA</w:t>
      </w:r>
      <w:r>
        <w:rPr>
          <w:b/>
          <w:i/>
          <w:szCs w:val="24"/>
        </w:rPr>
        <w:t xml:space="preserve"> </w:t>
      </w:r>
      <w:r w:rsidRPr="0024002F">
        <w:rPr>
          <w:b/>
          <w:i/>
        </w:rPr>
        <w:t>ZACHODNIEGO</w:t>
      </w:r>
      <w:r w:rsidRPr="0085245B">
        <w:rPr>
          <w:rFonts w:cstheme="minorHAnsi"/>
          <w:szCs w:val="24"/>
        </w:rPr>
        <w:t xml:space="preserve">, cel szczegółowy </w:t>
      </w:r>
      <w:r w:rsidRPr="00B40A98">
        <w:rPr>
          <w:rFonts w:cstheme="minorHAnsi"/>
          <w:i/>
          <w:iCs/>
          <w:szCs w:val="24"/>
        </w:rPr>
        <w:t>cs (iv): Wspieranie przystosowania się do zmian klimatu i zapobiegania ryzyku związanemu z klęskami żywiołowymi i katastrofami</w:t>
      </w:r>
      <w:r w:rsidRPr="0085245B">
        <w:rPr>
          <w:rFonts w:cstheme="minorHAnsi"/>
          <w:szCs w:val="24"/>
        </w:rPr>
        <w:t xml:space="preserve">, </w:t>
      </w:r>
      <w:r w:rsidRPr="00B40A98">
        <w:rPr>
          <w:rFonts w:cstheme="minorHAnsi"/>
          <w:i/>
          <w:iCs/>
          <w:szCs w:val="24"/>
        </w:rPr>
        <w:t>a także odporności, z uwzględnieniem podejścia ekosystemowego</w:t>
      </w:r>
      <w:r w:rsidRPr="0085245B">
        <w:rPr>
          <w:rFonts w:cstheme="minorHAnsi"/>
          <w:szCs w:val="24"/>
        </w:rPr>
        <w:t xml:space="preserve">; oraz pośrednio cele szczegółowe: </w:t>
      </w:r>
      <w:r w:rsidRPr="00B40A98">
        <w:rPr>
          <w:rFonts w:cstheme="minorHAnsi"/>
          <w:i/>
          <w:iCs/>
          <w:szCs w:val="24"/>
        </w:rPr>
        <w:t>cs (i): Wspieranie efektywności energetycznej i redukcji emisji gazów cieplarnianych</w:t>
      </w:r>
      <w:r w:rsidRPr="0085245B">
        <w:rPr>
          <w:rFonts w:cstheme="minorHAnsi"/>
          <w:szCs w:val="24"/>
        </w:rPr>
        <w:t xml:space="preserve"> oraz cs </w:t>
      </w:r>
      <w:r w:rsidRPr="00B40A98">
        <w:rPr>
          <w:rFonts w:cstheme="minorHAnsi"/>
          <w:i/>
          <w:iCs/>
          <w:szCs w:val="24"/>
        </w:rPr>
        <w:t>(ii): Wspieranie energii odnawialnej zgodnie z dyrektywą (UE) 2018/2001, w tym określonymi w niej kryteriami zrównoważonego rozwoju</w:t>
      </w:r>
      <w:r w:rsidRPr="0085245B">
        <w:rPr>
          <w:rFonts w:cstheme="minorHAnsi"/>
          <w:szCs w:val="24"/>
        </w:rPr>
        <w:t xml:space="preserve">. </w:t>
      </w:r>
    </w:p>
    <w:p w14:paraId="24683D38" w14:textId="77777777" w:rsidR="009F1607" w:rsidRPr="0085245B" w:rsidRDefault="009F1607" w:rsidP="009F1607">
      <w:pPr>
        <w:spacing w:before="120" w:after="120"/>
        <w:rPr>
          <w:rFonts w:cstheme="minorHAnsi"/>
          <w:szCs w:val="24"/>
        </w:rPr>
      </w:pPr>
      <w:r w:rsidRPr="0085245B">
        <w:rPr>
          <w:rFonts w:cstheme="minorHAnsi"/>
          <w:szCs w:val="24"/>
        </w:rPr>
        <w:t>Zgodnie z założeniami UE</w:t>
      </w:r>
      <w:r w:rsidRPr="008842D5">
        <w:rPr>
          <w:rFonts w:cstheme="minorHAnsi"/>
          <w:szCs w:val="24"/>
          <w:vertAlign w:val="superscript"/>
        </w:rPr>
        <w:footnoteReference w:id="27"/>
      </w:r>
      <w:r w:rsidRPr="008842D5">
        <w:rPr>
          <w:rFonts w:cstheme="minorHAnsi"/>
          <w:szCs w:val="24"/>
          <w:vertAlign w:val="superscript"/>
        </w:rPr>
        <w:t xml:space="preserve"> </w:t>
      </w:r>
      <w:r w:rsidRPr="0085245B">
        <w:rPr>
          <w:rFonts w:cstheme="minorHAnsi"/>
          <w:szCs w:val="24"/>
        </w:rPr>
        <w:t xml:space="preserve">działania związane z realizacją OOŚ, są dobrym sposobem pozwalającym na skoncentrowanie się wokół istotnych aspektów związanych ze zmianami klimatu. </w:t>
      </w:r>
      <w:bookmarkEnd w:id="40"/>
      <w:r>
        <w:rPr>
          <w:rFonts w:cstheme="minorHAnsi"/>
          <w:szCs w:val="24"/>
        </w:rPr>
        <w:t>Dlatego też zaleca</w:t>
      </w:r>
      <w:r w:rsidRPr="0085245B">
        <w:rPr>
          <w:rFonts w:cstheme="minorHAnsi"/>
          <w:szCs w:val="24"/>
        </w:rPr>
        <w:t xml:space="preserve"> się, aby</w:t>
      </w:r>
      <w:r>
        <w:rPr>
          <w:rFonts w:cstheme="minorHAnsi"/>
          <w:szCs w:val="24"/>
        </w:rPr>
        <w:t xml:space="preserve"> w oparciu o dokumenty</w:t>
      </w:r>
      <w:r w:rsidRPr="008A7AFD">
        <w:rPr>
          <w:rFonts w:cstheme="minorHAnsi"/>
          <w:szCs w:val="24"/>
          <w:vertAlign w:val="superscript"/>
        </w:rPr>
        <w:footnoteReference w:id="28"/>
      </w:r>
      <w:r w:rsidRPr="008A7AFD">
        <w:rPr>
          <w:rFonts w:cstheme="minorHAnsi"/>
          <w:szCs w:val="24"/>
          <w:vertAlign w:val="superscript"/>
        </w:rPr>
        <w:t>,</w:t>
      </w:r>
      <w:r w:rsidRPr="008A7AFD">
        <w:rPr>
          <w:rFonts w:cstheme="minorHAnsi"/>
          <w:szCs w:val="24"/>
          <w:vertAlign w:val="superscript"/>
        </w:rPr>
        <w:footnoteReference w:id="29"/>
      </w:r>
      <w:r w:rsidRPr="008A7AFD">
        <w:rPr>
          <w:rFonts w:cstheme="minorHAnsi"/>
          <w:szCs w:val="24"/>
          <w:vertAlign w:val="superscript"/>
        </w:rPr>
        <w:t>,</w:t>
      </w:r>
      <w:r w:rsidRPr="008A7AFD">
        <w:rPr>
          <w:rFonts w:cstheme="minorHAnsi"/>
          <w:szCs w:val="24"/>
          <w:vertAlign w:val="superscript"/>
        </w:rPr>
        <w:footnoteReference w:id="30"/>
      </w:r>
      <w:r w:rsidRPr="0085245B">
        <w:rPr>
          <w:rFonts w:cstheme="minorHAnsi"/>
          <w:szCs w:val="24"/>
        </w:rPr>
        <w:t>, tematycznie związan</w:t>
      </w:r>
      <w:r>
        <w:rPr>
          <w:rFonts w:cstheme="minorHAnsi"/>
          <w:szCs w:val="24"/>
        </w:rPr>
        <w:t>e</w:t>
      </w:r>
      <w:r w:rsidRPr="0085245B">
        <w:rPr>
          <w:rFonts w:cstheme="minorHAnsi"/>
          <w:szCs w:val="24"/>
        </w:rPr>
        <w:t xml:space="preserve"> z globalnym problemem jakim są zmiany klimatu oraz tematach bliskich temu negatywnemu zjawisku, uwzględniać kwestie środowiskowe na wczesnym etapie procesu inwestycyjnego, kiedy rozważane są różne warianty przedsięwzięcia i </w:t>
      </w:r>
      <w:r>
        <w:rPr>
          <w:rFonts w:cstheme="minorHAnsi"/>
          <w:szCs w:val="24"/>
        </w:rPr>
        <w:t>dostępnych jest jeszcze</w:t>
      </w:r>
      <w:r w:rsidRPr="0085245B">
        <w:rPr>
          <w:rFonts w:cstheme="minorHAnsi"/>
          <w:szCs w:val="24"/>
        </w:rPr>
        <w:t xml:space="preserve"> wiele możliwości ich modyfikacji</w:t>
      </w:r>
      <w:r w:rsidRPr="00076227">
        <w:rPr>
          <w:rFonts w:cstheme="minorHAnsi"/>
          <w:szCs w:val="24"/>
          <w:vertAlign w:val="superscript"/>
        </w:rPr>
        <w:footnoteReference w:id="31"/>
      </w:r>
      <w:r w:rsidRPr="0085245B">
        <w:rPr>
          <w:rFonts w:cstheme="minorHAnsi"/>
          <w:szCs w:val="24"/>
        </w:rPr>
        <w:t xml:space="preserve">. Oczekuje się, iż rezultatem zawczasu podjętych działań, może być podniesienie potencjału adaptacyjnego obszarów miejskich tracących funkcje społeczno-gospodarcze z racji braku odpowiednich mechanizmów zabezpieczających do obserwowanych i prognozowanych zmian klimatu. </w:t>
      </w:r>
    </w:p>
    <w:p w14:paraId="4E015294" w14:textId="77777777" w:rsidR="009F1607" w:rsidRDefault="009F1607" w:rsidP="009F1607">
      <w:pPr>
        <w:spacing w:before="120" w:after="120"/>
        <w:rPr>
          <w:rFonts w:cstheme="minorHAnsi"/>
          <w:szCs w:val="24"/>
        </w:rPr>
      </w:pPr>
      <w:r w:rsidRPr="0085245B">
        <w:rPr>
          <w:rFonts w:cstheme="minorHAnsi"/>
          <w:szCs w:val="24"/>
        </w:rPr>
        <w:t>Projekt Programu FE</w:t>
      </w:r>
      <w:r>
        <w:rPr>
          <w:rFonts w:cstheme="minorHAnsi"/>
          <w:szCs w:val="24"/>
        </w:rPr>
        <w:t>PZ</w:t>
      </w:r>
      <w:r w:rsidRPr="0085245B">
        <w:rPr>
          <w:rFonts w:cstheme="minorHAnsi"/>
          <w:szCs w:val="24"/>
        </w:rPr>
        <w:t xml:space="preserve">2021-2027 jest dokumentem wspierającym rozwój </w:t>
      </w:r>
      <w:r>
        <w:rPr>
          <w:rFonts w:cstheme="minorHAnsi"/>
          <w:szCs w:val="24"/>
        </w:rPr>
        <w:t>województwa zachodniopomorskiego</w:t>
      </w:r>
      <w:r w:rsidRPr="0085245B">
        <w:rPr>
          <w:rFonts w:cstheme="minorHAnsi"/>
          <w:szCs w:val="24"/>
        </w:rPr>
        <w:t>, w którym na równi z potrzebą rozwoju na płaszczyźnie społecznej i gospodarczej regionu podkreślono rangę wzrostu odporności środowiska na zmiany klimatyczne</w:t>
      </w:r>
      <w:r>
        <w:rPr>
          <w:rFonts w:cstheme="minorHAnsi"/>
          <w:szCs w:val="24"/>
        </w:rPr>
        <w:t xml:space="preserve"> oraz adaptacji przestrzeni miejskiej na zmieniające się warunki</w:t>
      </w:r>
      <w:r w:rsidRPr="0085245B">
        <w:rPr>
          <w:rFonts w:cstheme="minorHAnsi"/>
          <w:szCs w:val="24"/>
        </w:rPr>
        <w:t xml:space="preserve">. Zrównoważony rozwój woj. </w:t>
      </w:r>
      <w:r>
        <w:rPr>
          <w:rFonts w:cstheme="minorHAnsi"/>
          <w:szCs w:val="24"/>
        </w:rPr>
        <w:t>zachodniopomorskiego</w:t>
      </w:r>
      <w:r w:rsidRPr="0085245B">
        <w:rPr>
          <w:rFonts w:cstheme="minorHAnsi"/>
          <w:szCs w:val="24"/>
        </w:rPr>
        <w:t xml:space="preserve"> we wszystkich aspektach (społecznym, gospodarczym i środowiskowym) </w:t>
      </w:r>
      <w:r>
        <w:rPr>
          <w:rFonts w:cstheme="minorHAnsi"/>
          <w:szCs w:val="24"/>
        </w:rPr>
        <w:t xml:space="preserve">na równi ze zmianami organizacyjnymi, prawnymi, oraz poniesionymi </w:t>
      </w:r>
      <w:r w:rsidRPr="0085245B">
        <w:rPr>
          <w:rFonts w:cstheme="minorHAnsi"/>
          <w:szCs w:val="24"/>
        </w:rPr>
        <w:t xml:space="preserve">nakładami finansowymi </w:t>
      </w:r>
      <w:r>
        <w:rPr>
          <w:rFonts w:cstheme="minorHAnsi"/>
          <w:szCs w:val="24"/>
        </w:rPr>
        <w:t xml:space="preserve">(w tym poniesionymi na budowę, rozbudowę i modernizację infrastruktury) wymaga również </w:t>
      </w:r>
      <w:r w:rsidRPr="0085245B">
        <w:rPr>
          <w:rFonts w:cstheme="minorHAnsi"/>
          <w:szCs w:val="24"/>
        </w:rPr>
        <w:t>zmian postaw społecznych, które można uzyskać w efekcie prawdziwej rewolucji w myśleniu i działaniu jednostki. Dlatego też</w:t>
      </w:r>
      <w:r>
        <w:rPr>
          <w:rFonts w:cstheme="minorHAnsi"/>
          <w:szCs w:val="24"/>
        </w:rPr>
        <w:t xml:space="preserve">, mając na uwadze istotną rolę jaką pełni jednostka </w:t>
      </w:r>
      <w:r w:rsidRPr="0085245B">
        <w:rPr>
          <w:rFonts w:cstheme="minorHAnsi"/>
          <w:szCs w:val="24"/>
        </w:rPr>
        <w:t>w ujęciu społeczności lokalnej i regionalnej, na szczególną uwagę zasługują działania o charakterze edukacyjnym, promujące nowoczesne, prośrodowiskowe rozwiązania i technologie z obszaru energetyki, transportu i gospodarki odpadami, przewidziane w ramach</w:t>
      </w:r>
      <w:r>
        <w:rPr>
          <w:rFonts w:cstheme="minorHAnsi"/>
          <w:szCs w:val="24"/>
        </w:rPr>
        <w:t xml:space="preserve"> </w:t>
      </w:r>
      <w:r w:rsidRPr="005A5137">
        <w:t>Priorytetu 2.</w:t>
      </w:r>
      <w:r w:rsidRPr="005A5137">
        <w:rPr>
          <w:b/>
          <w:i/>
        </w:rPr>
        <w:t xml:space="preserve"> </w:t>
      </w:r>
      <w:r w:rsidRPr="005A5137">
        <w:rPr>
          <w:b/>
          <w:i/>
          <w:szCs w:val="24"/>
        </w:rPr>
        <w:t>FUNDUSZE EUROPEJSKIE NA RZECZ ZIELONEGO POMORZA</w:t>
      </w:r>
      <w:r>
        <w:rPr>
          <w:b/>
          <w:i/>
          <w:szCs w:val="24"/>
        </w:rPr>
        <w:t xml:space="preserve"> </w:t>
      </w:r>
      <w:r w:rsidRPr="0024002F">
        <w:rPr>
          <w:b/>
          <w:i/>
        </w:rPr>
        <w:t>ZACHODNIEGO</w:t>
      </w:r>
      <w:r>
        <w:rPr>
          <w:b/>
          <w:i/>
          <w:szCs w:val="24"/>
        </w:rPr>
        <w:t xml:space="preserve">, </w:t>
      </w:r>
      <w:r w:rsidRPr="0024002F">
        <w:t xml:space="preserve">Priorytetu 3. </w:t>
      </w:r>
      <w:r w:rsidRPr="0024002F">
        <w:rPr>
          <w:b/>
          <w:i/>
        </w:rPr>
        <w:t>FUNDUSZE EUROPEJSKIE NA RZECZ MOBILNEGO POMORZA ZACHODNIEGO</w:t>
      </w:r>
      <w:r>
        <w:t xml:space="preserve"> oraz </w:t>
      </w:r>
      <w:r w:rsidRPr="00C00F95">
        <w:t xml:space="preserve">Priorytetu 4. </w:t>
      </w:r>
      <w:r w:rsidRPr="00C00F95">
        <w:rPr>
          <w:b/>
          <w:i/>
        </w:rPr>
        <w:t>FUNDUSZE EUROPEJSKIE NA RZECZ POŁĄCZONEGO POMORZA ZACHODNIEGO</w:t>
      </w:r>
      <w:r>
        <w:t>.</w:t>
      </w:r>
    </w:p>
    <w:p w14:paraId="23C9CB50" w14:textId="77777777" w:rsidR="009F1607" w:rsidRPr="0085245B" w:rsidRDefault="009F1607" w:rsidP="009F1607">
      <w:pPr>
        <w:spacing w:before="120" w:after="120"/>
        <w:rPr>
          <w:rFonts w:cstheme="minorHAnsi"/>
          <w:szCs w:val="24"/>
        </w:rPr>
      </w:pPr>
      <w:r w:rsidRPr="0085245B">
        <w:rPr>
          <w:rFonts w:cstheme="minorHAnsi"/>
          <w:szCs w:val="24"/>
        </w:rPr>
        <w:t xml:space="preserve">Realizacja działań przewidziana w ramach w/w priorytetów, poprzez kreowanie wśród mieszkańców </w:t>
      </w:r>
      <w:r>
        <w:rPr>
          <w:rFonts w:cstheme="minorHAnsi"/>
          <w:szCs w:val="24"/>
        </w:rPr>
        <w:t>pomorza zachodniego</w:t>
      </w:r>
      <w:r w:rsidRPr="0085245B">
        <w:rPr>
          <w:rFonts w:cstheme="minorHAnsi"/>
          <w:szCs w:val="24"/>
        </w:rPr>
        <w:t xml:space="preserve"> prośrodowiskowych postaw i zachowań, oraz promowanie i wdrażaniu inwestycji prośrodowiskowych (w szczególności tzw. rozwiązań zeroemisyjnych) bezpośrednio wpłynie na obniżenie emisji zanieczyszczeń odprowadzanych do powietrza atmosferycznego</w:t>
      </w:r>
      <w:r>
        <w:rPr>
          <w:rFonts w:cstheme="minorHAnsi"/>
          <w:szCs w:val="24"/>
        </w:rPr>
        <w:t xml:space="preserve"> w regionie</w:t>
      </w:r>
      <w:r w:rsidRPr="0085245B">
        <w:rPr>
          <w:rFonts w:cstheme="minorHAnsi"/>
          <w:szCs w:val="24"/>
        </w:rPr>
        <w:t>, w tym gazów cieplarnianych, odpowiedzialnych za potęgowanie negatywnych skutków zmian klimatycznych. Rozwój świadomości ekologicznej m</w:t>
      </w:r>
      <w:r>
        <w:rPr>
          <w:rFonts w:cstheme="minorHAnsi"/>
          <w:szCs w:val="24"/>
        </w:rPr>
        <w:t xml:space="preserve">ieszkanek i mieszkańców województwa, przedsiębiorców oraz władz publicznych </w:t>
      </w:r>
      <w:r w:rsidRPr="0085245B">
        <w:rPr>
          <w:rFonts w:cstheme="minorHAnsi"/>
          <w:szCs w:val="24"/>
        </w:rPr>
        <w:t>w zakresie efektywności energetycznej i wykorzystania OZE</w:t>
      </w:r>
      <w:r>
        <w:rPr>
          <w:rFonts w:cstheme="minorHAnsi"/>
          <w:szCs w:val="24"/>
        </w:rPr>
        <w:t xml:space="preserve">, </w:t>
      </w:r>
      <w:r w:rsidRPr="0085245B">
        <w:rPr>
          <w:rFonts w:cstheme="minorHAnsi"/>
          <w:szCs w:val="24"/>
        </w:rPr>
        <w:t xml:space="preserve">realizowany będzie poprzez pakiet działań prowadzonych w ramach </w:t>
      </w:r>
      <w:r w:rsidRPr="005A5137">
        <w:t>Priorytetu 2.</w:t>
      </w:r>
      <w:r w:rsidRPr="005A5137">
        <w:rPr>
          <w:b/>
          <w:i/>
        </w:rPr>
        <w:t xml:space="preserve"> </w:t>
      </w:r>
      <w:r w:rsidRPr="005A5137">
        <w:rPr>
          <w:b/>
          <w:i/>
          <w:szCs w:val="24"/>
        </w:rPr>
        <w:t>FUNDUSZE EUROPEJSKIE NA RZECZ ZIELONEGO POMORZA</w:t>
      </w:r>
      <w:r>
        <w:rPr>
          <w:b/>
          <w:i/>
          <w:szCs w:val="24"/>
        </w:rPr>
        <w:t xml:space="preserve"> </w:t>
      </w:r>
      <w:r w:rsidRPr="0024002F">
        <w:rPr>
          <w:b/>
          <w:i/>
        </w:rPr>
        <w:t>ZACHODNIEGO</w:t>
      </w:r>
      <w:r w:rsidRPr="0085245B">
        <w:rPr>
          <w:rFonts w:cstheme="minorHAnsi"/>
          <w:szCs w:val="24"/>
        </w:rPr>
        <w:t>, cs (i</w:t>
      </w:r>
      <w:r w:rsidRPr="00901D62">
        <w:rPr>
          <w:rFonts w:cstheme="minorHAnsi"/>
          <w:i/>
          <w:iCs/>
          <w:szCs w:val="24"/>
        </w:rPr>
        <w:t>): Wspieranie efektywności energetycznej i redukcji emisji gazów cieplarnianych.</w:t>
      </w:r>
      <w:r w:rsidRPr="0085245B">
        <w:rPr>
          <w:rFonts w:cstheme="minorHAnsi"/>
          <w:szCs w:val="24"/>
        </w:rPr>
        <w:t xml:space="preserve"> Wsparcie</w:t>
      </w:r>
      <w:r>
        <w:rPr>
          <w:rFonts w:cstheme="minorHAnsi"/>
          <w:szCs w:val="24"/>
        </w:rPr>
        <w:t xml:space="preserve"> udzielane będzie w formie promocji, doradztwa, podnoszenia świadomości społecznej i wiedzy mieszkańców , m.in. w zakresie działań na rzecz niskoemisyjnej gospodarki obiegu zamkniętego, w tym efektywności energetycznej i wykorzystania OZE. Doradztwo i wsparcie merytoryczne </w:t>
      </w:r>
      <w:r w:rsidRPr="0085245B">
        <w:rPr>
          <w:rFonts w:cstheme="minorHAnsi"/>
          <w:szCs w:val="24"/>
        </w:rPr>
        <w:t>na poziomie lokalnym będzie komplementarne i uzupełniające do wsparcia projektów doradztwa energetycznego finansowanych z innych źródeł.</w:t>
      </w:r>
    </w:p>
    <w:p w14:paraId="0F8983D9" w14:textId="77777777" w:rsidR="009F1607" w:rsidRPr="0085245B" w:rsidRDefault="009F1607" w:rsidP="009F1607">
      <w:pPr>
        <w:spacing w:before="120" w:after="120"/>
        <w:rPr>
          <w:rFonts w:cstheme="minorHAnsi"/>
          <w:szCs w:val="24"/>
        </w:rPr>
      </w:pPr>
      <w:r>
        <w:rPr>
          <w:rFonts w:cstheme="minorHAnsi"/>
          <w:szCs w:val="24"/>
        </w:rPr>
        <w:t>Realizacja działań</w:t>
      </w:r>
      <w:r w:rsidRPr="0085245B">
        <w:rPr>
          <w:rFonts w:cstheme="minorHAnsi"/>
          <w:szCs w:val="24"/>
        </w:rPr>
        <w:t xml:space="preserve"> w ramach </w:t>
      </w:r>
      <w:r w:rsidRPr="005A5137">
        <w:t>Priorytetu 2.</w:t>
      </w:r>
      <w:r w:rsidRPr="005A5137">
        <w:rPr>
          <w:b/>
          <w:i/>
        </w:rPr>
        <w:t xml:space="preserve"> </w:t>
      </w:r>
      <w:r w:rsidRPr="005A5137">
        <w:rPr>
          <w:b/>
          <w:i/>
          <w:szCs w:val="24"/>
        </w:rPr>
        <w:t>FUNDUSZE EUROPEJSKIE NA RZECZ ZIELONEGO POMORZA</w:t>
      </w:r>
      <w:r>
        <w:rPr>
          <w:b/>
          <w:i/>
          <w:szCs w:val="24"/>
        </w:rPr>
        <w:t xml:space="preserve"> </w:t>
      </w:r>
      <w:r w:rsidRPr="0024002F">
        <w:rPr>
          <w:b/>
          <w:i/>
        </w:rPr>
        <w:t>ZACHODNIEGO</w:t>
      </w:r>
      <w:r>
        <w:rPr>
          <w:b/>
          <w:i/>
          <w:szCs w:val="24"/>
        </w:rPr>
        <w:t xml:space="preserve">, </w:t>
      </w:r>
      <w:r w:rsidRPr="0024002F">
        <w:t xml:space="preserve">Priorytetu 3. </w:t>
      </w:r>
      <w:r w:rsidRPr="0024002F">
        <w:rPr>
          <w:b/>
          <w:i/>
        </w:rPr>
        <w:t>FUNDUSZE EUROPEJSKIE NA RZECZ MOBILNEGO POMORZA ZACHODNIEGO</w:t>
      </w:r>
      <w:r>
        <w:t xml:space="preserve"> oraz </w:t>
      </w:r>
      <w:r w:rsidRPr="00C00F95">
        <w:t xml:space="preserve">Priorytetu 4. </w:t>
      </w:r>
      <w:r w:rsidRPr="00C00F95">
        <w:rPr>
          <w:b/>
          <w:i/>
        </w:rPr>
        <w:t>FUNDUSZE EUROPEJSKIE NA RZECZ POŁĄCZONEGO POMORZA ZACHODNIEGO</w:t>
      </w:r>
      <w:r>
        <w:t xml:space="preserve">, wpłyną bezpośrednio na obniżenie </w:t>
      </w:r>
      <w:r w:rsidRPr="0085245B">
        <w:rPr>
          <w:rFonts w:cstheme="minorHAnsi"/>
          <w:szCs w:val="24"/>
        </w:rPr>
        <w:t>emisji gazów cieplarnianych do atmosfery, a tym samym w perspektywie długoterminowej</w:t>
      </w:r>
      <w:r>
        <w:rPr>
          <w:rFonts w:cstheme="minorHAnsi"/>
          <w:szCs w:val="24"/>
        </w:rPr>
        <w:t xml:space="preserve">, będą pozytywnie oddziaływały na klimat całego regionu. </w:t>
      </w:r>
    </w:p>
    <w:p w14:paraId="2993CFC2" w14:textId="77777777" w:rsidR="009F1607" w:rsidRDefault="009F1607" w:rsidP="009F1607">
      <w:pPr>
        <w:spacing w:before="120" w:after="120"/>
        <w:rPr>
          <w:rFonts w:cstheme="minorHAnsi"/>
          <w:i/>
          <w:iCs/>
          <w:szCs w:val="24"/>
        </w:rPr>
      </w:pPr>
      <w:r w:rsidRPr="00DE2A0B">
        <w:rPr>
          <w:rFonts w:cstheme="minorHAnsi"/>
          <w:szCs w:val="24"/>
        </w:rPr>
        <w:t xml:space="preserve">Dodatkowo, w ramach </w:t>
      </w:r>
      <w:r w:rsidRPr="00DE2A0B">
        <w:t>Priorytetu 2.</w:t>
      </w:r>
      <w:r w:rsidRPr="00DE2A0B">
        <w:rPr>
          <w:b/>
        </w:rPr>
        <w:t xml:space="preserve"> </w:t>
      </w:r>
      <w:r w:rsidRPr="00DE2A0B">
        <w:rPr>
          <w:b/>
          <w:i/>
          <w:iCs/>
          <w:szCs w:val="24"/>
        </w:rPr>
        <w:t>FUNDUSZE EUROPEJSKIE NA RZECZ ZIELONEGO POMORZA</w:t>
      </w:r>
      <w:r>
        <w:rPr>
          <w:b/>
          <w:i/>
          <w:iCs/>
          <w:szCs w:val="24"/>
        </w:rPr>
        <w:t xml:space="preserve"> </w:t>
      </w:r>
      <w:r w:rsidRPr="0024002F">
        <w:rPr>
          <w:b/>
          <w:i/>
        </w:rPr>
        <w:t>ZACHODNIEGO</w:t>
      </w:r>
      <w:r w:rsidRPr="00DE2A0B">
        <w:rPr>
          <w:b/>
          <w:szCs w:val="24"/>
        </w:rPr>
        <w:t>,</w:t>
      </w:r>
      <w:r>
        <w:rPr>
          <w:rFonts w:cstheme="minorHAnsi"/>
          <w:szCs w:val="24"/>
        </w:rPr>
        <w:t xml:space="preserve"> w szczególności w obszarze</w:t>
      </w:r>
      <w:r w:rsidRPr="00DE2A0B">
        <w:rPr>
          <w:rFonts w:cstheme="minorHAnsi"/>
          <w:szCs w:val="24"/>
        </w:rPr>
        <w:t xml:space="preserve"> </w:t>
      </w:r>
      <w:r w:rsidRPr="00DE2A0B">
        <w:rPr>
          <w:rFonts w:cstheme="minorHAnsi"/>
          <w:i/>
          <w:iCs/>
          <w:szCs w:val="24"/>
        </w:rPr>
        <w:t>cs (iv):</w:t>
      </w:r>
      <w:r w:rsidRPr="00DE2A0B">
        <w:rPr>
          <w:rFonts w:cstheme="minorHAnsi"/>
          <w:szCs w:val="24"/>
        </w:rPr>
        <w:t xml:space="preserve"> </w:t>
      </w:r>
      <w:r w:rsidRPr="00DE2A0B">
        <w:rPr>
          <w:rFonts w:cstheme="minorHAnsi"/>
          <w:i/>
          <w:iCs/>
          <w:szCs w:val="24"/>
        </w:rPr>
        <w:t>Wspieranie przystosowania się do zmian klimatu i zapobiegania ryzyku związanemu z klęskami żywiołowymi i katastrofami, a także odporności, z uwzględnieniem podejścia ekosystemowego</w:t>
      </w:r>
      <w:r w:rsidRPr="0085245B">
        <w:rPr>
          <w:rFonts w:cstheme="minorHAnsi"/>
          <w:szCs w:val="24"/>
        </w:rPr>
        <w:t>, przewidziano szereg działań o charakterze inwestycyjnym z zakresu budowy, przebudowy lub remontu urządzeń i infrastruktury hydrotechnicznej mających szczególne znaczenie z punktu widzenia skutecznego zarzadzania, przeciwdziałania i ograniczania skutków suszy</w:t>
      </w:r>
      <w:r>
        <w:rPr>
          <w:rFonts w:cstheme="minorHAnsi"/>
          <w:szCs w:val="24"/>
        </w:rPr>
        <w:t xml:space="preserve">. Planowane do realizacji działania w obszarze ww. </w:t>
      </w:r>
      <w:r w:rsidRPr="00DE2A0B">
        <w:rPr>
          <w:rFonts w:cstheme="minorHAnsi"/>
          <w:i/>
          <w:iCs/>
          <w:szCs w:val="24"/>
        </w:rPr>
        <w:t>cs (iv)</w:t>
      </w:r>
      <w:r>
        <w:rPr>
          <w:rFonts w:cstheme="minorHAnsi"/>
          <w:i/>
          <w:iCs/>
          <w:szCs w:val="24"/>
        </w:rPr>
        <w:t>,</w:t>
      </w:r>
      <w:r>
        <w:rPr>
          <w:rFonts w:cstheme="minorHAnsi"/>
          <w:szCs w:val="24"/>
        </w:rPr>
        <w:t xml:space="preserve"> umożliwią bezpośrednio realizację kierunków interwencji </w:t>
      </w:r>
      <w:r w:rsidRPr="00DE2A0B">
        <w:rPr>
          <w:rFonts w:cstheme="minorHAnsi"/>
          <w:i/>
          <w:iCs/>
          <w:szCs w:val="24"/>
        </w:rPr>
        <w:t>Przeciwdziałanie zmianom klimatu i adaptacja do nich oraz Edukacja ekologiczna, w tym kształtowanie wzorców zrównoważonej konsumpcji z Polityki Ekologicznej Państwa 2030</w:t>
      </w:r>
      <w:r>
        <w:rPr>
          <w:rFonts w:cstheme="minorHAnsi"/>
          <w:szCs w:val="24"/>
        </w:rPr>
        <w:t xml:space="preserve"> oraz do strategicznych kierunków działań adaptacyjnych ujętych w </w:t>
      </w:r>
      <w:r w:rsidRPr="004B1E19">
        <w:rPr>
          <w:rFonts w:cstheme="minorHAnsi"/>
          <w:i/>
          <w:iCs/>
          <w:szCs w:val="24"/>
        </w:rPr>
        <w:t>Strategicznym Planie Adaptacji dla sektorów i obszarów wrażliwych na zmiany klimatu do roku 2020 z perspektywą do roku 2030</w:t>
      </w:r>
      <w:r>
        <w:rPr>
          <w:rFonts w:cstheme="minorHAnsi"/>
          <w:i/>
          <w:iCs/>
          <w:szCs w:val="24"/>
        </w:rPr>
        <w:t xml:space="preserve">. </w:t>
      </w:r>
    </w:p>
    <w:p w14:paraId="26961A99" w14:textId="77777777" w:rsidR="009F1607" w:rsidRPr="000F7E83" w:rsidRDefault="009F1607" w:rsidP="009F1607">
      <w:pPr>
        <w:spacing w:before="120" w:after="120"/>
        <w:rPr>
          <w:rFonts w:cstheme="minorHAnsi"/>
          <w:i/>
          <w:iCs/>
          <w:szCs w:val="24"/>
        </w:rPr>
      </w:pPr>
      <w:r w:rsidRPr="0085245B">
        <w:rPr>
          <w:rFonts w:cstheme="minorHAnsi"/>
          <w:szCs w:val="24"/>
        </w:rPr>
        <w:t>Zakłada się, iż realizacja większości działań wskazanych w FE</w:t>
      </w:r>
      <w:r>
        <w:rPr>
          <w:rFonts w:cstheme="minorHAnsi"/>
          <w:szCs w:val="24"/>
        </w:rPr>
        <w:t>PZ</w:t>
      </w:r>
      <w:r w:rsidRPr="0085245B">
        <w:rPr>
          <w:rFonts w:cstheme="minorHAnsi"/>
          <w:szCs w:val="24"/>
        </w:rPr>
        <w:t xml:space="preserve"> 2021-2027 w</w:t>
      </w:r>
      <w:r>
        <w:rPr>
          <w:rFonts w:cstheme="minorHAnsi"/>
          <w:szCs w:val="24"/>
        </w:rPr>
        <w:t xml:space="preserve"> perspektywie długoterminowej, w </w:t>
      </w:r>
      <w:r w:rsidRPr="0085245B">
        <w:rPr>
          <w:rFonts w:cstheme="minorHAnsi"/>
          <w:szCs w:val="24"/>
        </w:rPr>
        <w:t>sposób pośredni lub bezpośredni wpłynie pozytywnie na klimat</w:t>
      </w:r>
      <w:r>
        <w:rPr>
          <w:rFonts w:cstheme="minorHAnsi"/>
          <w:szCs w:val="24"/>
        </w:rPr>
        <w:t xml:space="preserve"> w ujęciu lokalnym i regionalnym</w:t>
      </w:r>
      <w:r w:rsidRPr="0085245B">
        <w:rPr>
          <w:rFonts w:cstheme="minorHAnsi"/>
          <w:szCs w:val="24"/>
        </w:rPr>
        <w:t xml:space="preserve">. Niemniej jednak, koniecznym jest zwracanie uwagi na etapie: wyboru projektów, projektowania oraz realizacji zamierzonych inwestycji, aby </w:t>
      </w:r>
      <w:r>
        <w:rPr>
          <w:rFonts w:cstheme="minorHAnsi"/>
          <w:szCs w:val="24"/>
        </w:rPr>
        <w:t xml:space="preserve">przedsięwzięcia </w:t>
      </w:r>
      <w:r w:rsidRPr="0085245B">
        <w:rPr>
          <w:rFonts w:cstheme="minorHAnsi"/>
          <w:szCs w:val="24"/>
        </w:rPr>
        <w:t>planowane do realizacji w ramach wszystkich celów szczegółowych w jak największym stopniu były odporne na niekorzystne zjawiska.</w:t>
      </w:r>
    </w:p>
    <w:p w14:paraId="6787203E" w14:textId="77777777" w:rsidR="009F1607" w:rsidRPr="0085245B" w:rsidRDefault="009F1607" w:rsidP="009F1607">
      <w:pPr>
        <w:spacing w:before="120" w:after="120"/>
        <w:rPr>
          <w:rFonts w:cstheme="minorHAnsi"/>
          <w:szCs w:val="24"/>
        </w:rPr>
      </w:pPr>
      <w:r w:rsidRPr="0085245B">
        <w:rPr>
          <w:rFonts w:cstheme="minorHAnsi"/>
          <w:szCs w:val="24"/>
        </w:rPr>
        <w:t xml:space="preserve">Założenia zawarte w </w:t>
      </w:r>
      <w:r>
        <w:rPr>
          <w:rFonts w:cstheme="minorHAnsi"/>
          <w:szCs w:val="24"/>
        </w:rPr>
        <w:t>FEPZ</w:t>
      </w:r>
      <w:r w:rsidRPr="0085245B">
        <w:rPr>
          <w:rFonts w:cstheme="minorHAnsi"/>
          <w:szCs w:val="24"/>
        </w:rPr>
        <w:t xml:space="preserve"> 2021-2027, w kwestii nakreślonych w ramach poszczególnych celów szczegółowych i planowanych w ramach nich działań, pośrednio wskazują, iż realizacja wspieranych przez dokument projektów będzie charakteryzowała się pozytywnym wpływem na zmiany klimatu. Jak opisano powyżej, na szczególną uwagę zasługują działania planowane do realizacji w ramach </w:t>
      </w:r>
      <w:r w:rsidRPr="005A5137">
        <w:t>Priorytetu</w:t>
      </w:r>
      <w:r w:rsidRPr="00DE2A0B">
        <w:t xml:space="preserve"> 2.</w:t>
      </w:r>
      <w:r w:rsidRPr="00DE2A0B">
        <w:rPr>
          <w:b/>
        </w:rPr>
        <w:t xml:space="preserve"> </w:t>
      </w:r>
      <w:r w:rsidRPr="00DE2A0B">
        <w:rPr>
          <w:b/>
          <w:i/>
          <w:iCs/>
          <w:szCs w:val="24"/>
        </w:rPr>
        <w:t>FUNDUSZE EUROPEJSKIE NA RZECZ ZIELONEGO POMORZA</w:t>
      </w:r>
      <w:r>
        <w:rPr>
          <w:b/>
          <w:i/>
          <w:iCs/>
          <w:szCs w:val="24"/>
        </w:rPr>
        <w:t xml:space="preserve"> </w:t>
      </w:r>
      <w:r w:rsidRPr="0024002F">
        <w:rPr>
          <w:b/>
          <w:i/>
        </w:rPr>
        <w:t>ZACHODNIEGO</w:t>
      </w:r>
      <w:r w:rsidRPr="0085245B">
        <w:rPr>
          <w:rFonts w:cstheme="minorHAnsi"/>
          <w:szCs w:val="24"/>
        </w:rPr>
        <w:t>. Efektem realizacji działań w</w:t>
      </w:r>
      <w:r>
        <w:rPr>
          <w:rFonts w:cstheme="minorHAnsi"/>
          <w:szCs w:val="24"/>
        </w:rPr>
        <w:t xml:space="preserve"> </w:t>
      </w:r>
      <w:r w:rsidRPr="0085245B">
        <w:rPr>
          <w:rFonts w:cstheme="minorHAnsi"/>
          <w:szCs w:val="24"/>
        </w:rPr>
        <w:t>obszarze celów szczegółowych:</w:t>
      </w:r>
    </w:p>
    <w:p w14:paraId="45ECE15C" w14:textId="77777777" w:rsidR="009F1607" w:rsidRPr="00CA7212" w:rsidRDefault="009F1607" w:rsidP="00622DC9">
      <w:pPr>
        <w:pStyle w:val="Akapitzlist"/>
        <w:numPr>
          <w:ilvl w:val="0"/>
          <w:numId w:val="19"/>
        </w:numPr>
        <w:spacing w:before="120" w:after="120"/>
        <w:jc w:val="both"/>
        <w:rPr>
          <w:rFonts w:cstheme="minorHAnsi"/>
          <w:szCs w:val="24"/>
        </w:rPr>
      </w:pPr>
      <w:r>
        <w:rPr>
          <w:i/>
          <w:szCs w:val="24"/>
        </w:rPr>
        <w:t>c</w:t>
      </w:r>
      <w:r w:rsidRPr="00AF7C0E">
        <w:rPr>
          <w:i/>
          <w:szCs w:val="24"/>
        </w:rPr>
        <w:t>s</w:t>
      </w:r>
      <w:r>
        <w:rPr>
          <w:i/>
          <w:szCs w:val="24"/>
        </w:rPr>
        <w:t xml:space="preserve"> </w:t>
      </w:r>
      <w:r w:rsidRPr="00AF7C0E">
        <w:rPr>
          <w:i/>
          <w:szCs w:val="24"/>
        </w:rPr>
        <w:t>(i):</w:t>
      </w:r>
      <w:r>
        <w:rPr>
          <w:szCs w:val="24"/>
        </w:rPr>
        <w:t xml:space="preserve"> </w:t>
      </w:r>
      <w:r w:rsidRPr="00867237">
        <w:rPr>
          <w:i/>
          <w:iCs/>
          <w:szCs w:val="24"/>
        </w:rPr>
        <w:t>Wspieranie</w:t>
      </w:r>
      <w:r w:rsidRPr="00867237">
        <w:rPr>
          <w:i/>
          <w:szCs w:val="24"/>
        </w:rPr>
        <w:t xml:space="preserve"> efektywności energetycznej i redukcji emisji gazów cieplarnianych</w:t>
      </w:r>
      <w:r>
        <w:rPr>
          <w:szCs w:val="24"/>
        </w:rPr>
        <w:t>;</w:t>
      </w:r>
    </w:p>
    <w:p w14:paraId="2B8E6369" w14:textId="77777777" w:rsidR="009F1607" w:rsidRPr="00CA7212" w:rsidRDefault="009F1607" w:rsidP="00622DC9">
      <w:pPr>
        <w:pStyle w:val="Akapitzlist"/>
        <w:numPr>
          <w:ilvl w:val="0"/>
          <w:numId w:val="19"/>
        </w:numPr>
        <w:spacing w:before="120" w:after="120"/>
        <w:rPr>
          <w:rFonts w:cstheme="minorHAnsi"/>
          <w:szCs w:val="24"/>
        </w:rPr>
      </w:pPr>
      <w:r w:rsidRPr="00867237">
        <w:rPr>
          <w:i/>
          <w:iCs/>
          <w:szCs w:val="24"/>
        </w:rPr>
        <w:t xml:space="preserve">cs (ii): </w:t>
      </w:r>
      <w:r w:rsidRPr="00867237">
        <w:rPr>
          <w:i/>
          <w:iCs/>
        </w:rPr>
        <w:t>Wspieranie energii odnawialnej zgodnie z dyrektywą (UE) 2018/200, w tym określonymi w niej kryteriami zrównoważonego rozwoju</w:t>
      </w:r>
      <w:r>
        <w:rPr>
          <w:i/>
          <w:iCs/>
        </w:rPr>
        <w:t>;</w:t>
      </w:r>
    </w:p>
    <w:p w14:paraId="10887695" w14:textId="77777777" w:rsidR="009F1607" w:rsidRPr="0085245B" w:rsidRDefault="009F1607" w:rsidP="00622DC9">
      <w:pPr>
        <w:pStyle w:val="Akapitzlist"/>
        <w:numPr>
          <w:ilvl w:val="0"/>
          <w:numId w:val="19"/>
        </w:numPr>
        <w:spacing w:before="120" w:after="120"/>
        <w:rPr>
          <w:rFonts w:cstheme="minorHAnsi"/>
          <w:szCs w:val="24"/>
        </w:rPr>
      </w:pPr>
      <w:r w:rsidRPr="00CA7212">
        <w:rPr>
          <w:rFonts w:cstheme="minorHAnsi"/>
          <w:i/>
          <w:iCs/>
          <w:szCs w:val="24"/>
        </w:rPr>
        <w:t>cs (iv):</w:t>
      </w:r>
      <w:r w:rsidRPr="0085245B">
        <w:rPr>
          <w:rFonts w:cstheme="minorHAnsi"/>
          <w:szCs w:val="24"/>
        </w:rPr>
        <w:t xml:space="preserve"> Wspieranie przystosowania się do zmian klimatu i</w:t>
      </w:r>
      <w:r>
        <w:rPr>
          <w:rFonts w:cstheme="minorHAnsi"/>
          <w:szCs w:val="24"/>
        </w:rPr>
        <w:t xml:space="preserve"> </w:t>
      </w:r>
      <w:r w:rsidRPr="0085245B">
        <w:rPr>
          <w:rFonts w:cstheme="minorHAnsi"/>
          <w:szCs w:val="24"/>
        </w:rPr>
        <w:t>zapobiegania ryzyku związanemu z</w:t>
      </w:r>
      <w:r>
        <w:rPr>
          <w:rFonts w:cstheme="minorHAnsi"/>
          <w:szCs w:val="24"/>
        </w:rPr>
        <w:t xml:space="preserve"> </w:t>
      </w:r>
      <w:r w:rsidRPr="0085245B">
        <w:rPr>
          <w:rFonts w:cstheme="minorHAnsi"/>
          <w:szCs w:val="24"/>
        </w:rPr>
        <w:t>klęskami żywiołowymi i</w:t>
      </w:r>
      <w:r>
        <w:rPr>
          <w:rFonts w:cstheme="minorHAnsi"/>
          <w:szCs w:val="24"/>
        </w:rPr>
        <w:t xml:space="preserve"> </w:t>
      </w:r>
      <w:r w:rsidRPr="0085245B">
        <w:rPr>
          <w:rFonts w:cstheme="minorHAnsi"/>
          <w:szCs w:val="24"/>
        </w:rPr>
        <w:t>katastrofami, a</w:t>
      </w:r>
      <w:r>
        <w:rPr>
          <w:rFonts w:cstheme="minorHAnsi"/>
          <w:szCs w:val="24"/>
        </w:rPr>
        <w:t xml:space="preserve"> </w:t>
      </w:r>
      <w:r w:rsidRPr="0085245B">
        <w:rPr>
          <w:rFonts w:cstheme="minorHAnsi"/>
          <w:szCs w:val="24"/>
        </w:rPr>
        <w:t>także odporności, z uwzględnieniem podejścia ekosystemowego;</w:t>
      </w:r>
    </w:p>
    <w:p w14:paraId="5E39F7E3" w14:textId="77777777" w:rsidR="009F1607" w:rsidRPr="00CA7212" w:rsidRDefault="009F1607" w:rsidP="00622DC9">
      <w:pPr>
        <w:pStyle w:val="Akapitzlist"/>
        <w:numPr>
          <w:ilvl w:val="0"/>
          <w:numId w:val="19"/>
        </w:numPr>
        <w:spacing w:before="120" w:after="120"/>
        <w:rPr>
          <w:rFonts w:cstheme="minorHAnsi"/>
          <w:i/>
          <w:iCs/>
          <w:szCs w:val="24"/>
        </w:rPr>
      </w:pPr>
      <w:r w:rsidRPr="00CA7212">
        <w:rPr>
          <w:rFonts w:cstheme="minorHAnsi"/>
          <w:i/>
          <w:iCs/>
          <w:szCs w:val="24"/>
        </w:rPr>
        <w:t>cs (v): Wspieranie dostępu do wody oraz zrównoważonej gospodarki wodnej;</w:t>
      </w:r>
    </w:p>
    <w:p w14:paraId="70E79D6C" w14:textId="77777777" w:rsidR="009F1607" w:rsidRPr="00CA7212" w:rsidRDefault="009F1607" w:rsidP="00622DC9">
      <w:pPr>
        <w:pStyle w:val="Akapitzlist"/>
        <w:numPr>
          <w:ilvl w:val="0"/>
          <w:numId w:val="19"/>
        </w:numPr>
        <w:spacing w:before="120" w:after="120"/>
        <w:jc w:val="both"/>
        <w:rPr>
          <w:rFonts w:cstheme="minorHAnsi"/>
          <w:i/>
          <w:iCs/>
          <w:szCs w:val="24"/>
        </w:rPr>
      </w:pPr>
      <w:r w:rsidRPr="00CA7212">
        <w:rPr>
          <w:rFonts w:cstheme="minorHAnsi"/>
          <w:i/>
          <w:iCs/>
          <w:szCs w:val="24"/>
        </w:rPr>
        <w:t>cs (vi): Wspieranie transformacji w</w:t>
      </w:r>
      <w:r>
        <w:rPr>
          <w:rFonts w:cstheme="minorHAnsi"/>
          <w:i/>
          <w:iCs/>
          <w:szCs w:val="24"/>
        </w:rPr>
        <w:t xml:space="preserve"> </w:t>
      </w:r>
      <w:r w:rsidRPr="00CA7212">
        <w:rPr>
          <w:rFonts w:cstheme="minorHAnsi"/>
          <w:i/>
          <w:iCs/>
          <w:szCs w:val="24"/>
        </w:rPr>
        <w:t>kierunku gospodarki o</w:t>
      </w:r>
      <w:r>
        <w:rPr>
          <w:rFonts w:cstheme="minorHAnsi"/>
          <w:i/>
          <w:iCs/>
          <w:szCs w:val="24"/>
        </w:rPr>
        <w:t xml:space="preserve"> </w:t>
      </w:r>
      <w:r w:rsidRPr="00CA7212">
        <w:rPr>
          <w:rFonts w:cstheme="minorHAnsi"/>
          <w:i/>
          <w:iCs/>
          <w:szCs w:val="24"/>
        </w:rPr>
        <w:t>obiegu zamkniętym i gospodarki zasobooszczędnej;</w:t>
      </w:r>
    </w:p>
    <w:p w14:paraId="008F2FE6" w14:textId="77777777" w:rsidR="009F1607" w:rsidRPr="0085245B" w:rsidRDefault="009F1607" w:rsidP="009F1607">
      <w:pPr>
        <w:spacing w:before="120" w:after="120"/>
        <w:rPr>
          <w:rFonts w:cstheme="minorHAnsi"/>
          <w:szCs w:val="24"/>
        </w:rPr>
      </w:pPr>
      <w:r w:rsidRPr="0085245B">
        <w:rPr>
          <w:rFonts w:cstheme="minorHAnsi"/>
          <w:szCs w:val="24"/>
        </w:rPr>
        <w:t xml:space="preserve">będzie istotna zmiana jakościowa dokonana w zakresie zmniejszenia emisji dwutlenku węgla </w:t>
      </w:r>
      <w:r>
        <w:rPr>
          <w:rFonts w:cstheme="minorHAnsi"/>
          <w:szCs w:val="24"/>
        </w:rPr>
        <w:t>(</w:t>
      </w:r>
      <w:r w:rsidRPr="00CA7212">
        <w:rPr>
          <w:rFonts w:cstheme="minorHAnsi"/>
          <w:szCs w:val="24"/>
        </w:rPr>
        <w:t>CO</w:t>
      </w:r>
      <w:r w:rsidRPr="00CA7212">
        <w:rPr>
          <w:rFonts w:cstheme="minorHAnsi"/>
          <w:szCs w:val="24"/>
          <w:vertAlign w:val="subscript"/>
        </w:rPr>
        <w:t>2</w:t>
      </w:r>
      <w:r>
        <w:rPr>
          <w:rFonts w:cstheme="minorHAnsi"/>
          <w:szCs w:val="24"/>
        </w:rPr>
        <w:t xml:space="preserve">) </w:t>
      </w:r>
      <w:r w:rsidRPr="00CA7212">
        <w:rPr>
          <w:rFonts w:cstheme="minorHAnsi"/>
          <w:szCs w:val="24"/>
        </w:rPr>
        <w:t>i</w:t>
      </w:r>
      <w:r w:rsidRPr="0085245B">
        <w:rPr>
          <w:rFonts w:cstheme="minorHAnsi"/>
          <w:szCs w:val="24"/>
        </w:rPr>
        <w:t xml:space="preserve"> innych zanieczyszczeń uciążliwych dla środowiska i mieszkańców. Podobna sytuacja obserwowana będzie w przypadku projektów realizowanych w ramach </w:t>
      </w:r>
      <w:r w:rsidRPr="0024002F">
        <w:t xml:space="preserve">Priorytetu 3. </w:t>
      </w:r>
      <w:r w:rsidRPr="0024002F">
        <w:rPr>
          <w:b/>
          <w:i/>
        </w:rPr>
        <w:t>FUNDUSZE EUROPEJSKIE NA RZECZ MOBILNEGO POMORZA ZACHODNIEGO</w:t>
      </w:r>
      <w:r w:rsidRPr="0085245B">
        <w:rPr>
          <w:rFonts w:cstheme="minorHAnsi"/>
          <w:szCs w:val="24"/>
        </w:rPr>
        <w:t xml:space="preserve"> (</w:t>
      </w:r>
      <w:r w:rsidRPr="0024002F">
        <w:rPr>
          <w:i/>
        </w:rPr>
        <w:t xml:space="preserve">cs (viii): </w:t>
      </w:r>
      <w:r w:rsidRPr="0024002F">
        <w:rPr>
          <w:i/>
          <w:iCs/>
        </w:rPr>
        <w:t>Wspieranie zrównoważonej multimodalnej mobilności miejskiej jako elementu transformacji w kierunku gospodarki zeroemisyjnej</w:t>
      </w:r>
      <w:r w:rsidRPr="0085245B">
        <w:rPr>
          <w:rFonts w:cstheme="minorHAnsi"/>
          <w:szCs w:val="24"/>
        </w:rPr>
        <w:t>)</w:t>
      </w:r>
      <w:r>
        <w:rPr>
          <w:rFonts w:cstheme="minorHAnsi"/>
          <w:szCs w:val="24"/>
        </w:rPr>
        <w:t xml:space="preserve">. Realizacja działań w ramach ww. Priorytetu wpłynie </w:t>
      </w:r>
      <w:r w:rsidRPr="0085245B">
        <w:rPr>
          <w:rFonts w:cstheme="minorHAnsi"/>
          <w:szCs w:val="24"/>
        </w:rPr>
        <w:t>bezpośrednio na obniżenie emisji zanieczyszczeń spalinowych emitowanych do atmosfery z sektora transportu. Zakup lub modernizacja niskoemisyjnego taboru autobusowego do połączeń miejskich i podmiejskich, przebudowa infrastruktury transportu publicznego oraz inwestycje ograniczające indywidualny ruch zmotoryzowanych wpłyną bezpośrednio na jakość powietrza atmosferycznego, a poprzez ograniczenia ilości emitowanych zanieczyszczeń wpłyną pozytywnie również na klimat.</w:t>
      </w:r>
    </w:p>
    <w:p w14:paraId="102D412E" w14:textId="77777777" w:rsidR="009F1607" w:rsidRPr="0085245B" w:rsidRDefault="009F1607" w:rsidP="009F1607">
      <w:pPr>
        <w:spacing w:before="120" w:after="120"/>
        <w:rPr>
          <w:rFonts w:cstheme="minorHAnsi"/>
          <w:szCs w:val="24"/>
        </w:rPr>
      </w:pPr>
      <w:r w:rsidRPr="0085245B">
        <w:rPr>
          <w:rFonts w:cstheme="minorHAnsi"/>
          <w:szCs w:val="24"/>
        </w:rPr>
        <w:t>W kwestii</w:t>
      </w:r>
      <w:r>
        <w:rPr>
          <w:rFonts w:cstheme="minorHAnsi"/>
          <w:szCs w:val="24"/>
        </w:rPr>
        <w:t xml:space="preserve"> potencjalnych negatywnych oddziaływań, to podobnie jak w przypadku oceny przeprowadzanej dla komponentu środowiska jakim jest powietrze atmosferyczne</w:t>
      </w:r>
      <w:r w:rsidRPr="0085245B">
        <w:rPr>
          <w:rFonts w:cstheme="minorHAnsi"/>
          <w:szCs w:val="24"/>
        </w:rPr>
        <w:t xml:space="preserve">, potencjalne oddziaływania wystąpią głównie w trakcie realizacji działań </w:t>
      </w:r>
      <w:r>
        <w:rPr>
          <w:rFonts w:cstheme="minorHAnsi"/>
          <w:szCs w:val="24"/>
        </w:rPr>
        <w:t xml:space="preserve">o charakterze </w:t>
      </w:r>
      <w:r w:rsidRPr="0085245B">
        <w:rPr>
          <w:rFonts w:cstheme="minorHAnsi"/>
          <w:szCs w:val="24"/>
        </w:rPr>
        <w:t xml:space="preserve">inwestycyjnych związanych z budową, rozbudową lub modernizacją infrastruktury technicznej </w:t>
      </w:r>
      <w:r>
        <w:rPr>
          <w:rFonts w:cstheme="minorHAnsi"/>
          <w:szCs w:val="24"/>
        </w:rPr>
        <w:t xml:space="preserve">(elementów infrastruktury technicznej, w tym: budynków, obiektów, dróg, ciągów pieszo-rowerowych, etc.) planowanych do realizacji w ramach: </w:t>
      </w:r>
      <w:r>
        <w:rPr>
          <w:szCs w:val="24"/>
        </w:rPr>
        <w:t xml:space="preserve">Priorytetu </w:t>
      </w:r>
      <w:r w:rsidRPr="000A013A">
        <w:rPr>
          <w:szCs w:val="24"/>
        </w:rPr>
        <w:t xml:space="preserve">1. </w:t>
      </w:r>
      <w:r w:rsidRPr="000A013A">
        <w:rPr>
          <w:b/>
          <w:i/>
          <w:szCs w:val="24"/>
        </w:rPr>
        <w:t>FUNDUSZE EUROPEJSKIE NA RZECZ PRZEDSIĘBIORCZEGO POMORZA ZACHODNIEGO</w:t>
      </w:r>
      <w:r>
        <w:rPr>
          <w:b/>
          <w:i/>
          <w:szCs w:val="24"/>
        </w:rPr>
        <w:t xml:space="preserve">, </w:t>
      </w:r>
      <w:r w:rsidRPr="005A5137">
        <w:t>Priorytetu 2.</w:t>
      </w:r>
      <w:r w:rsidRPr="005A5137">
        <w:rPr>
          <w:b/>
          <w:i/>
        </w:rPr>
        <w:t xml:space="preserve"> </w:t>
      </w:r>
      <w:r w:rsidRPr="005A5137">
        <w:rPr>
          <w:b/>
          <w:i/>
          <w:szCs w:val="24"/>
        </w:rPr>
        <w:t>FUNDUSZE EUROPEJSKIE NA RZECZ ZIELONEGO POMORZA</w:t>
      </w:r>
      <w:r>
        <w:rPr>
          <w:b/>
          <w:i/>
          <w:szCs w:val="24"/>
        </w:rPr>
        <w:t xml:space="preserve"> </w:t>
      </w:r>
      <w:r w:rsidRPr="0024002F">
        <w:rPr>
          <w:b/>
          <w:i/>
        </w:rPr>
        <w:t>ZACHODNIEGO</w:t>
      </w:r>
      <w:r>
        <w:rPr>
          <w:b/>
          <w:i/>
          <w:szCs w:val="24"/>
        </w:rPr>
        <w:t>,</w:t>
      </w:r>
      <w:r w:rsidRPr="000A013A">
        <w:rPr>
          <w:b/>
          <w:i/>
          <w:szCs w:val="24"/>
        </w:rPr>
        <w:t xml:space="preserve"> </w:t>
      </w:r>
      <w:r w:rsidRPr="0024002F">
        <w:t xml:space="preserve">Priorytetu 3. </w:t>
      </w:r>
      <w:r w:rsidRPr="0024002F">
        <w:rPr>
          <w:b/>
          <w:i/>
        </w:rPr>
        <w:t>FUNDUSZE EUROPEJSKIE NA RZECZ MOBILNEGO POMORZA ZACHODNIEGO</w:t>
      </w:r>
      <w:r w:rsidRPr="0085245B">
        <w:rPr>
          <w:rFonts w:cstheme="minorHAnsi"/>
          <w:szCs w:val="24"/>
        </w:rPr>
        <w:t xml:space="preserve">, </w:t>
      </w:r>
      <w:r>
        <w:rPr>
          <w:rFonts w:cstheme="minorHAnsi"/>
          <w:szCs w:val="24"/>
        </w:rPr>
        <w:t xml:space="preserve">Priorytetu </w:t>
      </w:r>
      <w:r w:rsidRPr="00C00F95">
        <w:t xml:space="preserve">4. </w:t>
      </w:r>
      <w:r w:rsidRPr="00C00F95">
        <w:rPr>
          <w:b/>
          <w:i/>
        </w:rPr>
        <w:t>FUNDUSZE EUROPEJSKIE NA RZECZ POŁĄCZONEGO POMORZA ZACHODNIEGO</w:t>
      </w:r>
      <w:r w:rsidRPr="00C00F95">
        <w:t>,</w:t>
      </w:r>
      <w:r>
        <w:t xml:space="preserve"> </w:t>
      </w:r>
      <w:r w:rsidRPr="00ED3A67">
        <w:rPr>
          <w:rFonts w:cstheme="minorHAnsi"/>
          <w:szCs w:val="24"/>
        </w:rPr>
        <w:t xml:space="preserve">Priorytetu 5. </w:t>
      </w:r>
      <w:r w:rsidRPr="00ED3A67">
        <w:rPr>
          <w:rFonts w:cstheme="minorHAnsi"/>
          <w:b/>
          <w:i/>
          <w:szCs w:val="24"/>
        </w:rPr>
        <w:t>FUNDUSZE EUROPEJSKIE NA RZECZ PRZYJAZNEGO MIESZKANKOM I MIESZKAŃCOM POMORZA ZACHODNIEGO</w:t>
      </w:r>
      <w:r>
        <w:rPr>
          <w:rFonts w:cstheme="minorHAnsi"/>
          <w:szCs w:val="24"/>
        </w:rPr>
        <w:t xml:space="preserve">, </w:t>
      </w:r>
      <w:r w:rsidRPr="00751E87">
        <w:t xml:space="preserve">Priorytetu 6. </w:t>
      </w:r>
      <w:r w:rsidRPr="00751E87">
        <w:rPr>
          <w:rFonts w:cstheme="minorHAnsi"/>
          <w:b/>
          <w:i/>
          <w:szCs w:val="24"/>
        </w:rPr>
        <w:t>FUNDUSZE EUROPEJSKIE NA RZECZ AKTYWNEGO POMORZA ZACHODNIEGO</w:t>
      </w:r>
      <w:r>
        <w:rPr>
          <w:rFonts w:cstheme="minorHAnsi"/>
          <w:szCs w:val="24"/>
        </w:rPr>
        <w:t xml:space="preserve"> oraz </w:t>
      </w:r>
      <w:r w:rsidRPr="007B1158">
        <w:rPr>
          <w:rFonts w:cstheme="minorHAnsi"/>
          <w:szCs w:val="24"/>
        </w:rPr>
        <w:t xml:space="preserve">Priorytetu 7. </w:t>
      </w:r>
      <w:r w:rsidRPr="007B1158">
        <w:rPr>
          <w:rFonts w:cstheme="minorHAnsi"/>
          <w:b/>
          <w:i/>
          <w:szCs w:val="24"/>
        </w:rPr>
        <w:t>FUNDUSZE EUROPEJSKIE NA RZECZ PARTNERSKIEGO POMORZA ZACHODNIEGO</w:t>
      </w:r>
      <w:r>
        <w:rPr>
          <w:rFonts w:cstheme="minorHAnsi"/>
          <w:b/>
          <w:i/>
          <w:szCs w:val="24"/>
        </w:rPr>
        <w:t>.</w:t>
      </w:r>
      <w:r>
        <w:rPr>
          <w:rFonts w:cstheme="minorHAnsi"/>
          <w:szCs w:val="24"/>
        </w:rPr>
        <w:t xml:space="preserve"> </w:t>
      </w:r>
      <w:r w:rsidRPr="0085245B">
        <w:rPr>
          <w:rFonts w:cstheme="minorHAnsi"/>
          <w:szCs w:val="24"/>
        </w:rPr>
        <w:t xml:space="preserve">Zakłada się jednak, że wpływ planowanych działań inwestycyjnych na klimat będzie miał charakter lokalny i ograniczy się jedynie do terenu przeznaczonego pod budowę lub rozbudowę. </w:t>
      </w:r>
    </w:p>
    <w:p w14:paraId="332A4526" w14:textId="77777777" w:rsidR="009F1607" w:rsidRDefault="009F1607" w:rsidP="009F1607">
      <w:pPr>
        <w:spacing w:before="120" w:after="120"/>
        <w:rPr>
          <w:rFonts w:cstheme="minorHAnsi"/>
          <w:szCs w:val="24"/>
        </w:rPr>
      </w:pPr>
      <w:r>
        <w:rPr>
          <w:rFonts w:cstheme="minorHAnsi"/>
          <w:szCs w:val="24"/>
        </w:rPr>
        <w:t>Ewentualne oddziaływanie na klimat w zakresie e</w:t>
      </w:r>
      <w:r w:rsidRPr="0085245B">
        <w:rPr>
          <w:rFonts w:cstheme="minorHAnsi"/>
          <w:szCs w:val="24"/>
        </w:rPr>
        <w:t>misj</w:t>
      </w:r>
      <w:r>
        <w:rPr>
          <w:rFonts w:cstheme="minorHAnsi"/>
          <w:szCs w:val="24"/>
        </w:rPr>
        <w:t>i</w:t>
      </w:r>
      <w:r w:rsidRPr="0085245B">
        <w:rPr>
          <w:rFonts w:cstheme="minorHAnsi"/>
          <w:szCs w:val="24"/>
        </w:rPr>
        <w:t xml:space="preserve"> gazów cieplarnianych związan</w:t>
      </w:r>
      <w:r>
        <w:rPr>
          <w:rFonts w:cstheme="minorHAnsi"/>
          <w:szCs w:val="24"/>
        </w:rPr>
        <w:t>e</w:t>
      </w:r>
      <w:r w:rsidRPr="0085245B">
        <w:rPr>
          <w:rFonts w:cstheme="minorHAnsi"/>
          <w:szCs w:val="24"/>
        </w:rPr>
        <w:t xml:space="preserve"> będzie głównie z zanieczyszczeniami emitowanymi z pojazdów i urządzeń spalinowych funkcjonujących na terenie budowy oraz unosem z eksploatowanych dróg miejskich, lokalnych i dojazdowych. Przewiduje się, iż na etapie inwestycji, wskazane powyżej oddziaływania będą miały charakter lokalny i krótkoterminowy. Niemniej jednak, z uwagi na zmianę sposobu zagospodarowania przestrzeni miejskiej w miejscu inwestycji oraz w bezpośrednim sąsiedztwie przedsięwzięcia nastąpi zmiana wilgotności gleby, wilgotności powietrza, nasłonecznienia, temperatury gleby i częściowo temperatury powietrza. Zakładane wahania oraz potencjalne zmiany mikroklimatu jakie wystąpić mogą na etapie realizacji oraz funkcjonowania inwestycji polegały będą m.in. na: – podwyższeniu temperatury przy powierzchni gruntu, – zmniejszeniu wilgotności przy gruncie (woda łatwiej będzie parowała z gładkiej, cieplejszej powierzchni). Niemniej jednak należy mieć na uwadze, że o ile skutki zmian mikroklimatu będą miały charakter trwały, to jednak za wyjątkiem gazów cieplarnianych emitowanych na etapie budowy, funkcjonowanie nowych lub zmodernizowanych obiektów infrastruktury technicznej, nie będzie wpływało na pogorszenie klimatu w </w:t>
      </w:r>
      <w:r>
        <w:rPr>
          <w:rFonts w:cstheme="minorHAnsi"/>
          <w:szCs w:val="24"/>
        </w:rPr>
        <w:t>regionie pomorza zachodniego.</w:t>
      </w:r>
    </w:p>
    <w:p w14:paraId="77AB9410" w14:textId="77777777" w:rsidR="009F1607" w:rsidRPr="007B1158" w:rsidRDefault="009F1607" w:rsidP="009F1607">
      <w:pPr>
        <w:rPr>
          <w:rFonts w:cstheme="minorHAnsi"/>
          <w:b/>
          <w:i/>
          <w:szCs w:val="24"/>
        </w:rPr>
      </w:pPr>
      <w:r w:rsidRPr="007B1158">
        <w:rPr>
          <w:rFonts w:cstheme="minorHAnsi"/>
          <w:szCs w:val="24"/>
        </w:rPr>
        <w:t xml:space="preserve">Realizacja działań w ramach Priorytetu 8. </w:t>
      </w:r>
      <w:r w:rsidRPr="007B1158">
        <w:rPr>
          <w:rFonts w:cstheme="minorHAnsi"/>
          <w:b/>
          <w:i/>
          <w:szCs w:val="24"/>
        </w:rPr>
        <w:t xml:space="preserve">POMOC TECHNICZNA (EFRR) </w:t>
      </w:r>
      <w:r w:rsidRPr="007B1158">
        <w:rPr>
          <w:rFonts w:cstheme="minorHAnsi"/>
          <w:szCs w:val="24"/>
        </w:rPr>
        <w:t>oraz Priorytetu 9.</w:t>
      </w:r>
      <w:r w:rsidRPr="007B1158">
        <w:rPr>
          <w:rFonts w:cstheme="minorHAnsi"/>
          <w:b/>
          <w:i/>
          <w:szCs w:val="24"/>
        </w:rPr>
        <w:t xml:space="preserve"> POMOC TECHNICZNA (EFS+) </w:t>
      </w:r>
      <w:r w:rsidRPr="007B1158">
        <w:rPr>
          <w:rFonts w:cstheme="minorHAnsi"/>
          <w:szCs w:val="24"/>
        </w:rPr>
        <w:t xml:space="preserve">będzie miała neutralny wpływ na </w:t>
      </w:r>
      <w:r>
        <w:rPr>
          <w:rFonts w:cstheme="minorHAnsi"/>
          <w:szCs w:val="24"/>
        </w:rPr>
        <w:t>klimat</w:t>
      </w:r>
      <w:r w:rsidRPr="007B1158">
        <w:rPr>
          <w:rFonts w:cstheme="minorHAnsi"/>
          <w:szCs w:val="24"/>
        </w:rPr>
        <w:t xml:space="preserve">. Realizacja działań w ramach powyższego priorytetu, nie będzie wiązała się z pośrednim lub bezpośrednim negatywnym oddziaływaniem oraz nie pogorszy </w:t>
      </w:r>
      <w:r>
        <w:rPr>
          <w:rFonts w:cstheme="minorHAnsi"/>
          <w:szCs w:val="24"/>
        </w:rPr>
        <w:t>klimatu regionu pomorza zachodniego.</w:t>
      </w:r>
    </w:p>
    <w:p w14:paraId="0C5C166D" w14:textId="77777777" w:rsidR="009F1607" w:rsidRDefault="009F1607" w:rsidP="009F1607">
      <w:pPr>
        <w:pStyle w:val="Nagwek1"/>
        <w:numPr>
          <w:ilvl w:val="1"/>
          <w:numId w:val="4"/>
        </w:numPr>
        <w:ind w:left="1134" w:hanging="774"/>
        <w:rPr>
          <w:caps w:val="0"/>
          <w:sz w:val="32"/>
        </w:rPr>
      </w:pPr>
      <w:bookmarkStart w:id="41" w:name="_Toc80283936"/>
      <w:bookmarkStart w:id="42" w:name="_Toc82945178"/>
      <w:bookmarkStart w:id="43" w:name="_Toc102902709"/>
      <w:bookmarkStart w:id="44" w:name="_Toc104790638"/>
      <w:r w:rsidRPr="00655B1E">
        <w:rPr>
          <w:caps w:val="0"/>
          <w:sz w:val="32"/>
        </w:rPr>
        <w:t>PRZEWIDYWANE ZNACZĄCE ODDZIAŁYWANIA NA ZASOBY NATURALNE</w:t>
      </w:r>
      <w:bookmarkEnd w:id="41"/>
      <w:bookmarkEnd w:id="42"/>
      <w:bookmarkEnd w:id="43"/>
      <w:bookmarkEnd w:id="44"/>
    </w:p>
    <w:p w14:paraId="43D4FEFB" w14:textId="77777777" w:rsidR="009F1607" w:rsidRPr="00982E23" w:rsidRDefault="009F1607" w:rsidP="009F1607">
      <w:pPr>
        <w:rPr>
          <w:rFonts w:eastAsia="Calibri"/>
          <w:szCs w:val="24"/>
          <w:lang w:eastAsia="pl-PL"/>
        </w:rPr>
      </w:pPr>
      <w:r w:rsidRPr="00982E23">
        <w:rPr>
          <w:rFonts w:eastAsia="Calibri"/>
          <w:szCs w:val="24"/>
          <w:lang w:eastAsia="pl-PL"/>
        </w:rPr>
        <w:t>W ramach Priorytetu 1</w:t>
      </w:r>
      <w:r w:rsidRPr="006527DD">
        <w:t xml:space="preserve"> </w:t>
      </w:r>
      <w:r w:rsidRPr="00B6333B">
        <w:rPr>
          <w:rFonts w:eastAsia="Calibri"/>
          <w:b/>
          <w:i/>
          <w:szCs w:val="24"/>
          <w:lang w:eastAsia="pl-PL"/>
        </w:rPr>
        <w:t>FUNDUSZE EUROPEJSKIE NA RZECZ PRZEDSIĘBIORCZEGO POMORZA ZACHODNIEGO</w:t>
      </w:r>
      <w:r w:rsidRPr="00982E23">
        <w:rPr>
          <w:rFonts w:eastAsia="Calibri"/>
          <w:szCs w:val="24"/>
          <w:lang w:eastAsia="pl-PL"/>
        </w:rPr>
        <w:t xml:space="preserve">, planowane działania ukierunkowane są na ekonomiczne wsparcie przedsiębiorczości, innowacyjności, rozwój współpracy gospodarczej i promocji i wykazują w większości neutralny wpływ na zasoby naturalne, z tym że realizacja projektów w ramach celu szczegółowy </w:t>
      </w:r>
      <w:r w:rsidRPr="00982E23">
        <w:rPr>
          <w:rFonts w:eastAsia="Calibri"/>
          <w:i/>
          <w:szCs w:val="24"/>
          <w:lang w:eastAsia="pl-PL"/>
        </w:rPr>
        <w:t>cs (i)</w:t>
      </w:r>
      <w:r>
        <w:rPr>
          <w:rFonts w:eastAsia="Calibri"/>
          <w:i/>
          <w:szCs w:val="24"/>
          <w:lang w:eastAsia="pl-PL"/>
        </w:rPr>
        <w:t>:</w:t>
      </w:r>
      <w:r w:rsidRPr="00982E23">
        <w:rPr>
          <w:rFonts w:eastAsia="Calibri"/>
          <w:szCs w:val="24"/>
          <w:lang w:eastAsia="pl-PL"/>
        </w:rPr>
        <w:t xml:space="preserve"> </w:t>
      </w:r>
      <w:r w:rsidRPr="00982E23">
        <w:rPr>
          <w:rFonts w:eastAsia="Calibri"/>
          <w:i/>
          <w:szCs w:val="24"/>
          <w:lang w:eastAsia="pl-PL"/>
        </w:rPr>
        <w:t>Rozwijanie i wzmacnianie zdolności badawczych i innowacyjnych oraz wykorzystywanie zaawansowanych technologii</w:t>
      </w:r>
      <w:r w:rsidRPr="00982E23">
        <w:rPr>
          <w:rFonts w:eastAsia="Calibri"/>
          <w:szCs w:val="24"/>
          <w:lang w:eastAsia="pl-PL"/>
        </w:rPr>
        <w:t>, przewiduje działania ukierunkowane na podniesienie poziomu innowacyjności oraz zwiększenie odporności przedsiębiorstw na przyszłe kryzysy</w:t>
      </w:r>
      <w:r>
        <w:rPr>
          <w:rFonts w:eastAsia="Calibri"/>
          <w:szCs w:val="24"/>
          <w:lang w:eastAsia="pl-PL"/>
        </w:rPr>
        <w:t>, co</w:t>
      </w:r>
      <w:r w:rsidRPr="00982E23">
        <w:rPr>
          <w:rFonts w:eastAsia="Calibri"/>
          <w:szCs w:val="24"/>
          <w:lang w:eastAsia="pl-PL"/>
        </w:rPr>
        <w:t xml:space="preserve"> może pośrednio wpłynąć na zrównoważone gospodarowanie zasobami przyrodniczymi poprzez powtórne wykorzystanie odpadów w produkcji i oszczędność zasobów.</w:t>
      </w:r>
    </w:p>
    <w:p w14:paraId="5D46C38A" w14:textId="77777777" w:rsidR="009F1607" w:rsidRPr="00982E23" w:rsidRDefault="009F1607" w:rsidP="009F1607">
      <w:pPr>
        <w:rPr>
          <w:rFonts w:eastAsia="Calibri"/>
          <w:szCs w:val="24"/>
          <w:lang w:eastAsia="pl-PL"/>
        </w:rPr>
      </w:pPr>
      <w:r w:rsidRPr="00982E23">
        <w:rPr>
          <w:rFonts w:eastAsia="Calibri"/>
          <w:szCs w:val="24"/>
          <w:lang w:eastAsia="pl-PL"/>
        </w:rPr>
        <w:t xml:space="preserve">Przedsięwzięcia przewidziane do realizacji dla osiągnięcia Priorytetu 2. </w:t>
      </w:r>
      <w:r w:rsidRPr="006527DD">
        <w:rPr>
          <w:rFonts w:eastAsia="Calibri"/>
          <w:b/>
          <w:i/>
          <w:szCs w:val="24"/>
          <w:lang w:eastAsia="pl-PL"/>
        </w:rPr>
        <w:t>FUNDUSZE EUROPEJSKIE NA RZECZ ZIELONEGO POMORZA ZACHODNIEGO</w:t>
      </w:r>
      <w:r w:rsidRPr="00982E23">
        <w:rPr>
          <w:rFonts w:eastAsia="Calibri"/>
          <w:b/>
          <w:i/>
          <w:szCs w:val="24"/>
          <w:lang w:eastAsia="pl-PL"/>
        </w:rPr>
        <w:t xml:space="preserve"> </w:t>
      </w:r>
      <w:r w:rsidRPr="00982E23">
        <w:rPr>
          <w:rFonts w:eastAsia="Calibri"/>
          <w:szCs w:val="24"/>
          <w:lang w:eastAsia="pl-PL"/>
        </w:rPr>
        <w:t xml:space="preserve">– będą miały charakter prośrodowiskowy. Ich realizacja odbywać się będzie z poszanowaniem zasady zrównoważonego rozwoju, w kierunku gospodarki zasobooszczędnej z obiegiem zamkniętym (w tym wykorzystaniem materiałów pochodzących z odzysku i recyklingu odpadów), co wpłynie na racjonalizację użytkowania zasobów naturalnych związanych z ochroną naturalnych głównie surowców energetycznych, zasobów </w:t>
      </w:r>
      <w:r w:rsidRPr="00B6333B">
        <w:rPr>
          <w:rFonts w:eastAsia="Calibri"/>
          <w:szCs w:val="24"/>
          <w:lang w:eastAsia="pl-PL"/>
        </w:rPr>
        <w:t>wodnych. Realizacja działań dla poprawy energochłoności, wspierania efektywności energetycznej i stosowania OZE, będzie miała pośrednio pozytywny wpływ na wykorzystanie surowców naturalnych poprzez ograniczenie ich zastosowania. Badania potwierdza</w:t>
      </w:r>
      <w:r w:rsidRPr="00982E23">
        <w:rPr>
          <w:rFonts w:eastAsia="Calibri"/>
          <w:szCs w:val="24"/>
          <w:lang w:eastAsia="pl-PL"/>
        </w:rPr>
        <w:t>ją, że technologie po stronie popytu zmniejszają emisję gazów cieplarnianych oraz wiele innych skutków dla środowiska. Jednak skala tej poprawy jest zróżnicowana w zależności od technologii i uwarunkowań lokalizacyjnych. Natomiast w wielu przypadkach technologie te mogą przyczyniać się do zwiększenia zużycia zasobów. Istotą jest właściwy wybór technologii w ujęciu cyklu życia dla osiągnięcia faktycznych wielowymiarowych korzyści środowiskowych.</w:t>
      </w:r>
    </w:p>
    <w:p w14:paraId="7EC87599" w14:textId="77777777" w:rsidR="009F1607" w:rsidRPr="00982E23" w:rsidRDefault="009F1607" w:rsidP="009F1607">
      <w:pPr>
        <w:rPr>
          <w:rFonts w:eastAsia="Calibri"/>
          <w:szCs w:val="24"/>
          <w:lang w:eastAsia="pl-PL"/>
        </w:rPr>
      </w:pPr>
      <w:r w:rsidRPr="00982E23">
        <w:rPr>
          <w:rFonts w:eastAsia="Calibri"/>
          <w:szCs w:val="24"/>
          <w:lang w:eastAsia="pl-PL"/>
        </w:rPr>
        <w:t>Wykonywanie działań w ramach niniejszego priorytetu oraz przewidzianych w ramach jego realizacji celach szczegółowych będzie wymagała prowadzenia działań inwestycyjnych, które wiązać będą się z koniecznością prowadzenia prac budowlanych. Potencjalnie może wystąpić negatywne oddziaływanie na stan zasobów naturalnych, wynikające ze zwiększonego zapotrzebowania na surowce skalne (m.in. kamienie łamane i bloczne, żwiry, piaski) na cele budowlane. Realizacja przedsięwzięć modernizacyjnych oraz budowlanych może wpłynąć na zwiększenie zapotrzebowania na materiały budowlane, tym samym na surowce do produkcji kruszyw niezbędne do ich wytworzenia. Charakter tego typu odziaływań wiąże się z etapem budowy i jest krótkoterminowy.</w:t>
      </w:r>
    </w:p>
    <w:p w14:paraId="6B546112" w14:textId="77777777" w:rsidR="009F1607" w:rsidRPr="00982E23" w:rsidRDefault="009F1607" w:rsidP="009F1607">
      <w:pPr>
        <w:rPr>
          <w:rFonts w:eastAsia="Calibri"/>
          <w:szCs w:val="24"/>
          <w:lang w:eastAsia="pl-PL"/>
        </w:rPr>
      </w:pPr>
      <w:r w:rsidRPr="00982E23">
        <w:rPr>
          <w:rFonts w:eastAsia="Calibri"/>
          <w:szCs w:val="24"/>
          <w:lang w:eastAsia="pl-PL"/>
        </w:rPr>
        <w:t xml:space="preserve">W ramach celu szczegółowego </w:t>
      </w:r>
      <w:r w:rsidRPr="00982E23">
        <w:rPr>
          <w:rFonts w:eastAsia="Calibri"/>
          <w:i/>
          <w:szCs w:val="24"/>
          <w:lang w:eastAsia="pl-PL"/>
        </w:rPr>
        <w:t>cs (ii)</w:t>
      </w:r>
      <w:r>
        <w:rPr>
          <w:rFonts w:eastAsia="Calibri"/>
          <w:i/>
          <w:szCs w:val="24"/>
          <w:lang w:eastAsia="pl-PL"/>
        </w:rPr>
        <w:t>:</w:t>
      </w:r>
      <w:r w:rsidRPr="00982E23">
        <w:rPr>
          <w:rFonts w:eastAsia="Calibri"/>
          <w:szCs w:val="24"/>
          <w:lang w:eastAsia="pl-PL"/>
        </w:rPr>
        <w:t xml:space="preserve"> </w:t>
      </w:r>
      <w:r w:rsidRPr="00982E23">
        <w:rPr>
          <w:rFonts w:eastAsia="Calibri"/>
          <w:i/>
          <w:szCs w:val="24"/>
          <w:lang w:eastAsia="pl-PL"/>
        </w:rPr>
        <w:t>Wspieranie energii odnawialnej zgodnie z dyrektywą (UE) 2018/2001, w tym określonymi w niej kryteriami zrównoważonego rozwoju</w:t>
      </w:r>
      <w:r w:rsidRPr="00982E23">
        <w:rPr>
          <w:rFonts w:eastAsia="Calibri"/>
          <w:szCs w:val="24"/>
          <w:lang w:eastAsia="pl-PL"/>
        </w:rPr>
        <w:t xml:space="preserve"> wspierane będą projekty oparte na energii odnawialnej, z uwzględnieniem różnych jej źródeł. Działania skoncentrowane w tym celu szczegółowym nie będą miały negatywnego wpływu na zasoby naturalne. Zwiększenie udziału energetyki odnawialnej, przyczyni się do odciążenia konwencjonalnych elektrowni, tym samym do potencjalnego zmniejszenia udziału paliw kopalnych (nieodnawialnych źródeł energii) i w konsekwencji poprawy lokalnego stanu i jakości środowiska (m. in. zasobów naturalnych, wód, powietrza i ziemi). Wykonanie inwestycji związanych z odnawialnymi źródłami energii w sposób pośredni, jak i bezpośredni przyczyni się do poprawy stanu środowiska. Niemniej należy mieć na względzie złożoność budowy geologicznej województwa i zależności związane z rozwojem geotermii</w:t>
      </w:r>
      <w:r>
        <w:rPr>
          <w:rFonts w:eastAsia="Calibri"/>
          <w:szCs w:val="24"/>
          <w:lang w:eastAsia="pl-PL"/>
        </w:rPr>
        <w:t>,</w:t>
      </w:r>
      <w:r w:rsidRPr="00982E23">
        <w:rPr>
          <w:rFonts w:eastAsia="Calibri"/>
          <w:szCs w:val="24"/>
          <w:lang w:eastAsia="pl-PL"/>
        </w:rPr>
        <w:t xml:space="preserve"> a w szczególności stanem zasobów wód podziemnych. Generalnie szersze wykorzystanie odnawialnych źródeł energii pomoże spowolnić proces wyczerpywania się konwencjonalnych zasobów energii (ropy, gazu ziemnego w obrębie województwa zachodniopomorskiego).</w:t>
      </w:r>
    </w:p>
    <w:p w14:paraId="1F1CDE5C" w14:textId="77777777" w:rsidR="009F1607" w:rsidRPr="00982E23" w:rsidRDefault="009F1607" w:rsidP="009F1607">
      <w:pPr>
        <w:rPr>
          <w:rFonts w:eastAsia="Calibri"/>
          <w:szCs w:val="24"/>
          <w:lang w:eastAsia="pl-PL"/>
        </w:rPr>
      </w:pPr>
      <w:r w:rsidRPr="00982E23">
        <w:rPr>
          <w:rFonts w:eastAsia="Calibri"/>
          <w:szCs w:val="24"/>
          <w:lang w:eastAsia="pl-PL"/>
        </w:rPr>
        <w:t xml:space="preserve">W celu osiągnięcia Priorytetu 3. </w:t>
      </w:r>
      <w:r w:rsidRPr="006527DD">
        <w:rPr>
          <w:rFonts w:eastAsia="Calibri"/>
          <w:b/>
          <w:i/>
          <w:szCs w:val="24"/>
          <w:lang w:eastAsia="pl-PL"/>
        </w:rPr>
        <w:t>FUNDUSZE EUROPEJSKIE NA RZECZ MOBILNEGO POMORZA ZACHODNIEGO</w:t>
      </w:r>
      <w:r w:rsidRPr="00982E23">
        <w:rPr>
          <w:rFonts w:eastAsia="Calibri"/>
          <w:b/>
          <w:i/>
          <w:szCs w:val="24"/>
          <w:lang w:eastAsia="pl-PL"/>
        </w:rPr>
        <w:t xml:space="preserve"> </w:t>
      </w:r>
      <w:r w:rsidRPr="00982E23">
        <w:rPr>
          <w:rFonts w:eastAsia="Calibri"/>
          <w:szCs w:val="24"/>
          <w:lang w:eastAsia="pl-PL"/>
        </w:rPr>
        <w:t xml:space="preserve">(cel szczegółowy </w:t>
      </w:r>
      <w:r w:rsidRPr="00982E23">
        <w:rPr>
          <w:rFonts w:eastAsia="Calibri"/>
          <w:i/>
          <w:szCs w:val="24"/>
          <w:lang w:eastAsia="pl-PL"/>
        </w:rPr>
        <w:t>cs (viii)</w:t>
      </w:r>
      <w:r>
        <w:rPr>
          <w:rFonts w:eastAsia="Calibri"/>
          <w:i/>
          <w:szCs w:val="24"/>
          <w:lang w:eastAsia="pl-PL"/>
        </w:rPr>
        <w:t>:</w:t>
      </w:r>
      <w:r w:rsidRPr="00982E23">
        <w:rPr>
          <w:rFonts w:eastAsia="Calibri"/>
          <w:szCs w:val="24"/>
          <w:lang w:eastAsia="pl-PL"/>
        </w:rPr>
        <w:t xml:space="preserve"> </w:t>
      </w:r>
      <w:r w:rsidRPr="00982E23">
        <w:rPr>
          <w:rFonts w:eastAsia="Calibri"/>
          <w:i/>
          <w:szCs w:val="24"/>
          <w:lang w:eastAsia="pl-PL"/>
        </w:rPr>
        <w:t>Wspieranie zrównoważonej multimodalnej mobilności miejskiej jako elementu transformacji w kierunku gospodarki zeroemisyjnej)</w:t>
      </w:r>
      <w:r w:rsidRPr="00982E23">
        <w:rPr>
          <w:rFonts w:eastAsia="Calibri"/>
          <w:szCs w:val="24"/>
          <w:lang w:eastAsia="pl-PL"/>
        </w:rPr>
        <w:t xml:space="preserve"> planowane są działania ukierunkowane na rozwój ekologicznego i bezpiecznego transportu publicznego. Przewiduje się realizację działań inwestycyjnych pod budowę i rozbudowę ścieżek rowerowych. Realizacja przedsięwzięć na etapie budowy może wpłynąć na zwiększenie zapotrzebowania na materiały budowlane, tym samym do zubożenia ilości kruszyw naturalnych. Charakter tego typu odziaływań wiąże się z etapem budowy i jest krótkoterminowy. Przewidziane działania będą miały pozytywny wpływ na stan środowiska oraz przyczynią się do promocji walorów regionu. Zmiana zachowań konsumenckich na korzyść publicznego transportu publicznego i rosnąca świadomość mieszkańców o wartościach regionu pozytywnie wpłynie na stan zasobów naturalnych.</w:t>
      </w:r>
    </w:p>
    <w:p w14:paraId="318B3BC6" w14:textId="77777777" w:rsidR="009F1607" w:rsidRPr="00982E23" w:rsidRDefault="009F1607" w:rsidP="009F1607">
      <w:pPr>
        <w:rPr>
          <w:rFonts w:eastAsia="Calibri"/>
          <w:szCs w:val="24"/>
          <w:lang w:eastAsia="pl-PL"/>
        </w:rPr>
      </w:pPr>
      <w:r w:rsidRPr="00982E23">
        <w:rPr>
          <w:rFonts w:eastAsia="Calibri"/>
          <w:szCs w:val="24"/>
          <w:lang w:eastAsia="pl-PL"/>
        </w:rPr>
        <w:t xml:space="preserve">W wyniku realizacji działań w ramach Priorytetu 4. </w:t>
      </w:r>
      <w:r w:rsidRPr="006527DD">
        <w:rPr>
          <w:rFonts w:eastAsia="Calibri"/>
          <w:b/>
          <w:i/>
          <w:szCs w:val="24"/>
          <w:lang w:eastAsia="pl-PL"/>
        </w:rPr>
        <w:t>FUNDUSZE EUROPEJSKIE NA RZECZ POŁĄCZONEGO POMORZA ZACHODNIEGO</w:t>
      </w:r>
      <w:r w:rsidRPr="00982E23">
        <w:rPr>
          <w:rFonts w:eastAsia="Calibri"/>
          <w:b/>
          <w:i/>
          <w:szCs w:val="24"/>
          <w:lang w:eastAsia="pl-PL"/>
        </w:rPr>
        <w:t xml:space="preserve"> </w:t>
      </w:r>
      <w:r w:rsidRPr="00982E23">
        <w:rPr>
          <w:rFonts w:eastAsia="Calibri"/>
          <w:szCs w:val="24"/>
          <w:lang w:eastAsia="pl-PL"/>
        </w:rPr>
        <w:t xml:space="preserve">i celu szczegółowego </w:t>
      </w:r>
      <w:r w:rsidRPr="00982E23">
        <w:rPr>
          <w:rFonts w:eastAsia="Calibri"/>
          <w:i/>
          <w:szCs w:val="24"/>
          <w:lang w:eastAsia="pl-PL"/>
        </w:rPr>
        <w:t>cs (ii)</w:t>
      </w:r>
      <w:r>
        <w:rPr>
          <w:rFonts w:eastAsia="Calibri"/>
          <w:i/>
          <w:szCs w:val="24"/>
          <w:lang w:eastAsia="pl-PL"/>
        </w:rPr>
        <w:t>:</w:t>
      </w:r>
      <w:r w:rsidRPr="00982E23">
        <w:rPr>
          <w:rFonts w:eastAsia="Calibri"/>
          <w:szCs w:val="24"/>
          <w:lang w:eastAsia="pl-PL"/>
        </w:rPr>
        <w:t xml:space="preserve"> </w:t>
      </w:r>
      <w:r w:rsidRPr="00982E23">
        <w:rPr>
          <w:rFonts w:eastAsia="Calibri"/>
          <w:i/>
          <w:szCs w:val="24"/>
          <w:lang w:eastAsia="pl-PL"/>
        </w:rPr>
        <w:t>Rozwój i udoskonalanie zrównoważonej, odpornej na zmiany klimatu, inteligentnej i intermodalnej mobilności na poziomie krajowym, regionalnym i lokalnym, w tym poprawę dostępu do TEN-T oraz mobilności transgranicznej</w:t>
      </w:r>
      <w:r w:rsidRPr="00982E23">
        <w:rPr>
          <w:rFonts w:eastAsia="Calibri"/>
          <w:szCs w:val="24"/>
          <w:lang w:eastAsia="pl-PL"/>
        </w:rPr>
        <w:t xml:space="preserve">, mogą wystąpić krótkotrwałe i długotrwałe oddziaływania negatywne. Rozbudowa i modernizacja infrastruktury drogowej może mieć negatywny wpływ na zasoby naturalne. Prace te są związane z zapotrzebowaniem na tereny i ich fragmentację, a także ze zwiększonym zapotrzebowaniem na surowce skalne na potrzeby budowy i rozbudowy infrastruktury. Realizacja tego typu przedsięwzięć liniowych przyczyni się do wzrostu popytu na materiały budowlane, a tym samym na surowce niezbędne do ich wytworzenia. Lokalizacja poszczególnych inwestycji powinna wynikać z analiz wariantowych na etapie planowania w celu ochrony zasobów naturalnych, w tym o charakterze strategicznym. Zarówno na etapie projektowania, jak i budowy, należy stosować działania zapobiegawcze zgodnie z zasadami gospodarki cyrkularnej, w celu ograniczenia powstawania negatywnych oddziaływań, np. poprzez ograniczenie powstawania odpadów i minimalizowania zużycia naturalnych kruszyw poprzez wtórne wykorzystania starego tłucznia. </w:t>
      </w:r>
    </w:p>
    <w:p w14:paraId="4580F84A" w14:textId="77777777" w:rsidR="009F1607" w:rsidRPr="00982E23" w:rsidRDefault="009F1607" w:rsidP="009F1607">
      <w:pPr>
        <w:rPr>
          <w:rFonts w:eastAsia="Calibri"/>
          <w:szCs w:val="24"/>
          <w:lang w:eastAsia="pl-PL"/>
        </w:rPr>
      </w:pPr>
      <w:r w:rsidRPr="00982E23">
        <w:rPr>
          <w:rFonts w:eastAsia="Calibri"/>
          <w:szCs w:val="24"/>
          <w:lang w:eastAsia="pl-PL"/>
        </w:rPr>
        <w:t xml:space="preserve">Realizacja Priorytetu 5. </w:t>
      </w:r>
      <w:r w:rsidRPr="00944C77">
        <w:rPr>
          <w:rFonts w:eastAsia="Calibri"/>
          <w:b/>
          <w:i/>
          <w:szCs w:val="24"/>
          <w:lang w:eastAsia="pl-PL"/>
        </w:rPr>
        <w:t>FUNDUSZE EUROPEJSKIE NA RZECZ PRZYJAZNEGO MIESZKANKOM I MIESZKAŃCOM POMORZA ZACHODNIEGO</w:t>
      </w:r>
      <w:r w:rsidRPr="00982E23">
        <w:rPr>
          <w:rFonts w:eastAsia="Calibri"/>
          <w:szCs w:val="24"/>
          <w:lang w:eastAsia="pl-PL"/>
        </w:rPr>
        <w:t xml:space="preserve"> wiąże się z poprawą jakości usług publicznych, co pociąga za sobą realizację działań związanych z rozbudową infrastruktury publicznej, zwłaszcza obiektów edukacyjnych, kulturalnych, opieki społecznej. Przewiduje się, że w ramach prac inwestycyjnych mających na celu poprawę stanu istniejących obiektów budowlanych oraz uzupełnienie o niezbędną infrastrukturę charakter oddziaływań na surowce naturalne będzie krótkoterminowo negatywny w wyniku wzrostu popytu na materiały budowlane, a tym samym surowce niezbędne do ich wytworzenia i będzie występował wyłącznie w trakcie prowadzenia prac inwestycyjnych.</w:t>
      </w:r>
    </w:p>
    <w:p w14:paraId="7FC21528" w14:textId="77777777" w:rsidR="009F1607" w:rsidRPr="00982E23" w:rsidRDefault="009F1607" w:rsidP="009F1607">
      <w:pPr>
        <w:rPr>
          <w:rFonts w:eastAsia="Calibri"/>
          <w:szCs w:val="24"/>
          <w:lang w:eastAsia="pl-PL"/>
        </w:rPr>
      </w:pPr>
      <w:bookmarkStart w:id="45" w:name="_heading=h.ihv636" w:colFirst="0" w:colLast="0"/>
      <w:bookmarkEnd w:id="45"/>
      <w:r w:rsidRPr="00982E23">
        <w:rPr>
          <w:rFonts w:eastAsia="Calibri"/>
          <w:szCs w:val="24"/>
          <w:lang w:eastAsia="pl-PL"/>
        </w:rPr>
        <w:t xml:space="preserve">W ramach Priorytetu 6. </w:t>
      </w:r>
      <w:r w:rsidRPr="00944C77">
        <w:rPr>
          <w:rFonts w:eastAsia="Calibri"/>
          <w:b/>
          <w:i/>
          <w:szCs w:val="24"/>
          <w:lang w:eastAsia="pl-PL"/>
        </w:rPr>
        <w:t>FUNDUSZE EUROPEJSKIE NA RZECZ PARTNERSKIEGO POMORZA ZACHODNIEGO</w:t>
      </w:r>
      <w:r w:rsidRPr="00982E23">
        <w:rPr>
          <w:rFonts w:eastAsia="Calibri"/>
          <w:szCs w:val="24"/>
          <w:lang w:eastAsia="pl-PL"/>
        </w:rPr>
        <w:t xml:space="preserve">, działania będą mieć w większości charakter </w:t>
      </w:r>
      <w:r>
        <w:rPr>
          <w:rFonts w:eastAsia="Calibri"/>
          <w:szCs w:val="24"/>
          <w:lang w:eastAsia="pl-PL"/>
        </w:rPr>
        <w:t>nie inwestycyjny,</w:t>
      </w:r>
      <w:r w:rsidRPr="00982E23">
        <w:rPr>
          <w:rFonts w:eastAsia="Calibri"/>
          <w:szCs w:val="24"/>
          <w:lang w:eastAsia="pl-PL"/>
        </w:rPr>
        <w:t xml:space="preserve"> a presj</w:t>
      </w:r>
      <w:r>
        <w:rPr>
          <w:rFonts w:eastAsia="Calibri"/>
          <w:szCs w:val="24"/>
          <w:lang w:eastAsia="pl-PL"/>
        </w:rPr>
        <w:t>ę</w:t>
      </w:r>
      <w:r w:rsidRPr="00982E23">
        <w:rPr>
          <w:rFonts w:eastAsia="Calibri"/>
          <w:szCs w:val="24"/>
          <w:lang w:eastAsia="pl-PL"/>
        </w:rPr>
        <w:t xml:space="preserve"> na zasoby naturalne należy uznać jako neutralną, gdyż ukierunkowane są m.in. na aktywizację zawodową, podnoszenia kwalifikacji zawodowych, wsparcie edukacji przedszkolnej, kształcenia ogólnego i zawodowego, promowanie uczenia się przez całe życie, minimalizowanie wykluczenia społecznego, rozwój ekonomii społecznej, poprawę dostępu do usług społecznych. Przewiduje się także działania związane z rozwojem i modernizacją infrastruktury usług publicznych. Realizacja tych inwestycji może mieć charakter dwojaki. Poprawa istniejącej zabudowy na cele użyteczności publicznej, w tym lepszym wykorzystaniem budynków, wiązać się będzie z lepszym wykorzystaniem istniejących zasobów i pośrednio zmniejszeniem zużycia surowców. W trakcie budowy, przebudowy inwestycji mogą wystąpić krótkoterminowe negatywne oddziaływania związane ze wzrostem zapotrzebowania na surowce naturalne stosowane w budownictwie. </w:t>
      </w:r>
    </w:p>
    <w:p w14:paraId="53B29D69" w14:textId="77777777" w:rsidR="009F1607" w:rsidRPr="00982E23" w:rsidRDefault="009F1607" w:rsidP="009F1607">
      <w:pPr>
        <w:rPr>
          <w:rFonts w:eastAsia="Calibri"/>
          <w:szCs w:val="24"/>
          <w:lang w:eastAsia="pl-PL"/>
        </w:rPr>
      </w:pPr>
      <w:r w:rsidRPr="00982E23">
        <w:rPr>
          <w:rFonts w:eastAsia="Calibri"/>
          <w:szCs w:val="24"/>
          <w:lang w:eastAsia="pl-PL"/>
        </w:rPr>
        <w:t xml:space="preserve">Działania przewidziane w ramach Priorytetu 7. </w:t>
      </w:r>
      <w:r w:rsidRPr="00944C77">
        <w:rPr>
          <w:rFonts w:eastAsia="Calibri"/>
          <w:b/>
          <w:i/>
          <w:szCs w:val="24"/>
          <w:lang w:eastAsia="pl-PL"/>
        </w:rPr>
        <w:t>FUNDUSZE EUROPEJSKIE NA RZECZ PARTNERSKIEGO POMORZA ZACHODNIEGO</w:t>
      </w:r>
      <w:r w:rsidRPr="00982E23">
        <w:rPr>
          <w:rFonts w:eastAsia="Calibri"/>
          <w:b/>
          <w:i/>
          <w:szCs w:val="24"/>
          <w:lang w:eastAsia="pl-PL"/>
        </w:rPr>
        <w:t xml:space="preserve"> </w:t>
      </w:r>
      <w:r w:rsidRPr="00982E23">
        <w:rPr>
          <w:rFonts w:eastAsia="Calibri"/>
          <w:szCs w:val="24"/>
          <w:lang w:eastAsia="pl-PL"/>
        </w:rPr>
        <w:t>związane z realizacja zintegrowanych działań, w tym również o charakterze inwestycyjnym oddziaływać będą negatywnie wyłącznie w trakcie prowadzenia prac inwestycyjnych. Z założenia projekty realizowane będą z poszanowaniem zasobów środowiskowych i ewentualną minimalną ingerencją. Zatem potencjalne negatywne oddziaływania na zasoby naturalne wystąpią w fazie realizacji w wyniku wzrostu popytu na materiały budowlane, a tym samym surowce niezbędne do ich wytworzenia.</w:t>
      </w:r>
    </w:p>
    <w:p w14:paraId="064DA4FB" w14:textId="77777777" w:rsidR="009F1607" w:rsidRPr="00982E23" w:rsidRDefault="009F1607" w:rsidP="009F1607">
      <w:pPr>
        <w:rPr>
          <w:szCs w:val="24"/>
        </w:rPr>
      </w:pPr>
      <w:r w:rsidRPr="00982E23">
        <w:rPr>
          <w:szCs w:val="24"/>
        </w:rPr>
        <w:t>Przewiduje się, że planowane działania w ramach Priorytet</w:t>
      </w:r>
      <w:r>
        <w:rPr>
          <w:szCs w:val="24"/>
        </w:rPr>
        <w:t>u 8.</w:t>
      </w:r>
      <w:r w:rsidRPr="00982E23">
        <w:rPr>
          <w:szCs w:val="24"/>
        </w:rPr>
        <w:t xml:space="preserve"> </w:t>
      </w:r>
      <w:r w:rsidRPr="00982E23">
        <w:rPr>
          <w:b/>
          <w:i/>
          <w:szCs w:val="24"/>
        </w:rPr>
        <w:t>POMOC TECHNICZNA</w:t>
      </w:r>
      <w:r>
        <w:rPr>
          <w:b/>
          <w:i/>
          <w:szCs w:val="24"/>
        </w:rPr>
        <w:t xml:space="preserve"> (EFRR)</w:t>
      </w:r>
      <w:r>
        <w:rPr>
          <w:szCs w:val="24"/>
        </w:rPr>
        <w:t xml:space="preserve"> oraz </w:t>
      </w:r>
      <w:r w:rsidRPr="00982E23">
        <w:rPr>
          <w:szCs w:val="24"/>
        </w:rPr>
        <w:t>Priorytet</w:t>
      </w:r>
      <w:r>
        <w:rPr>
          <w:szCs w:val="24"/>
        </w:rPr>
        <w:t>u 9.</w:t>
      </w:r>
      <w:r w:rsidRPr="00982E23">
        <w:rPr>
          <w:szCs w:val="24"/>
        </w:rPr>
        <w:t xml:space="preserve"> </w:t>
      </w:r>
      <w:r w:rsidRPr="00982E23">
        <w:rPr>
          <w:b/>
          <w:i/>
          <w:szCs w:val="24"/>
        </w:rPr>
        <w:t>POMOC TECHNICZNA</w:t>
      </w:r>
      <w:r>
        <w:rPr>
          <w:b/>
          <w:i/>
          <w:szCs w:val="24"/>
        </w:rPr>
        <w:t xml:space="preserve"> (EFS+)</w:t>
      </w:r>
      <w:r w:rsidRPr="00982E23">
        <w:rPr>
          <w:szCs w:val="24"/>
        </w:rPr>
        <w:t xml:space="preserve"> mają neutralny wpływ na środowisko, w tym zasoby naturalne. Pośrednio, poprzez szersze wykorzystanie systemów informatycznych i komunikacji elektronicznej zużycie surowców związanych z pracą biurową może być mniejsze.</w:t>
      </w:r>
    </w:p>
    <w:p w14:paraId="6BBEF0DF" w14:textId="77777777" w:rsidR="009F1607" w:rsidRDefault="009F1607" w:rsidP="009F1607">
      <w:pPr>
        <w:pStyle w:val="Nagwek1"/>
        <w:numPr>
          <w:ilvl w:val="1"/>
          <w:numId w:val="4"/>
        </w:numPr>
        <w:ind w:left="1134" w:hanging="774"/>
        <w:rPr>
          <w:caps w:val="0"/>
          <w:sz w:val="32"/>
        </w:rPr>
      </w:pPr>
      <w:bookmarkStart w:id="46" w:name="_Toc80283937"/>
      <w:bookmarkStart w:id="47" w:name="_Toc82945179"/>
      <w:bookmarkStart w:id="48" w:name="_Toc102902710"/>
      <w:bookmarkStart w:id="49" w:name="_Toc104790639"/>
      <w:r w:rsidRPr="00655B1E">
        <w:rPr>
          <w:caps w:val="0"/>
          <w:sz w:val="32"/>
        </w:rPr>
        <w:t>PRZEWIDYWANE ZNACZĄCE ODDZIAŁYWANIA NA ZABYTKI I DOBRA MATERIALNE</w:t>
      </w:r>
      <w:bookmarkEnd w:id="46"/>
      <w:bookmarkEnd w:id="47"/>
      <w:bookmarkEnd w:id="48"/>
      <w:bookmarkEnd w:id="49"/>
    </w:p>
    <w:p w14:paraId="172B83FD" w14:textId="77777777" w:rsidR="009F1607" w:rsidRPr="000B6588" w:rsidRDefault="009F1607" w:rsidP="009F1607">
      <w:pPr>
        <w:spacing w:before="120"/>
      </w:pPr>
      <w:r w:rsidRPr="000B6588">
        <w:t>Z uwagi iż projekt Programu FEPZ 2021-2027 nie zawiera wskazań lokalizacyjnych, dlatego trudno jest określić bezpośrednie oddziaływanie na zabytki i inne dobra materialne. Równocześnie należy pamiętać, że w ustawie o ochronie zabytków i opiece nad zabytkami, czy też w rozporządzeniach wykonawczych tej ustawy, ustawie o planowaniu przestrzennym i zagospodarowaniu przestrzennym</w:t>
      </w:r>
      <w:r>
        <w:t>,</w:t>
      </w:r>
      <w:r w:rsidRPr="000B6588">
        <w:t xml:space="preserve"> znajdują się zabezpieczenia przed niewłaściwą lokalizacją przedsięwzięć inwestycyjnych względem obiektów zabytkowych i dóbr materialnych. Z analizy pośrednich oddziaływań wynika, że w większości należy spodziewać się pośrednich pozytywnych oddziaływań związanych z poprawą jakości środowiska.</w:t>
      </w:r>
    </w:p>
    <w:p w14:paraId="7B7346D1" w14:textId="77777777" w:rsidR="009F1607" w:rsidRPr="000B6588" w:rsidRDefault="009F1607" w:rsidP="009F1607">
      <w:r w:rsidRPr="000B6588">
        <w:t xml:space="preserve">W ramach Priorytetu 1. </w:t>
      </w:r>
      <w:r w:rsidRPr="000B6588">
        <w:rPr>
          <w:b/>
          <w:i/>
        </w:rPr>
        <w:t xml:space="preserve">FUNDUSZE EUROPEJSKIE NA RZECZ PRZEDSIĘBIORCZEGO POMORZA ZACHODNIEGO </w:t>
      </w:r>
      <w:r w:rsidRPr="000B6588">
        <w:t>przewidziano działania mające na celu rozwój i wzmacnianie zdolności badawczych, wykorzystanie zaawansowanych technologii, cyfryzacji, wzmacnianie rozwoju MŚP, tworzenie miejsc pracy w MŚP, rozwijanie umiejętności na rzecz inteligentnej specjalizacji, transformację przemysłową i przedsiębiorczości. Zwiększenie poziomu innowacyjności przedsiębiorstw na przyszłe kryzysy może pośrednio pozytywnie i długotrwale wpłynąć na stan jakości powietrza, tym samym pośrednio spowolnić tempo degradacji obiektów zabytkowych i dóbr materialnych.</w:t>
      </w:r>
    </w:p>
    <w:p w14:paraId="1070ABD3" w14:textId="77777777" w:rsidR="009F1607" w:rsidRPr="000B6588" w:rsidRDefault="009F1607" w:rsidP="009F1607">
      <w:pPr>
        <w:rPr>
          <w:highlight w:val="yellow"/>
        </w:rPr>
      </w:pPr>
      <w:r w:rsidRPr="000B6588">
        <w:t xml:space="preserve">Przewiduje się, że realizacja działań zaplanowanych w ramach celu szczegółowego </w:t>
      </w:r>
      <w:r w:rsidRPr="000B6588">
        <w:rPr>
          <w:i/>
        </w:rPr>
        <w:t>cs (ii)</w:t>
      </w:r>
      <w:r>
        <w:rPr>
          <w:i/>
        </w:rPr>
        <w:t>:</w:t>
      </w:r>
      <w:r w:rsidRPr="000B6588">
        <w:t xml:space="preserve"> </w:t>
      </w:r>
      <w:r w:rsidRPr="000B6588">
        <w:rPr>
          <w:i/>
        </w:rPr>
        <w:t xml:space="preserve">Czerpanie korzyści z cyfryzacji dla obywateli, przedsiębiorstw, organizacji badawczych i instytucji publicznych, </w:t>
      </w:r>
      <w:r w:rsidRPr="000B6588">
        <w:t xml:space="preserve">doprowadzi do zwiększenia ilości usług internetowych, tym samym wzmocnienia istniejących produktów turystycznych. Promowanie obiektów dziedzictwa kulturowego na nowoczesnych platformach usługowych może przyczynić się do rozwoju turystyki oraz zwiększenia możliwości wykorzystania istniejących zasobów regionu. Natomiast realizacja działań w ramach celu szczegółowego </w:t>
      </w:r>
      <w:r w:rsidRPr="000B6588">
        <w:rPr>
          <w:i/>
        </w:rPr>
        <w:t>cs (iii</w:t>
      </w:r>
      <w:r>
        <w:rPr>
          <w:i/>
        </w:rPr>
        <w:t>:</w:t>
      </w:r>
      <w:r w:rsidRPr="000B6588">
        <w:rPr>
          <w:i/>
        </w:rPr>
        <w:t>)</w:t>
      </w:r>
      <w:r w:rsidRPr="000B6588">
        <w:t xml:space="preserve"> </w:t>
      </w:r>
      <w:r w:rsidRPr="000B6588">
        <w:rPr>
          <w:i/>
        </w:rPr>
        <w:t xml:space="preserve">Wzmacnianie trwałego wzrostu i konkurencyjności MŚP oraz tworzenie miejsc pracy w MŚP, w tym poprzez inwestycje produkcyjne </w:t>
      </w:r>
      <w:r w:rsidRPr="000B6588">
        <w:t xml:space="preserve">przyczyni się do wzrostu konkurencyjności turystycznej regionu, w tym potencjału kulturalnego. Działania będą miały potencjalny bezpośredni i długookresowy pozytywny wpływ na stan obiektów zabytkowych. Potencjalnie negatywne oddziaływania związane </w:t>
      </w:r>
      <w:r>
        <w:t xml:space="preserve">są </w:t>
      </w:r>
      <w:r w:rsidRPr="000B6588">
        <w:t>z pracami budowlanymi</w:t>
      </w:r>
      <w:r>
        <w:t xml:space="preserve"> i</w:t>
      </w:r>
      <w:r w:rsidRPr="000B6588">
        <w:t xml:space="preserve"> </w:t>
      </w:r>
      <w:r>
        <w:t>b</w:t>
      </w:r>
      <w:r w:rsidRPr="000B6588">
        <w:t>ędą miały charakter oddziaływań tymczasowych i krótkotrwałych, ograniczonych przeważnie lokalnie, do miejsca wykonywania ewentualnych prac budowlanych, zależnych od położenia względem obiektów cennych kulturowo. Oddziaływania powinny ustąpić w chwili zakończenia etapu realizacji inwestycji, a w perspektywie długoterminowej realizacja przedsięwzięć nie powinna powodować negatywnych zmian w stanie i wyglądzie obiektów zabytkowych.</w:t>
      </w:r>
    </w:p>
    <w:p w14:paraId="4D7C86B5" w14:textId="77777777" w:rsidR="009F1607" w:rsidRPr="000B6588" w:rsidRDefault="009F1607" w:rsidP="009F1607">
      <w:r w:rsidRPr="000B6588">
        <w:t xml:space="preserve">Realizacja działań w ramach Priorytetu 2. </w:t>
      </w:r>
      <w:r w:rsidRPr="000B6588">
        <w:rPr>
          <w:b/>
          <w:i/>
        </w:rPr>
        <w:t>FUNDUSZE EUROPEJSKIE NA RZECZ ZIELONEGO POMORZA ZACHODNIEGO</w:t>
      </w:r>
      <w:r w:rsidRPr="000B6588">
        <w:t xml:space="preserve">, wiąże się z możliwością występowania znacznej skali pozytywnych oddziaływań na ochronę zabytków i dóbr materialnych. Kierunki działań skupiają się na poprawie stanu środowiska, głównie poprzez stosowanie rozwiązań w zakresie obiegu cyrkularnego, efektywnych systemów energetycznych, stosowanie energooszczędnych technologii oraz wykorzystania odnawialnych źródeł energii. Proponowane działania będą miały pośredni pozytywny wpływ na obiekty zabytkowe. Rozwiązania wpłyną na poprawę jakości powietrza oraz ograniczenie hałasu. Zmniejszenie drgań oraz poprawa jakości powietrza może pośrednio przyczynić się do ograniczenia tempa degradacji dóbr materialnych (długotrwałe zanieczyszczenia powietrza oraz drgania prowadzą do negatywnych zmian w wyglądzie zabytków). </w:t>
      </w:r>
    </w:p>
    <w:p w14:paraId="3D48AB6A" w14:textId="77777777" w:rsidR="009F1607" w:rsidRPr="000B6588" w:rsidRDefault="009F1607" w:rsidP="009F1607">
      <w:r w:rsidRPr="000B6588">
        <w:t xml:space="preserve">Działania związane z zapobieganiem skutkom klęsk żywiołowych, dostosowaniem do zmian klimatycznych i wiążących się z nimi nagłymi zjawiskami pogodowymi przewidziane w ramach realizacji celu szczegółowego </w:t>
      </w:r>
      <w:r w:rsidRPr="000B6588">
        <w:rPr>
          <w:i/>
        </w:rPr>
        <w:t>cs (iv)</w:t>
      </w:r>
      <w:r>
        <w:rPr>
          <w:i/>
        </w:rPr>
        <w:t>:</w:t>
      </w:r>
      <w:r w:rsidRPr="000B6588">
        <w:t xml:space="preserve"> </w:t>
      </w:r>
      <w:r w:rsidRPr="000B6588">
        <w:rPr>
          <w:i/>
          <w:lang w:bidi="pl-PL"/>
        </w:rPr>
        <w:t>Wspieranie przystosowania się do zmian klimatu i zapobiegania ryzyku związanemu z klęskami żywiołowymi i katastrofami, a także odporności, z uwzględnieniem podejścia ekosystemowego</w:t>
      </w:r>
      <w:r w:rsidRPr="000B6588">
        <w:t xml:space="preserve">, należy utożsamiać z pozytywnym oddziaływaniem na obiekty zabytkowe. Poprawa stosunków wodnych zminimalizuje skutki wystąpienia ekstremalnych zjawisk w skali lokalnej. Poprawa odporności na zmiany klimatu w sposób pośredni pozytywnie wpłynie na regionalne obiekty zabytkowe. </w:t>
      </w:r>
    </w:p>
    <w:p w14:paraId="27E4DD4C" w14:textId="77777777" w:rsidR="009F1607" w:rsidRPr="000B6588" w:rsidRDefault="009F1607" w:rsidP="009F1607">
      <w:pPr>
        <w:rPr>
          <w:szCs w:val="24"/>
        </w:rPr>
      </w:pPr>
      <w:r w:rsidRPr="000B6588">
        <w:rPr>
          <w:szCs w:val="24"/>
        </w:rPr>
        <w:t xml:space="preserve">Przewiduje się, że działania przewidziane w ramach celu szczegółowego </w:t>
      </w:r>
      <w:r>
        <w:rPr>
          <w:i/>
          <w:iCs/>
          <w:szCs w:val="24"/>
        </w:rPr>
        <w:t>cs (vii):</w:t>
      </w:r>
      <w:r w:rsidRPr="000B6588">
        <w:rPr>
          <w:szCs w:val="24"/>
        </w:rPr>
        <w:t xml:space="preserve"> </w:t>
      </w:r>
      <w:r w:rsidRPr="000B6588">
        <w:rPr>
          <w:i/>
          <w:iCs/>
          <w:szCs w:val="24"/>
        </w:rPr>
        <w:t>Wzmacnianie ochrony i zachowania przyrody, różnorodności biologicznej oraz zielonej infrastruktury, w tym na obszarach miejskich oraz ograniczanie wszelkich rodzajów zanieczyszczenia</w:t>
      </w:r>
      <w:r w:rsidRPr="000B6588">
        <w:rPr>
          <w:szCs w:val="24"/>
        </w:rPr>
        <w:t xml:space="preserve">, będą miały pozytywny charakter na zabytki i dobra materialne. Ochrona terenów cennych przyrodniczo, niejednokrotnie zlokalizowanych w niewielkiej odległości od obiektów dziedzictwa kulturowego przyczyni się do koordynacji i skanalizowania ruchu turystycznego. Zwiększenie bioróżnorodności województwa przyczyni się do poprawy jakości powietrza w regionie, tym samym spowolni postępującą degradację obiektów zabytkowych. </w:t>
      </w:r>
    </w:p>
    <w:p w14:paraId="120A73A5" w14:textId="77777777" w:rsidR="009F1607" w:rsidRPr="000B6588" w:rsidRDefault="009F1607" w:rsidP="009F1607">
      <w:pPr>
        <w:rPr>
          <w:szCs w:val="22"/>
        </w:rPr>
      </w:pPr>
      <w:r w:rsidRPr="000B6588">
        <w:rPr>
          <w:szCs w:val="24"/>
        </w:rPr>
        <w:t>Potencjalnych negatywnych oddziaływań można upatrywać na etapie budowy inwestycji położonych w najbliższej odległości od obiektów zabytkowych w postaci drgań i wibracji. Oddziaływanie będzie krótkotrwałe i ustąpi wraz z zakończeniem robót budowlanych.</w:t>
      </w:r>
    </w:p>
    <w:p w14:paraId="36033BE9" w14:textId="77777777" w:rsidR="009F1607" w:rsidRPr="000B6588" w:rsidRDefault="009F1607" w:rsidP="009F1607">
      <w:r w:rsidRPr="000B6588">
        <w:t xml:space="preserve">Realizacja przedsięwzięć przewidzianych w ramach Priorytetu 3. </w:t>
      </w:r>
      <w:r w:rsidRPr="000B6588">
        <w:rPr>
          <w:b/>
          <w:i/>
        </w:rPr>
        <w:t>FUNDUSZE EUROPEJSKIE NA RZECZ MOBILNEGO POMORZA ZACHODNIEGO</w:t>
      </w:r>
      <w:r w:rsidRPr="000B6588">
        <w:t xml:space="preserve">, może mieć zarówno pozytywne, jak i negatywne skutki na stan zabytków i dóbr materialnych. Działania w ramach celu szczegółowego </w:t>
      </w:r>
      <w:r w:rsidRPr="000B6588">
        <w:rPr>
          <w:i/>
        </w:rPr>
        <w:t>cs (viii)</w:t>
      </w:r>
      <w:r>
        <w:rPr>
          <w:i/>
        </w:rPr>
        <w:t>:</w:t>
      </w:r>
      <w:r w:rsidRPr="000B6588">
        <w:t xml:space="preserve"> </w:t>
      </w:r>
      <w:r w:rsidRPr="000B6588">
        <w:rPr>
          <w:i/>
        </w:rPr>
        <w:t xml:space="preserve">Wspieranie zrównoważonej multimodalnej mobilności miejskiej jako elementu transformacji w kierunku gospodarki zeroemisyjnej, </w:t>
      </w:r>
      <w:r w:rsidRPr="000B6588">
        <w:t>mają na celu dostosowanie transportu do lokalnych potrzeb, jak i poprawę jakości środowiska (powietrza oraz przestrzeni przyjaznych pieszym i niezmotoryzowanym). Wykonywaniu prac budowlanych, a później eksploatacji infrastruktury liniowej towarzyszą negatywne czynniki m.in. drgania, hałas i pylenie, które mogą mieć niekorzystny wpływ na stan zabytków zlokalizowanych w bliskiej odległości od inwestycji. Natomiast długotrwałe oddziaływania pozytywne będą efektem promowania niskoemisyjnego i zeroemisyjnego transportu zbiorowego i ruchu niezmotoryzowanego, co wiąże się z poprawą stanu środowiska oraz zwiększeniem dostępności do dóbr materialnych.</w:t>
      </w:r>
    </w:p>
    <w:p w14:paraId="351E319D" w14:textId="77777777" w:rsidR="009F1607" w:rsidRPr="000B6588" w:rsidRDefault="009F1607" w:rsidP="009F1607">
      <w:pPr>
        <w:rPr>
          <w:szCs w:val="24"/>
        </w:rPr>
      </w:pPr>
      <w:r w:rsidRPr="000B6588">
        <w:rPr>
          <w:szCs w:val="24"/>
        </w:rPr>
        <w:t xml:space="preserve">Realizacja przedsięwzięć infrastrukturalnych przewidzianych w ramach realizacji Priorytetu 4. </w:t>
      </w:r>
      <w:r w:rsidRPr="000B6588">
        <w:rPr>
          <w:b/>
          <w:bCs/>
          <w:szCs w:val="24"/>
        </w:rPr>
        <w:t>FUNDUSZE EUROPEJSKIE NA RZECZ POŁĄCZONEGO POMORZA ZACHODNIEGO</w:t>
      </w:r>
      <w:r w:rsidRPr="000B6588">
        <w:rPr>
          <w:szCs w:val="24"/>
        </w:rPr>
        <w:t>, może mieć zarówno pozytywny, jak i negatywny charakter oddziaływań na obiekty zabytkowe. Działania te mają na celu zapewnienie dostępności transportowej najbardziej wykluczonych transportowo obszarów województwa, w tym również obszarów pozbawionych dogodnego dostępu do transportu publicznego. Realizacji prac budowlanych, a</w:t>
      </w:r>
      <w:r w:rsidRPr="000B6588">
        <w:rPr>
          <w:i/>
          <w:iCs/>
          <w:szCs w:val="24"/>
        </w:rPr>
        <w:t xml:space="preserve"> </w:t>
      </w:r>
      <w:r w:rsidRPr="000B6588">
        <w:rPr>
          <w:szCs w:val="24"/>
        </w:rPr>
        <w:t xml:space="preserve">później eksploatacji infrastruktury liniowej towarzyszą negatywne czynniki takie jak drgania, hałas i pylenie. Należy zwrócić uwagę, iż w przypadku lokalizacji nowych obiektów liniowych w sąsiedztwie istniejących zabytków może występować niekorzystny wpływ na ich stan oraz konstrukcję. W wyniku zwiększonego ruchu komunikacyjnego, zwłaszcza w przypadku ciężkiego taboru samochodowego niedostatecznie zabezpieczone konstrukcje obiektów zabytkowych mogą zostać naruszone. Stan oraz zabezpieczenie obiektów budowlanych mogą być bardzo zróżnicowane, dlatego niemożliwym jest jednoznaczne scharakteryzowanie tego oddziaływania. Należy pamiętać, że drgania i zanieczyszczenia, będące efektem prowadzonych prac oraz samej eksploatacji, mogą przyczyniać się do przyspieszenia degradacji zabytków zlokalizowanych najbliżej planowanych inwestycji. Dlatego do długotrwałych negatywnych oddziaływań na obiekty zabytkowe należy zaliczyć działania związane z przebudową, a później eksploatacją dróg lokalnych. Niemniej jednak rozbudowa oraz poprawa jakości sieci komunikacyjnej może zwiększyć dostępność zabytków, tym samym potencjalnie zwiększyć zainteresowanie wśród turystów oraz inwestorów. Można przewidzieć, że planowane inwestycje przyczynią się do poprawy stanu technicznego obiektów. </w:t>
      </w:r>
    </w:p>
    <w:p w14:paraId="626210F3" w14:textId="77777777" w:rsidR="009F1607" w:rsidRPr="000B6588" w:rsidRDefault="009F1607" w:rsidP="009F1607">
      <w:r w:rsidRPr="000B6588">
        <w:t>Skala oddziaływań powstających w wyniku realizacji przedsięwzięć liniowych związana będzie przede wszystkim z ich lokalizacją względem obiektów zabytkowych. Prace należy prowadzić z zachowaniem wszelkich regulacji oraz zasad obejmujących ochronę zabytków. Stosowanie się do wytycznych wojewódzkiego konserwatora zabytków zminimalizuje negatywne oddziaływanie na elementy dziedzictwa kulturowego.</w:t>
      </w:r>
    </w:p>
    <w:p w14:paraId="67312DF7" w14:textId="77777777" w:rsidR="009F1607" w:rsidRPr="000B6588" w:rsidRDefault="009F1607" w:rsidP="009F1607">
      <w:r w:rsidRPr="000B6588">
        <w:t xml:space="preserve">Zdecydowanie największy bezpośredni i długotrwały pozytywny charakter oddziaływań na zabytki i dobra materialne może wystąpić w wyniku realizacji Priorytetu 5. </w:t>
      </w:r>
      <w:r w:rsidRPr="000B6588">
        <w:rPr>
          <w:b/>
          <w:i/>
        </w:rPr>
        <w:t>FUNDUSZE EUROPEJSKIE NA RZECZ PRZYJAZNEGO MIESZKANKOM I MIESZKAŃCOM POMORZA ZACHODNIEGO</w:t>
      </w:r>
      <w:r w:rsidRPr="000B6588">
        <w:t xml:space="preserve">. W ramach celu szczegółowego </w:t>
      </w:r>
      <w:r w:rsidRPr="00E33BCC">
        <w:rPr>
          <w:i/>
        </w:rPr>
        <w:t>cs (vi)</w:t>
      </w:r>
      <w:r>
        <w:rPr>
          <w:i/>
        </w:rPr>
        <w:t>:</w:t>
      </w:r>
      <w:r w:rsidRPr="000B6588">
        <w:t xml:space="preserve"> </w:t>
      </w:r>
      <w:r w:rsidRPr="000B6588">
        <w:rPr>
          <w:rFonts w:cstheme="minorHAnsi"/>
          <w:i/>
        </w:rPr>
        <w:t>Wzmocnienie roli kultury i zrównoważonej turystyki w rozwoju gospodarczym, włączeniu społecznym i innowacjach społecznych</w:t>
      </w:r>
      <w:r w:rsidRPr="000B6588">
        <w:t xml:space="preserve">, planuje się działania które mają za zadanie podniesienie znaczenia kultury dla celów spójności społecznej i dobrostanu poprzez promowanie uczestnictwa w kulturze oraz ochrony dziedzictwa kulturowego, jak również wspieranie zatrudnienia i pobudzanie wzrostu gospodarczego w sektorze kultury i sektorze kreatywnym poprzez propagowanie sztuki i kultury w edukacji, promowanie odpowiednich umiejętności oraz zachęcanie do innowacji w dziedzinie kultury. Planowane działania ukierunkowane na budowę, rozbudowę i modernizację obiektów instytucji kultury przyczyniających się do włączenia społecznego, gdzie priorytetowo będą traktowane projekty realizujące założenia Nowego Europejskiego Bauhausu, przyczynią się do wzmocnienia tożsamości regionalnej, zabezpieczenia obiektów cennych historycznie oraz poprawy atrakcyjności oferty turystycznej regionu. Realizacja prac konserwatorskich i restauratorskich przyczyni się osiągnięcia celu szczegółowego poprzez dostosowanie obiektów do celów użytkowych oraz ich udostępnienie mieszkankom i mieszkańcom województwa oraz turystom. Zwiększenie świadomości społecznej o regionalnych uwarunkowaniach kulturowych będzie przedkładać się na zwiększenie szansy ochrony zabytków, poprawę ich stanu technicznego a tym samym na podnoszenie atrakcyjności turystycznej regionu. </w:t>
      </w:r>
    </w:p>
    <w:p w14:paraId="64BD47F3" w14:textId="77777777" w:rsidR="009F1607" w:rsidRPr="000B6588" w:rsidRDefault="009F1607" w:rsidP="009F1607">
      <w:pPr>
        <w:rPr>
          <w:highlight w:val="yellow"/>
        </w:rPr>
      </w:pPr>
      <w:r w:rsidRPr="000B6588">
        <w:t xml:space="preserve">Działania w ramach priorytetu 6. </w:t>
      </w:r>
      <w:r w:rsidRPr="000B6588">
        <w:rPr>
          <w:b/>
          <w:i/>
        </w:rPr>
        <w:t>FUNDUSZE EUROPEJSKIE NA RZECZ AKTYWNEGO POMORZA ZACHODNIEGO</w:t>
      </w:r>
      <w:r w:rsidRPr="000B6588">
        <w:t xml:space="preserve">, nakierowane są przede wszystkim na aktywizację i wsparcie osób poszukujących pracy, zwłaszcza dla znajdujących się w trudnej sytuacji na rynku pracy m.in. poprzez podnoszenie i nabywanie kwalifikacji oraz doświadczenia zawodowego. Przewiduje się, że planowane działania w zdecydowanej większości będą miały neutralny wpływ na stan zabytków. Realizacja przedsięwzięć przewidzianych w ramach celu szczegółowego </w:t>
      </w:r>
      <w:r w:rsidRPr="00E33BCC">
        <w:rPr>
          <w:i/>
        </w:rPr>
        <w:t>cs (f)</w:t>
      </w:r>
      <w:r>
        <w:rPr>
          <w:i/>
        </w:rPr>
        <w:t>:</w:t>
      </w:r>
      <w:r w:rsidRPr="000B6588">
        <w:t xml:space="preserve"> </w:t>
      </w:r>
      <w:r w:rsidRPr="000B6588">
        <w:rPr>
          <w:i/>
        </w:rPr>
        <w:t xml:space="preserve">Wspieranie równego dostępu do 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 </w:t>
      </w:r>
      <w:r w:rsidRPr="000B6588">
        <w:t>poprzez wzrost jakości kształcenia, szerzenie wiedzy wśród najmłodszych mieszkańców regionu oraz wzmacnianie tożsamości regionalnej będą miały pośredni pozytywny wpływ na zabytki oraz dobra materialne. Efektem długofalowym związanym z aktywizacją zawodową, a tym samym podniesieniem jakości standardów życia będzie zwiększenie zapotrzebowania na rozszerzanie oferty spędzania wolnego czasu, m.in. polegających na wykorzystaniu naturalnego potencjału regionu poprzez działania mające na celu urozmaicenie oferty kulturalnej i turystycznej regionu. Dzięki temu zwiększy się możliwość przeprowadzenia prac renowacyjnych, a tym samym poprawi stan techniczny obiektów dziedzictwa kulturowego.</w:t>
      </w:r>
    </w:p>
    <w:p w14:paraId="4C7E32B5" w14:textId="77777777" w:rsidR="009F1607" w:rsidRPr="000B6588" w:rsidRDefault="009F1607" w:rsidP="009F1607">
      <w:r w:rsidRPr="000B6588">
        <w:t xml:space="preserve">Przewiduje się wystąpienie szeregu pozytywnych bezpośrednich oddziaływań na stan obiektów kulturalnych w ramach działań zaplanowanych w Priorytecie 7. </w:t>
      </w:r>
      <w:r w:rsidRPr="000B6588">
        <w:rPr>
          <w:b/>
          <w:i/>
        </w:rPr>
        <w:t xml:space="preserve">FUNDUSZE EUROPEJSKIE NA RZECZ PARTNERSKIEGO POMORZA ZACHODNIEGO. </w:t>
      </w:r>
      <w:r w:rsidRPr="000B6588">
        <w:t xml:space="preserve">Cel szczegółowy </w:t>
      </w:r>
      <w:r w:rsidRPr="00B6333B">
        <w:rPr>
          <w:i/>
        </w:rPr>
        <w:t>cs (i)</w:t>
      </w:r>
      <w:r>
        <w:rPr>
          <w:i/>
        </w:rPr>
        <w:t>:</w:t>
      </w:r>
      <w:r w:rsidRPr="00B6333B">
        <w:rPr>
          <w:i/>
        </w:rPr>
        <w:t xml:space="preserve"> </w:t>
      </w:r>
      <w:r w:rsidRPr="000B6588">
        <w:rPr>
          <w:i/>
        </w:rPr>
        <w:t xml:space="preserve">Wspieranie zintegrowanego i sprzyjającego włączeniu społecznemu rozwoju społecznego, gospodarczego i środowiskowego, kultury, dziedzictwa naturalnego, zrównoważonej turystyki i bezpieczeństwa na obszarach miejskich, </w:t>
      </w:r>
      <w:r w:rsidRPr="000B6588">
        <w:t>przewiduje realizację działań m.in. z zakresu gospodarki turystycznej, wsparcie infrastruktury turystyki rowerowej, budowę, rozbudowę i modernizację instytucji kultury, prace restauratorskie i konserwatorskie obiektów zabytkowych i o znaczeniu historycznym oraz obiektów przynależnych do szlaków kulturowych, wsparcie oraz rozwój terenów inwestycyjnych/infrastruktury biznesowej, inwestycje nadające nowe funkcje gospodarcze obszarom poprzemysłowym itp., wsparcie inwestycji w istniejącą bazę dydaktyczną szkół zawodowych, wyposażenie pracowni/warsztatów itp. Ponadto wspierane będzie kompleksowe zagospodarowanie przestrzeni publicznych wraz z małą architekturą i infrastrukturą towarzyszącą w ramach układów urbanistycznych wpisanych do ewidencji lub rejestru zabytków.</w:t>
      </w:r>
    </w:p>
    <w:p w14:paraId="206C2625" w14:textId="77777777" w:rsidR="009F1607" w:rsidRPr="000B6588" w:rsidRDefault="009F1607" w:rsidP="009F1607">
      <w:r w:rsidRPr="000B6588">
        <w:t>Celem planowanych działań jest m.in. wzmacnianie potencjału miejskich obszarów funkcjonalnych, wzmocnienie tożsamości lokalnych społeczności, zwiększenie uczestnictwa w kulturze, rozwinięcie funkcji kulturalnych lub turystycznych obiektów o znaczeniu historycznym, wzmocnienie infrastruktury okołobiznesowej, poprawa warunków do prowadzenia działalności przedsiębiorstw i wzmocnienie lokalnych rynków pracy. Realizacja przedsięwzięć przewidzianych w ramach ww. celu będzie miała pozytywny i bezpośredni charakter na stan zabytków, wpłynie korzystnie na wartość estetyczną i użytkową dziedzictwa kulturowego, zwłaszcza obszarów zdegradowanych lub wiejskich o nieodkrytych dotąd na większą skalę walorach kulturalnych i turystycznych.</w:t>
      </w:r>
    </w:p>
    <w:p w14:paraId="70000B7E" w14:textId="77777777" w:rsidR="009F1607" w:rsidRPr="000B6588" w:rsidRDefault="009F1607" w:rsidP="009F1607">
      <w:r w:rsidRPr="000B6588">
        <w:t xml:space="preserve">W ramach Priorytetu 8. </w:t>
      </w:r>
      <w:r w:rsidRPr="000B6588">
        <w:rPr>
          <w:b/>
          <w:bCs/>
          <w:i/>
          <w:iCs/>
        </w:rPr>
        <w:t xml:space="preserve">POMOC TECHNICZNA (EFRR) </w:t>
      </w:r>
      <w:r w:rsidRPr="000B6588">
        <w:t xml:space="preserve">oraz Priorytetu 9. </w:t>
      </w:r>
      <w:r w:rsidRPr="000B6588">
        <w:rPr>
          <w:b/>
          <w:i/>
        </w:rPr>
        <w:t>POMOC TECHNICZNA (EFS+)</w:t>
      </w:r>
      <w:r w:rsidRPr="000B6588">
        <w:rPr>
          <w:bCs/>
          <w:iCs/>
        </w:rPr>
        <w:t xml:space="preserve">, </w:t>
      </w:r>
      <w:r w:rsidRPr="000B6588">
        <w:t xml:space="preserve">przewidziane są działania mające na celu wzmocnienie potencjału instytucjonalnego przez zmniejszenie obciążeń administracyjnych oraz poprawę jakości świadczonych usług. Przewiduje się, że realizacja tych działań będzie wywierała neutralny wpływ na obiekty dziedzictwa materialnego. </w:t>
      </w:r>
    </w:p>
    <w:p w14:paraId="4CC5C780" w14:textId="77777777" w:rsidR="009F1607" w:rsidRDefault="009F1607" w:rsidP="009F1607">
      <w:pPr>
        <w:pStyle w:val="Nagwek1"/>
        <w:numPr>
          <w:ilvl w:val="1"/>
          <w:numId w:val="4"/>
        </w:numPr>
        <w:ind w:left="1134" w:hanging="774"/>
      </w:pPr>
      <w:bookmarkStart w:id="50" w:name="_Toc80283938"/>
      <w:bookmarkStart w:id="51" w:name="_Toc82945180"/>
      <w:bookmarkStart w:id="52" w:name="_Toc104790640"/>
      <w:bookmarkStart w:id="53" w:name="_Toc102902711"/>
      <w:r w:rsidRPr="00655B1E">
        <w:rPr>
          <w:caps w:val="0"/>
          <w:sz w:val="32"/>
        </w:rPr>
        <w:t>POTENCJALNE ODDZIAŁYWANIA NA ŚRODOWISKO ZE SZCZEGÓLNYM UWZGLĘDNIENIEM ODDZIAŁYWAŃ SKUMULOWANYCH</w:t>
      </w:r>
      <w:bookmarkEnd w:id="50"/>
      <w:bookmarkEnd w:id="51"/>
      <w:bookmarkEnd w:id="52"/>
      <w:r>
        <w:rPr>
          <w:caps w:val="0"/>
          <w:sz w:val="32"/>
        </w:rPr>
        <w:t xml:space="preserve"> </w:t>
      </w:r>
      <w:bookmarkEnd w:id="53"/>
    </w:p>
    <w:p w14:paraId="5A835489" w14:textId="77777777" w:rsidR="009F1607" w:rsidRPr="00E55017" w:rsidRDefault="009F1607" w:rsidP="009F1607">
      <w:pPr>
        <w:shd w:val="clear" w:color="auto" w:fill="93D07C" w:themeFill="accent1" w:themeFillTint="99"/>
        <w:rPr>
          <w:rFonts w:cstheme="minorHAnsi"/>
          <w:b/>
          <w:bCs/>
        </w:rPr>
      </w:pPr>
      <w:r w:rsidRPr="00E55017">
        <w:rPr>
          <w:rFonts w:cstheme="minorHAnsi"/>
          <w:b/>
          <w:bCs/>
        </w:rPr>
        <w:t xml:space="preserve">Pozytywne oddziaływania programu na środowisko </w:t>
      </w:r>
    </w:p>
    <w:p w14:paraId="7B4F0034" w14:textId="77777777" w:rsidR="009F1607" w:rsidRPr="002C429B" w:rsidRDefault="009F1607" w:rsidP="009F1607">
      <w:pPr>
        <w:rPr>
          <w:szCs w:val="24"/>
        </w:rPr>
      </w:pPr>
      <w:r w:rsidRPr="002C429B">
        <w:rPr>
          <w:rFonts w:cstheme="minorHAnsi"/>
          <w:szCs w:val="24"/>
        </w:rPr>
        <w:t>Projekt Programu FEPZ 2021-2027 zakłada prowadzenie działań dla poprawy środowiska, również w aspektach związanych z poprawą stanu środowiska naturalnego poprzez:</w:t>
      </w:r>
    </w:p>
    <w:p w14:paraId="20C7D56F" w14:textId="77777777" w:rsidR="009F1607" w:rsidRPr="002C429B" w:rsidRDefault="009F1607" w:rsidP="00622DC9">
      <w:pPr>
        <w:numPr>
          <w:ilvl w:val="0"/>
          <w:numId w:val="20"/>
        </w:numPr>
        <w:spacing w:before="0" w:after="0"/>
        <w:ind w:left="714" w:hanging="357"/>
        <w:rPr>
          <w:szCs w:val="24"/>
        </w:rPr>
      </w:pPr>
      <w:r w:rsidRPr="002C429B">
        <w:rPr>
          <w:szCs w:val="24"/>
        </w:rPr>
        <w:t>redukcja emisji gazów cieplarnianych,</w:t>
      </w:r>
    </w:p>
    <w:p w14:paraId="2D53D79F" w14:textId="77777777" w:rsidR="009F1607" w:rsidRPr="002C429B" w:rsidRDefault="009F1607" w:rsidP="00622DC9">
      <w:pPr>
        <w:numPr>
          <w:ilvl w:val="0"/>
          <w:numId w:val="20"/>
        </w:numPr>
        <w:spacing w:before="0" w:after="0"/>
        <w:ind w:left="714" w:hanging="357"/>
        <w:rPr>
          <w:szCs w:val="24"/>
        </w:rPr>
      </w:pPr>
      <w:r w:rsidRPr="002C429B">
        <w:rPr>
          <w:szCs w:val="24"/>
        </w:rPr>
        <w:t>ograniczanie emisji zanieczyszczeń do środowiska naturalnego,</w:t>
      </w:r>
    </w:p>
    <w:p w14:paraId="0483AF81" w14:textId="77777777" w:rsidR="009F1607" w:rsidRPr="002C429B" w:rsidRDefault="009F1607" w:rsidP="00622DC9">
      <w:pPr>
        <w:numPr>
          <w:ilvl w:val="0"/>
          <w:numId w:val="20"/>
        </w:numPr>
        <w:spacing w:before="0" w:after="0"/>
        <w:ind w:left="714" w:hanging="357"/>
        <w:rPr>
          <w:szCs w:val="24"/>
        </w:rPr>
      </w:pPr>
      <w:r w:rsidRPr="002C429B">
        <w:rPr>
          <w:szCs w:val="24"/>
        </w:rPr>
        <w:t>ograniczenie zużycia energii,</w:t>
      </w:r>
    </w:p>
    <w:p w14:paraId="4AF098F1" w14:textId="77777777" w:rsidR="009F1607" w:rsidRPr="002C429B" w:rsidRDefault="009F1607" w:rsidP="00622DC9">
      <w:pPr>
        <w:numPr>
          <w:ilvl w:val="0"/>
          <w:numId w:val="20"/>
        </w:numPr>
        <w:spacing w:before="0" w:after="0"/>
        <w:ind w:left="714" w:hanging="357"/>
        <w:rPr>
          <w:szCs w:val="24"/>
        </w:rPr>
      </w:pPr>
      <w:r w:rsidRPr="002C429B">
        <w:rPr>
          <w:szCs w:val="24"/>
        </w:rPr>
        <w:t>rozwój OZE,</w:t>
      </w:r>
    </w:p>
    <w:p w14:paraId="0B282E6B" w14:textId="77777777" w:rsidR="009F1607" w:rsidRPr="002C429B" w:rsidRDefault="009F1607" w:rsidP="00622DC9">
      <w:pPr>
        <w:numPr>
          <w:ilvl w:val="0"/>
          <w:numId w:val="20"/>
        </w:numPr>
        <w:spacing w:before="0" w:after="0"/>
        <w:ind w:left="714" w:hanging="357"/>
        <w:rPr>
          <w:szCs w:val="24"/>
        </w:rPr>
      </w:pPr>
      <w:r w:rsidRPr="002C429B">
        <w:rPr>
          <w:szCs w:val="24"/>
        </w:rPr>
        <w:t>kompleksowe działania na rzecz poprawy stanu i ochrony siedlisk przyrodniczych oraz ochrony gatunków stanowiących zasoby przyrodnicze województwa zachodniopomorskiego,</w:t>
      </w:r>
    </w:p>
    <w:p w14:paraId="1F8982AF" w14:textId="77777777" w:rsidR="009F1607" w:rsidRPr="002C429B" w:rsidRDefault="009F1607" w:rsidP="00622DC9">
      <w:pPr>
        <w:numPr>
          <w:ilvl w:val="0"/>
          <w:numId w:val="20"/>
        </w:numPr>
        <w:spacing w:before="0" w:after="0"/>
        <w:ind w:left="714" w:hanging="357"/>
        <w:rPr>
          <w:szCs w:val="24"/>
        </w:rPr>
      </w:pPr>
      <w:r w:rsidRPr="002C429B">
        <w:rPr>
          <w:szCs w:val="24"/>
        </w:rPr>
        <w:t>zapobieganie niekorzystnym zjawiskom i procesom, wynikających ze zmian klimatu,</w:t>
      </w:r>
    </w:p>
    <w:p w14:paraId="796735CF" w14:textId="77777777" w:rsidR="009F1607" w:rsidRPr="002C429B" w:rsidRDefault="009F1607" w:rsidP="00622DC9">
      <w:pPr>
        <w:numPr>
          <w:ilvl w:val="0"/>
          <w:numId w:val="20"/>
        </w:numPr>
        <w:spacing w:before="0" w:after="0"/>
        <w:ind w:left="714" w:hanging="357"/>
        <w:rPr>
          <w:szCs w:val="24"/>
        </w:rPr>
      </w:pPr>
      <w:r w:rsidRPr="002C429B">
        <w:rPr>
          <w:szCs w:val="24"/>
        </w:rPr>
        <w:t>poprawę dostępu do zasobów wodnych o dobrej jakości, a jednocześnie racjonalizacja ich wykorzystania,</w:t>
      </w:r>
    </w:p>
    <w:p w14:paraId="078835EC" w14:textId="77777777" w:rsidR="009F1607" w:rsidRPr="002C429B" w:rsidRDefault="009F1607" w:rsidP="00622DC9">
      <w:pPr>
        <w:numPr>
          <w:ilvl w:val="0"/>
          <w:numId w:val="20"/>
        </w:numPr>
        <w:spacing w:before="0" w:after="0"/>
        <w:ind w:left="714" w:hanging="357"/>
        <w:rPr>
          <w:szCs w:val="24"/>
        </w:rPr>
      </w:pPr>
      <w:r w:rsidRPr="002C429B">
        <w:rPr>
          <w:szCs w:val="24"/>
        </w:rPr>
        <w:t>rozwój zielonych technologii oraz transformacja do zielonej gospodarki (green economy),</w:t>
      </w:r>
    </w:p>
    <w:p w14:paraId="0F894B9F" w14:textId="77777777" w:rsidR="009F1607" w:rsidRPr="002C429B" w:rsidRDefault="009F1607" w:rsidP="00622DC9">
      <w:pPr>
        <w:numPr>
          <w:ilvl w:val="0"/>
          <w:numId w:val="20"/>
        </w:numPr>
        <w:spacing w:before="0" w:after="0"/>
        <w:ind w:left="714" w:hanging="357"/>
        <w:rPr>
          <w:szCs w:val="24"/>
        </w:rPr>
      </w:pPr>
      <w:r w:rsidRPr="002C429B">
        <w:rPr>
          <w:szCs w:val="24"/>
        </w:rPr>
        <w:t>rozwój gospodarki obiegu zamkniętego i racjonalizacja wykorzystania zasobów naturalnych,</w:t>
      </w:r>
    </w:p>
    <w:p w14:paraId="2126BEAC" w14:textId="77777777" w:rsidR="009F1607" w:rsidRPr="002C429B" w:rsidRDefault="009F1607" w:rsidP="00622DC9">
      <w:pPr>
        <w:numPr>
          <w:ilvl w:val="0"/>
          <w:numId w:val="20"/>
        </w:numPr>
        <w:spacing w:before="0" w:after="0"/>
        <w:ind w:left="714" w:hanging="357"/>
        <w:rPr>
          <w:szCs w:val="24"/>
        </w:rPr>
      </w:pPr>
      <w:r w:rsidRPr="002C429B">
        <w:rPr>
          <w:szCs w:val="24"/>
        </w:rPr>
        <w:t>zmniejszenie hałasu,</w:t>
      </w:r>
    </w:p>
    <w:p w14:paraId="666D90E4" w14:textId="77777777" w:rsidR="009F1607" w:rsidRPr="002C429B" w:rsidRDefault="009F1607" w:rsidP="00622DC9">
      <w:pPr>
        <w:numPr>
          <w:ilvl w:val="0"/>
          <w:numId w:val="20"/>
        </w:numPr>
        <w:spacing w:before="0" w:after="0"/>
        <w:ind w:left="714" w:hanging="357"/>
        <w:rPr>
          <w:szCs w:val="24"/>
        </w:rPr>
      </w:pPr>
      <w:r w:rsidRPr="002C429B">
        <w:rPr>
          <w:szCs w:val="24"/>
        </w:rPr>
        <w:t>poprawę jakości powietrza,</w:t>
      </w:r>
    </w:p>
    <w:p w14:paraId="145C74D0" w14:textId="77777777" w:rsidR="009F1607" w:rsidRPr="002C429B" w:rsidRDefault="009F1607" w:rsidP="00622DC9">
      <w:pPr>
        <w:numPr>
          <w:ilvl w:val="0"/>
          <w:numId w:val="20"/>
        </w:numPr>
        <w:spacing w:before="0" w:after="0"/>
        <w:ind w:left="714" w:hanging="357"/>
        <w:rPr>
          <w:szCs w:val="24"/>
        </w:rPr>
      </w:pPr>
      <w:r w:rsidRPr="002C429B">
        <w:rPr>
          <w:szCs w:val="24"/>
        </w:rPr>
        <w:t>poprawę jakości infrastruktury wodno-ściekowej.</w:t>
      </w:r>
    </w:p>
    <w:p w14:paraId="39FA1E50" w14:textId="77777777" w:rsidR="009F1607" w:rsidRPr="002C429B" w:rsidRDefault="009F1607" w:rsidP="009F1607">
      <w:pPr>
        <w:rPr>
          <w:szCs w:val="24"/>
        </w:rPr>
      </w:pPr>
      <w:r w:rsidRPr="002C429B">
        <w:rPr>
          <w:szCs w:val="24"/>
        </w:rPr>
        <w:t>Realizacja Programu FEPZ 2021-2027 pozytywnie wpływać będzie też na zdrowie i jakość życia mieszkańców poprzez:</w:t>
      </w:r>
    </w:p>
    <w:p w14:paraId="4B69B93B" w14:textId="77777777" w:rsidR="009F1607" w:rsidRPr="002C429B" w:rsidRDefault="009F1607" w:rsidP="00622DC9">
      <w:pPr>
        <w:numPr>
          <w:ilvl w:val="0"/>
          <w:numId w:val="21"/>
        </w:numPr>
        <w:spacing w:before="0" w:after="0"/>
        <w:rPr>
          <w:rFonts w:cstheme="minorHAnsi"/>
          <w:szCs w:val="24"/>
        </w:rPr>
      </w:pPr>
      <w:r w:rsidRPr="002C429B">
        <w:rPr>
          <w:rFonts w:cstheme="minorHAnsi"/>
          <w:szCs w:val="24"/>
        </w:rPr>
        <w:t>rozwój elektronicznych usług (e-usług) obejmujących takie obszary jak: turystyka, sport, rolnictwo, ochrona środowiska, komunikacja i organizacja transportu oraz mobilność,</w:t>
      </w:r>
    </w:p>
    <w:p w14:paraId="31F3E1EE" w14:textId="77777777" w:rsidR="009F1607" w:rsidRPr="002C429B" w:rsidRDefault="009F1607" w:rsidP="00622DC9">
      <w:pPr>
        <w:numPr>
          <w:ilvl w:val="0"/>
          <w:numId w:val="21"/>
        </w:numPr>
        <w:spacing w:before="0" w:after="0"/>
        <w:rPr>
          <w:szCs w:val="24"/>
        </w:rPr>
      </w:pPr>
      <w:r w:rsidRPr="002C429B">
        <w:rPr>
          <w:szCs w:val="24"/>
        </w:rPr>
        <w:t>rozwój zasobów cyfrowych dla obywateli i przedsiębiorstw,</w:t>
      </w:r>
    </w:p>
    <w:p w14:paraId="742F2499" w14:textId="77777777" w:rsidR="009F1607" w:rsidRPr="002C429B" w:rsidRDefault="009F1607" w:rsidP="00622DC9">
      <w:pPr>
        <w:numPr>
          <w:ilvl w:val="0"/>
          <w:numId w:val="21"/>
        </w:numPr>
        <w:spacing w:before="0" w:after="0"/>
        <w:rPr>
          <w:szCs w:val="24"/>
        </w:rPr>
      </w:pPr>
      <w:r w:rsidRPr="002C429B">
        <w:rPr>
          <w:szCs w:val="24"/>
        </w:rPr>
        <w:t>rozwój zasobów rynku pracy poprzez aktywizację zawodową, podnoszenie kwalifikacji i kompetencji osób pracujących, w tym posiadających niestabilną pozycję na rynku pracy, odchodzących z rolnictwa oraz ubogich pracujących,</w:t>
      </w:r>
    </w:p>
    <w:p w14:paraId="4F9C0A2D" w14:textId="77777777" w:rsidR="009F1607" w:rsidRPr="002C429B" w:rsidRDefault="009F1607" w:rsidP="00622DC9">
      <w:pPr>
        <w:numPr>
          <w:ilvl w:val="0"/>
          <w:numId w:val="21"/>
        </w:numPr>
        <w:spacing w:before="0" w:after="0"/>
        <w:rPr>
          <w:szCs w:val="24"/>
        </w:rPr>
      </w:pPr>
      <w:r w:rsidRPr="002C429B">
        <w:rPr>
          <w:szCs w:val="24"/>
        </w:rPr>
        <w:t>podniesienie jakości i dostępności do podmiotów świadczących usługi społeczne,</w:t>
      </w:r>
    </w:p>
    <w:p w14:paraId="303F3F48" w14:textId="77777777" w:rsidR="009F1607" w:rsidRPr="002C429B" w:rsidRDefault="009F1607" w:rsidP="00622DC9">
      <w:pPr>
        <w:numPr>
          <w:ilvl w:val="0"/>
          <w:numId w:val="21"/>
        </w:numPr>
        <w:spacing w:before="0" w:after="0"/>
        <w:rPr>
          <w:szCs w:val="24"/>
        </w:rPr>
      </w:pPr>
      <w:r w:rsidRPr="002C429B">
        <w:rPr>
          <w:szCs w:val="24"/>
        </w:rPr>
        <w:t>wsparcie integracji społeczno-gospodarczej,</w:t>
      </w:r>
    </w:p>
    <w:p w14:paraId="056B8C52" w14:textId="77777777" w:rsidR="009F1607" w:rsidRPr="002C429B" w:rsidRDefault="009F1607" w:rsidP="00622DC9">
      <w:pPr>
        <w:numPr>
          <w:ilvl w:val="0"/>
          <w:numId w:val="21"/>
        </w:numPr>
        <w:spacing w:before="0" w:after="0"/>
        <w:rPr>
          <w:szCs w:val="24"/>
        </w:rPr>
      </w:pPr>
      <w:r w:rsidRPr="002C429B">
        <w:rPr>
          <w:szCs w:val="24"/>
        </w:rPr>
        <w:t>poprawa dostępności do usług medycznych, w tym rozwój jakości świadczenia tych usług poprzez ulepszenie warunków funkcjonowania, rozwój infrastruktury i wyposażenia placówek medycznych,</w:t>
      </w:r>
    </w:p>
    <w:p w14:paraId="09F2CD21" w14:textId="77777777" w:rsidR="009F1607" w:rsidRPr="002C429B" w:rsidRDefault="009F1607" w:rsidP="00622DC9">
      <w:pPr>
        <w:numPr>
          <w:ilvl w:val="0"/>
          <w:numId w:val="21"/>
        </w:numPr>
        <w:spacing w:before="0" w:after="0"/>
        <w:ind w:left="714" w:hanging="357"/>
        <w:rPr>
          <w:szCs w:val="24"/>
        </w:rPr>
      </w:pPr>
      <w:r w:rsidRPr="002C429B">
        <w:rPr>
          <w:szCs w:val="24"/>
        </w:rPr>
        <w:t>rozwój zrównoważonej turystyki i rozszerzenie oferty spędzania wolnego czasu,</w:t>
      </w:r>
    </w:p>
    <w:p w14:paraId="42B42C53" w14:textId="77777777" w:rsidR="009F1607" w:rsidRPr="002C429B" w:rsidRDefault="009F1607" w:rsidP="00622DC9">
      <w:pPr>
        <w:numPr>
          <w:ilvl w:val="0"/>
          <w:numId w:val="21"/>
        </w:numPr>
        <w:spacing w:before="0" w:after="0"/>
        <w:ind w:left="714" w:hanging="357"/>
        <w:rPr>
          <w:szCs w:val="24"/>
        </w:rPr>
      </w:pPr>
      <w:r w:rsidRPr="002C429B">
        <w:rPr>
          <w:szCs w:val="24"/>
        </w:rPr>
        <w:t>poprawę stanu zdrowia ludzi (np. poprzez redukcję emisji zanieczyszczeń),</w:t>
      </w:r>
    </w:p>
    <w:p w14:paraId="151554FB" w14:textId="77777777" w:rsidR="009F1607" w:rsidRPr="002C429B" w:rsidRDefault="009F1607" w:rsidP="00622DC9">
      <w:pPr>
        <w:numPr>
          <w:ilvl w:val="0"/>
          <w:numId w:val="21"/>
        </w:numPr>
        <w:spacing w:before="0" w:after="0"/>
        <w:ind w:left="714" w:hanging="357"/>
        <w:rPr>
          <w:szCs w:val="24"/>
        </w:rPr>
      </w:pPr>
      <w:r w:rsidRPr="002C429B">
        <w:rPr>
          <w:szCs w:val="24"/>
        </w:rPr>
        <w:t>wzrost poczucia bezpieczeństwa, ładu i równowagi społecznej mieszkańców.</w:t>
      </w:r>
    </w:p>
    <w:p w14:paraId="6E69D914" w14:textId="77777777" w:rsidR="009F1607" w:rsidRPr="002C429B" w:rsidRDefault="009F1607" w:rsidP="009F1607">
      <w:pPr>
        <w:rPr>
          <w:szCs w:val="24"/>
        </w:rPr>
      </w:pPr>
      <w:r w:rsidRPr="002C429B">
        <w:rPr>
          <w:szCs w:val="24"/>
        </w:rPr>
        <w:t xml:space="preserve">Potencjalny pozytywny wpływ na środowisko realizacji działań w ramach poszczególnych celów szczegółowych wystąpi poprzez: </w:t>
      </w:r>
    </w:p>
    <w:p w14:paraId="6DB9C16F" w14:textId="77777777" w:rsidR="009F1607" w:rsidRPr="002C429B" w:rsidRDefault="009F1607" w:rsidP="00622DC9">
      <w:pPr>
        <w:numPr>
          <w:ilvl w:val="0"/>
          <w:numId w:val="22"/>
        </w:numPr>
        <w:spacing w:before="0" w:after="0"/>
        <w:ind w:left="714" w:hanging="357"/>
        <w:rPr>
          <w:szCs w:val="24"/>
        </w:rPr>
      </w:pPr>
      <w:r w:rsidRPr="002C429B">
        <w:rPr>
          <w:szCs w:val="24"/>
        </w:rPr>
        <w:t>wprowadzanie rozwiązań z zakresu obiegu zamkniętego,</w:t>
      </w:r>
    </w:p>
    <w:p w14:paraId="0A3EB231" w14:textId="77777777" w:rsidR="009F1607" w:rsidRPr="002C429B" w:rsidRDefault="009F1607" w:rsidP="00622DC9">
      <w:pPr>
        <w:numPr>
          <w:ilvl w:val="0"/>
          <w:numId w:val="22"/>
        </w:numPr>
        <w:spacing w:before="0" w:after="0"/>
        <w:ind w:left="714" w:hanging="357"/>
        <w:rPr>
          <w:szCs w:val="24"/>
        </w:rPr>
      </w:pPr>
      <w:r w:rsidRPr="002C429B">
        <w:rPr>
          <w:szCs w:val="24"/>
        </w:rPr>
        <w:t xml:space="preserve">wytwarzanie energii z odnawialnych źródeł, </w:t>
      </w:r>
    </w:p>
    <w:p w14:paraId="2246C6D0" w14:textId="77777777" w:rsidR="009F1607" w:rsidRPr="002C429B" w:rsidRDefault="009F1607" w:rsidP="00622DC9">
      <w:pPr>
        <w:numPr>
          <w:ilvl w:val="0"/>
          <w:numId w:val="22"/>
        </w:numPr>
        <w:spacing w:before="0" w:after="0"/>
        <w:ind w:left="714" w:hanging="357"/>
        <w:rPr>
          <w:szCs w:val="24"/>
        </w:rPr>
      </w:pPr>
      <w:r w:rsidRPr="002C429B">
        <w:rPr>
          <w:szCs w:val="24"/>
        </w:rPr>
        <w:t>przystosowanie do zmian klimatu w kontekście ochrony przed negatywnymi skutkami zmian klimatu, jak i tworzenie lub podnoszenie ich odporności do obecnej i przyszłej zmienności klimatu,</w:t>
      </w:r>
    </w:p>
    <w:p w14:paraId="1045D835" w14:textId="77777777" w:rsidR="009F1607" w:rsidRPr="002C429B" w:rsidRDefault="009F1607" w:rsidP="00622DC9">
      <w:pPr>
        <w:numPr>
          <w:ilvl w:val="0"/>
          <w:numId w:val="22"/>
        </w:numPr>
        <w:spacing w:before="0" w:after="0"/>
        <w:ind w:left="714" w:hanging="357"/>
        <w:rPr>
          <w:szCs w:val="24"/>
        </w:rPr>
      </w:pPr>
      <w:r w:rsidRPr="002C429B">
        <w:rPr>
          <w:szCs w:val="24"/>
        </w:rPr>
        <w:t>podniesienie standardów usług leczniczych,</w:t>
      </w:r>
    </w:p>
    <w:p w14:paraId="62841709" w14:textId="77777777" w:rsidR="009F1607" w:rsidRPr="002C429B" w:rsidRDefault="009F1607" w:rsidP="00622DC9">
      <w:pPr>
        <w:numPr>
          <w:ilvl w:val="0"/>
          <w:numId w:val="22"/>
        </w:numPr>
        <w:spacing w:before="0" w:after="0"/>
        <w:ind w:left="714" w:hanging="357"/>
        <w:rPr>
          <w:szCs w:val="24"/>
        </w:rPr>
      </w:pPr>
      <w:r w:rsidRPr="002C429B">
        <w:rPr>
          <w:szCs w:val="24"/>
        </w:rPr>
        <w:t xml:space="preserve">podniesienie poziomu życia i oczekiwań względem jakości życia, w tym stanu środowiska. </w:t>
      </w:r>
    </w:p>
    <w:p w14:paraId="00748D70" w14:textId="77777777" w:rsidR="009F1607" w:rsidRPr="002C429B" w:rsidRDefault="009F1607" w:rsidP="009F1607">
      <w:pPr>
        <w:rPr>
          <w:szCs w:val="24"/>
        </w:rPr>
      </w:pPr>
      <w:r w:rsidRPr="002C429B">
        <w:rPr>
          <w:szCs w:val="24"/>
        </w:rPr>
        <w:t>Działania o charakterze pośrednim będą w przeważającej części miały charakter pozytywny bądź neutralny, gdyż większość tych działań ma wymiar naukowy, techniczny, organizacyjny, finansowy i handlowy, których celem jest opracowanie i wdrożenie nowych lub istotnie ulepszonych produktów i procesów</w:t>
      </w:r>
      <w:r w:rsidRPr="002C429B">
        <w:rPr>
          <w:szCs w:val="24"/>
          <w:vertAlign w:val="superscript"/>
        </w:rPr>
        <w:footnoteReference w:id="32"/>
      </w:r>
      <w:r w:rsidRPr="002C429B">
        <w:rPr>
          <w:szCs w:val="24"/>
        </w:rPr>
        <w:t xml:space="preserve">. Można spodziewać się także, że w rezultacie działań edukacyjnych i projektów aktywizujących lokalne społeczności, stan wiedzy i świadomość ekologiczna społeczeństw poprawi się, a wymiernym skutkiem tego będzie większa troska o stan wszystkich komponentów środowiska. </w:t>
      </w:r>
    </w:p>
    <w:p w14:paraId="1262BB03" w14:textId="77777777" w:rsidR="009F1607" w:rsidRPr="002C429B" w:rsidRDefault="009F1607" w:rsidP="009F1607">
      <w:pPr>
        <w:shd w:val="clear" w:color="auto" w:fill="93D07C" w:themeFill="accent1" w:themeFillTint="99"/>
        <w:rPr>
          <w:rFonts w:cstheme="minorHAnsi"/>
          <w:b/>
          <w:bCs/>
          <w:szCs w:val="24"/>
        </w:rPr>
      </w:pPr>
      <w:r w:rsidRPr="002C429B">
        <w:rPr>
          <w:rFonts w:cstheme="minorHAnsi"/>
          <w:b/>
          <w:bCs/>
          <w:szCs w:val="24"/>
        </w:rPr>
        <w:t xml:space="preserve">Potencjalne znaczące oddziaływania negatywne </w:t>
      </w:r>
    </w:p>
    <w:p w14:paraId="70AD13D7" w14:textId="215A05D8" w:rsidR="009F1607" w:rsidRPr="002C429B" w:rsidRDefault="009F1607" w:rsidP="009F1607">
      <w:pPr>
        <w:rPr>
          <w:szCs w:val="24"/>
        </w:rPr>
      </w:pPr>
      <w:r w:rsidRPr="002C429B">
        <w:rPr>
          <w:szCs w:val="24"/>
        </w:rPr>
        <w:t>Negatywne oddziaływanie będzie występowało gł</w:t>
      </w:r>
      <w:r w:rsidR="004110A4">
        <w:rPr>
          <w:szCs w:val="24"/>
        </w:rPr>
        <w:t>ó</w:t>
      </w:r>
      <w:r w:rsidRPr="002C429B">
        <w:rPr>
          <w:szCs w:val="24"/>
        </w:rPr>
        <w:t xml:space="preserve">wnie na etapie realizacji nowych przedsięwzięć inwestycyjnych, produkcyjnych i wdrożeniowych i w większości będzie miało charakter krótkookresowy, co szczegółowo opisano rozdziałach </w:t>
      </w:r>
      <w:r w:rsidR="006E38B9">
        <w:rPr>
          <w:szCs w:val="24"/>
        </w:rPr>
        <w:t>4</w:t>
      </w:r>
      <w:r w:rsidRPr="002C429B">
        <w:rPr>
          <w:szCs w:val="24"/>
        </w:rPr>
        <w:t xml:space="preserve">.1 – </w:t>
      </w:r>
      <w:r w:rsidR="006E38B9">
        <w:rPr>
          <w:szCs w:val="24"/>
        </w:rPr>
        <w:t>4</w:t>
      </w:r>
      <w:r w:rsidRPr="002C429B">
        <w:rPr>
          <w:szCs w:val="24"/>
        </w:rPr>
        <w:t xml:space="preserve">.9, w odniesieniu do poszczególnych komponentów środowiska. </w:t>
      </w:r>
    </w:p>
    <w:p w14:paraId="3ADF1BD3" w14:textId="77777777" w:rsidR="009F1607" w:rsidRPr="002C429B" w:rsidRDefault="009F1607" w:rsidP="009F1607">
      <w:pPr>
        <w:rPr>
          <w:rFonts w:eastAsia="Times New Roman" w:cstheme="minorHAnsi"/>
          <w:color w:val="353838"/>
          <w:szCs w:val="24"/>
        </w:rPr>
      </w:pPr>
      <w:r w:rsidRPr="002C429B">
        <w:rPr>
          <w:rFonts w:eastAsia="Times New Roman" w:cstheme="minorHAnsi"/>
          <w:color w:val="353838"/>
          <w:szCs w:val="24"/>
        </w:rPr>
        <w:t xml:space="preserve">Większość działań zaplanowanych do realizacji w ramach Priorytetu 1. </w:t>
      </w:r>
      <w:r w:rsidRPr="002C429B">
        <w:rPr>
          <w:rFonts w:eastAsia="Times New Roman" w:cstheme="minorHAnsi"/>
          <w:b/>
          <w:i/>
          <w:color w:val="353838"/>
          <w:szCs w:val="24"/>
        </w:rPr>
        <w:t>FUNDUSZE EUROPEJSKIE NA RZECZ PRZEDSIĘBIORCZEGO POMORZA ZACHODNIEGO</w:t>
      </w:r>
      <w:r w:rsidRPr="002C429B" w:rsidDel="009C6573">
        <w:rPr>
          <w:rFonts w:eastAsia="Times New Roman" w:cstheme="minorHAnsi"/>
          <w:b/>
          <w:i/>
          <w:color w:val="353838"/>
          <w:szCs w:val="24"/>
        </w:rPr>
        <w:t xml:space="preserve"> </w:t>
      </w:r>
      <w:r w:rsidRPr="002C429B">
        <w:rPr>
          <w:rFonts w:eastAsia="Times New Roman" w:cstheme="minorHAnsi"/>
          <w:color w:val="353838"/>
          <w:szCs w:val="24"/>
        </w:rPr>
        <w:t>przewiduje się, że będzie pozytywnie oddziaływać na komponenty środowiska. Potencjalnie negatywne oddziaływania wystąpić mogą jedynie w przypadkach, w których konieczna będzie budowa, przebudowa lub rozbudowa ośrodków badań naukowych lub przemysłowych, czy też instalacji badawczych, pilotażowych lub nowych linii produkcyjnych.</w:t>
      </w:r>
    </w:p>
    <w:p w14:paraId="1C3B4180" w14:textId="77777777" w:rsidR="009F1607" w:rsidRPr="002C429B" w:rsidRDefault="009F1607" w:rsidP="009F1607">
      <w:pPr>
        <w:rPr>
          <w:rFonts w:cstheme="minorHAnsi"/>
          <w:b/>
          <w:i/>
          <w:szCs w:val="24"/>
        </w:rPr>
      </w:pPr>
      <w:r w:rsidRPr="002C429B">
        <w:rPr>
          <w:szCs w:val="24"/>
        </w:rPr>
        <w:t xml:space="preserve">Potencjalnym znaczącym negatywnym oddziaływaniem bezpośrednim o charakterze tymczasowym i średnioterminowym będą charakteryzowały się inwestycje skupione w ramach Priorytetu </w:t>
      </w:r>
      <w:r w:rsidRPr="002C429B">
        <w:rPr>
          <w:rFonts w:eastAsia="Times New Roman" w:cs="Calibri"/>
          <w:szCs w:val="24"/>
        </w:rPr>
        <w:t>2.</w:t>
      </w:r>
      <w:r w:rsidRPr="002C429B">
        <w:rPr>
          <w:rFonts w:eastAsia="Times New Roman" w:cs="Calibri"/>
          <w:b/>
          <w:i/>
          <w:szCs w:val="24"/>
        </w:rPr>
        <w:t xml:space="preserve"> FUNDUSZE EUROPEJSKIE NA RZECZ ZIELONEGO POMORZA ZACHODNIEGO</w:t>
      </w:r>
      <w:r w:rsidRPr="002C429B">
        <w:rPr>
          <w:szCs w:val="24"/>
        </w:rPr>
        <w:t xml:space="preserve">, a w szczególności działania w ramach celów </w:t>
      </w:r>
      <w:r w:rsidRPr="002C429B">
        <w:rPr>
          <w:i/>
          <w:szCs w:val="24"/>
        </w:rPr>
        <w:t xml:space="preserve">cs (i): Wspieranie efektywności energetycznej i redukcji emisji gazów cieplarnianych; (cs (ii): Wspieranie energii odnawialnej zgodnie z dyrektywą (UE) 2018/2001, w tym określonymi w niej kryteriami zrównoważonego rozwoju, cs (iv): Wspieranie przystosowania się do zmian klimatu i zapobiegania ryzyku związanemu z klęskami żywiołowymi i katastrofami, a także odporności, z uwzględnieniem podejścia ekosystemowego, cs (v): Wspieranie dostępu do wody oraz zrównoważonej gospodarki wodnej; cs (vi) Wspieranie transformacji w kierunku gospodarki o obiegu zamkniętym i gospodarki zasobooszczędnej, cs vii): Wzmacnianie ochrony i zachowania przyrody, różnorodności biologicznej oraz zielonej infrastruktury, w tym na obszarach miejskich, oraz ograniczanie wszelkich rodzajów zanieczyszczenia; cs (vii): Wzmacnianie ochrony i zachowania przyrody, różnorodności biologicznej oraz zielonej infrastruktury, w tym na obszarach miejskich, oraz ograniczanie wszelkich rodzajów zanieczyszczenia, </w:t>
      </w:r>
      <w:r w:rsidRPr="002C429B">
        <w:rPr>
          <w:szCs w:val="24"/>
        </w:rPr>
        <w:t>a także</w:t>
      </w:r>
      <w:r w:rsidRPr="002C429B">
        <w:rPr>
          <w:i/>
          <w:szCs w:val="24"/>
        </w:rPr>
        <w:t xml:space="preserve"> </w:t>
      </w:r>
      <w:r w:rsidRPr="002C429B">
        <w:rPr>
          <w:rFonts w:cstheme="minorHAnsi"/>
          <w:szCs w:val="24"/>
        </w:rPr>
        <w:t xml:space="preserve">w ramach Priorytetu 3. </w:t>
      </w:r>
      <w:r w:rsidRPr="002C429B">
        <w:rPr>
          <w:rFonts w:cstheme="minorHAnsi"/>
          <w:b/>
          <w:i/>
          <w:szCs w:val="24"/>
        </w:rPr>
        <w:t xml:space="preserve">FUNDUSZE EUROPEJSKIE NA RZECZ MOBILNEGO POMORZA ZACHODNIEGO </w:t>
      </w:r>
      <w:r w:rsidRPr="002C429B">
        <w:rPr>
          <w:rFonts w:cstheme="minorHAnsi"/>
          <w:szCs w:val="24"/>
        </w:rPr>
        <w:t>w ramach celu szczegółowego</w:t>
      </w:r>
      <w:r w:rsidRPr="002C429B">
        <w:rPr>
          <w:rFonts w:cstheme="minorHAnsi"/>
          <w:i/>
          <w:szCs w:val="24"/>
        </w:rPr>
        <w:t xml:space="preserve"> cs (viii): Wspieranie zrównoważonej multimodalnej mobilności miejskiej jako elementu transformacji w kierunku gospodarki zeroemisyjnej</w:t>
      </w:r>
      <w:r w:rsidRPr="002C429B">
        <w:rPr>
          <w:i/>
          <w:szCs w:val="24"/>
        </w:rPr>
        <w:t xml:space="preserve">. </w:t>
      </w:r>
      <w:r w:rsidRPr="002C429B">
        <w:rPr>
          <w:szCs w:val="24"/>
        </w:rPr>
        <w:t xml:space="preserve">Potencjalnym negatywnym oddziaływaniem na środowisko będą charakteryzowały się działania związane są z inwestycjami w infrastrukturę komunikacyjną, zwłaszcza na obszarach miejskich. Realizacja tych działań powodowała będzie krótkoterminowe negatywne odziaływania na etapie budowy obejmujące zniszczenia szaty roślinnej, siedlisk przyrodniczych, płoszenie zwierząt w granicy terenu inwestycji lub w bliskiej odległości w związku z zanieczyszczeniem hałasem i światłem, czy pogorszenie powierzchni ziemi. W chwili zakończenia inwestycji (budowy, przebudowy, modernizacji), przewiduje się, że oddziaływania krótkoterminowe ustąpią, a stan poszczególnych komponentów środowiska (np. powierzchni ziemi) zostanie przywrócony do pierwotnego. </w:t>
      </w:r>
    </w:p>
    <w:p w14:paraId="284C88CB" w14:textId="77777777" w:rsidR="009F1607" w:rsidRPr="002C429B" w:rsidRDefault="009F1607" w:rsidP="009F1607">
      <w:pPr>
        <w:rPr>
          <w:i/>
          <w:szCs w:val="24"/>
        </w:rPr>
      </w:pPr>
      <w:r w:rsidRPr="002C429B">
        <w:rPr>
          <w:szCs w:val="24"/>
        </w:rPr>
        <w:t xml:space="preserve">Dla działań długoterminowych bezpośrednio oddziaływujących na stan środowiska, czy to na etapie realizacji, czy to w późniejszej perspektywie w trakcie funkcjonowania (oddziaływania pośrednie) zaplanowano odpowiednie działania prewencyjne i minimalizujące, które szczegółowo omówiono w rozdziale 7 niniejszej prognozy. </w:t>
      </w:r>
    </w:p>
    <w:p w14:paraId="1B289D8E" w14:textId="77777777" w:rsidR="009F1607" w:rsidRPr="002C429B" w:rsidRDefault="009F1607" w:rsidP="009F1607">
      <w:pPr>
        <w:rPr>
          <w:szCs w:val="24"/>
          <w:highlight w:val="yellow"/>
        </w:rPr>
      </w:pPr>
      <w:r w:rsidRPr="002C429B">
        <w:rPr>
          <w:szCs w:val="24"/>
        </w:rPr>
        <w:t xml:space="preserve">Potencjalnego negatywnego oddziaływania można również spodziewać się w wyniku realizacji działań w ramach celu szczegółowego </w:t>
      </w:r>
      <w:r w:rsidRPr="002C429B">
        <w:rPr>
          <w:rFonts w:eastAsia="Times New Roman" w:cstheme="minorHAnsi"/>
          <w:i/>
          <w:szCs w:val="24"/>
        </w:rPr>
        <w:t>cs (ii</w:t>
      </w:r>
      <w:r w:rsidRPr="002C429B">
        <w:rPr>
          <w:rFonts w:eastAsia="Times New Roman" w:cstheme="minorHAnsi"/>
          <w:szCs w:val="24"/>
        </w:rPr>
        <w:t xml:space="preserve">): </w:t>
      </w:r>
      <w:r w:rsidRPr="002C429B">
        <w:rPr>
          <w:rFonts w:eastAsia="Times New Roman" w:cstheme="minorHAnsi"/>
          <w:i/>
          <w:szCs w:val="24"/>
        </w:rPr>
        <w:t xml:space="preserve">Rozwój i udoskonalanie zrównoważonej, odpornej na zmiany klimatu, inteligentnej i intermodalnej mobilności na poziomie krajowym, regionalnym i lokalnym, w tym poprawę dostępu do TEN-T oraz mobilności transgranicznej </w:t>
      </w:r>
      <w:r w:rsidRPr="002C429B">
        <w:rPr>
          <w:rFonts w:eastAsia="Times New Roman" w:cstheme="minorHAnsi"/>
          <w:szCs w:val="24"/>
        </w:rPr>
        <w:t xml:space="preserve">(Priorytet 4. </w:t>
      </w:r>
      <w:r w:rsidRPr="002C429B">
        <w:rPr>
          <w:rFonts w:eastAsia="Times New Roman" w:cstheme="minorHAnsi"/>
          <w:b/>
          <w:i/>
          <w:szCs w:val="24"/>
        </w:rPr>
        <w:t>FUNDUSZE EUROPEJSKIE NA RZECZ POŁĄCZONEGO POMORZA ZACHODNIEGO</w:t>
      </w:r>
      <w:r w:rsidRPr="002C429B">
        <w:rPr>
          <w:rFonts w:eastAsia="Times New Roman" w:cstheme="minorHAnsi"/>
          <w:szCs w:val="24"/>
        </w:rPr>
        <w:t xml:space="preserve">) obejmującego inwestycje związane z budową </w:t>
      </w:r>
      <w:r w:rsidRPr="002C429B">
        <w:rPr>
          <w:rFonts w:eastAsia="Times New Roman" w:cstheme="minorHAnsi"/>
          <w:noProof/>
          <w:szCs w:val="24"/>
        </w:rPr>
        <w:t>obwodnic dróg wojewódzkich oraz budową lub modernizacją dróg gminnych i powiatowych.</w:t>
      </w:r>
      <w:r w:rsidRPr="002C429B">
        <w:rPr>
          <w:rFonts w:eastAsia="Times New Roman" w:cstheme="minorHAnsi"/>
          <w:szCs w:val="24"/>
        </w:rPr>
        <w:t xml:space="preserve"> </w:t>
      </w:r>
      <w:r w:rsidRPr="002C429B">
        <w:rPr>
          <w:rFonts w:eastAsia="Times New Roman" w:cstheme="minorHAnsi"/>
          <w:noProof/>
          <w:szCs w:val="24"/>
        </w:rPr>
        <w:t>Potencjalne negatywne odziaływanie na bioróżnorodność roślin i zwierząt, a także ich siedliska może nastąpić głównie w fazie realizacji inwestycji i może wiązać się z zajęciem areału siedliska pod pas drogowy lub inną infrastrukturę transportową, wycinką drzew i krzewów, zniszczeniem lub przeobrażeniem siedlisk przyrodniczych, wykopami przemieszczaniem dużych ilości mas ziemnych, składowaniem materiałów i odpadów budowlanych, wzmożoną emisją zanieczyszczeń i hałasu, płoszeniem i wzrostem śmiertelności zwierząt. Zanieczyszczenie środowiska wodno-glebowego oraz naruszenie reżimu wodnego może spowodować pogorszenie jakości siedlisk przyrodniczych bądź ich zniszczenie. W kontekście oddziaływań długoterminowych należy wskazać, że linie komunikacyjne mogą stanowić dogodną drogę do rozprzestrzeniania się gatunków obcych, w tym także inwazyjnych. Wszelkie zaburzenia w już istniejących układach biologicznych zlokalizowanych w sąsiedztwie drogi, mogą ten proces przyspieszać lub ułatwiać. Potecnjalne negatywne i długoterminowe oddziaływanie wiązać może się ze wzrostem ryzyka kolizji pojazdów ze zwierzętami oraz wystąpieneim efektu barierowego, związanego z fragmentacją siedlisk, w tym pogorszenie stanu i funkcjanlności korytarzy migracyjnych, utratą intergralności korytarzy ekologicznych, jak też wystąpić mogą negatywne oddziaływania na obszary chronione oraz przedmioty ochrony.</w:t>
      </w:r>
    </w:p>
    <w:p w14:paraId="003100D8" w14:textId="77777777" w:rsidR="009F1607" w:rsidRPr="002C429B" w:rsidRDefault="009F1607" w:rsidP="009F1607">
      <w:pPr>
        <w:rPr>
          <w:rFonts w:eastAsia="Times New Roman" w:cstheme="minorHAnsi"/>
          <w:szCs w:val="24"/>
        </w:rPr>
      </w:pPr>
      <w:r w:rsidRPr="002C429B">
        <w:rPr>
          <w:szCs w:val="24"/>
        </w:rPr>
        <w:t xml:space="preserve">Potencjalnego, choć w znacząco mniejszym zakresie, oddziaływania na środowisko można również spodziewać się w wyniku realizacji działań w ramach </w:t>
      </w:r>
      <w:r w:rsidRPr="002C429B">
        <w:rPr>
          <w:rFonts w:eastAsia="Times New Roman" w:cstheme="minorHAnsi"/>
          <w:szCs w:val="24"/>
        </w:rPr>
        <w:t xml:space="preserve">Priorytetu 5. </w:t>
      </w:r>
      <w:r w:rsidRPr="002C429B">
        <w:rPr>
          <w:rFonts w:eastAsia="Times New Roman" w:cstheme="minorHAnsi"/>
          <w:b/>
          <w:bCs/>
          <w:i/>
          <w:szCs w:val="24"/>
        </w:rPr>
        <w:t>FUNDUSZE EUROPEJSKIE NA RZECZ PRZYJAZNEGO MIESZKANKOM I MIESZKAŃCOM POMORZA ZACHODNIEGO</w:t>
      </w:r>
      <w:r w:rsidRPr="002C429B">
        <w:rPr>
          <w:rFonts w:eastAsia="Times New Roman" w:cstheme="minorHAnsi"/>
          <w:szCs w:val="24"/>
        </w:rPr>
        <w:t>. Potencjalne negatywne oddziaływanie może wynikać z prowadzonych prac budowlanych w ramach projektów obejmujących: budowę (tylko w uzasadnionych sytuacjach), przebudowę, rozbudowę i funkcjonalne dostosowanie szkół i placówek oświatowych (</w:t>
      </w:r>
      <w:r w:rsidRPr="002C429B">
        <w:rPr>
          <w:rFonts w:eastAsia="Times New Roman" w:cstheme="minorHAnsi"/>
          <w:i/>
          <w:szCs w:val="24"/>
        </w:rPr>
        <w:t>cs (ii):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w:t>
      </w:r>
      <w:r w:rsidRPr="002C429B">
        <w:rPr>
          <w:rFonts w:eastAsia="Times New Roman" w:cstheme="minorHAnsi"/>
          <w:szCs w:val="24"/>
        </w:rPr>
        <w:t>); budowę, rozbudowę hosteli, schronisk (</w:t>
      </w:r>
      <w:r w:rsidRPr="002C429B">
        <w:rPr>
          <w:rFonts w:eastAsia="Times New Roman" w:cstheme="minorHAnsi"/>
          <w:i/>
          <w:szCs w:val="24"/>
        </w:rPr>
        <w:t>cs (iv): Wspieranie integracji społeczno-gospodarczej obywateli państw trzecich, w tym migrantów, dzięki zintegrowanym działaniom obejmującym usługi mieszkaniowe i usługi społeczne</w:t>
      </w:r>
      <w:r w:rsidRPr="002C429B">
        <w:rPr>
          <w:rFonts w:eastAsia="Times New Roman" w:cstheme="minorHAnsi"/>
          <w:szCs w:val="24"/>
        </w:rPr>
        <w:t>); budowę (w wyjątkowych, uzasadnionych przypadkach), przebudowę, modernizację obiektów ochrony zdrowia (</w:t>
      </w:r>
      <w:r w:rsidRPr="002C429B">
        <w:rPr>
          <w:rFonts w:eastAsia="Times New Roman" w:cstheme="minorHAnsi"/>
          <w:i/>
          <w:szCs w:val="24"/>
        </w:rPr>
        <w:t xml:space="preserve">cs (v): Zapewnianie równego dostępu do opieki zdrowotnej i wspieranie odporności systemów opieki zdrowotnej, w tym podstawowej opieki zdrowotnej, oraz wspieranie przechodzenia od opieki instytucjonalnej do opieki rodzinnej i środowiskowej); </w:t>
      </w:r>
      <w:r w:rsidRPr="002C429B">
        <w:rPr>
          <w:rFonts w:eastAsia="Times New Roman" w:cstheme="minorHAnsi"/>
          <w:szCs w:val="24"/>
        </w:rPr>
        <w:t>budowę, rozbudowę i modernizację obiektów instytucji kultury, budowę i rozbudowę infrastruktury poprawiającej dostępność obiektów i atrakcji turystycznych (m.in. parkingi, ciągi komunikacyjne i infrastruktura dla osób z niepełnosprawnościami) oraz zagospodarowanie ich bezpośredniego otoczenia (</w:t>
      </w:r>
      <w:r w:rsidRPr="002C429B">
        <w:rPr>
          <w:rFonts w:eastAsia="Times New Roman" w:cstheme="minorHAnsi"/>
          <w:i/>
          <w:szCs w:val="24"/>
        </w:rPr>
        <w:t>cs (vi): Wzmocnienie roli kultury i turystyki w rozwoju gospodarczym, włączeniu społecznym i innowacjach społecznych</w:t>
      </w:r>
      <w:r w:rsidRPr="002C429B">
        <w:rPr>
          <w:rFonts w:eastAsia="Times New Roman" w:cstheme="minorHAnsi"/>
          <w:szCs w:val="24"/>
        </w:rPr>
        <w:t>). Oddziaływania te jednak będą miały charakter lokalny i krótkoterminowy.</w:t>
      </w:r>
    </w:p>
    <w:p w14:paraId="72FA110B" w14:textId="77777777" w:rsidR="009F1607" w:rsidRPr="002C429B" w:rsidRDefault="009F1607" w:rsidP="009F1607">
      <w:pPr>
        <w:rPr>
          <w:rFonts w:eastAsia="Times New Roman" w:cstheme="minorHAnsi"/>
          <w:szCs w:val="24"/>
        </w:rPr>
      </w:pPr>
      <w:r w:rsidRPr="002C429B">
        <w:rPr>
          <w:rFonts w:eastAsia="Times New Roman" w:cstheme="minorHAnsi"/>
          <w:szCs w:val="24"/>
        </w:rPr>
        <w:t>Działania przewidziane do realizacji w ramach Priorytetu 7</w:t>
      </w:r>
      <w:r w:rsidRPr="002C429B">
        <w:rPr>
          <w:rFonts w:eastAsia="Times New Roman" w:cstheme="minorHAnsi"/>
          <w:b/>
          <w:szCs w:val="24"/>
        </w:rPr>
        <w:t>. FUNDUSZE EUROPEJSKIE NA RZECZ PARTNERSKIEGO POMORZA ZACHODNIEGO</w:t>
      </w:r>
      <w:r w:rsidRPr="002C429B">
        <w:rPr>
          <w:rFonts w:eastAsia="Times New Roman" w:cstheme="minorHAnsi"/>
          <w:szCs w:val="24"/>
        </w:rPr>
        <w:t xml:space="preserve"> celu szczegółowego </w:t>
      </w:r>
      <w:r w:rsidRPr="002C429B">
        <w:rPr>
          <w:rFonts w:eastAsia="Times New Roman" w:cstheme="minorHAnsi"/>
          <w:i/>
          <w:szCs w:val="24"/>
        </w:rPr>
        <w:t>cs (i): Wspieranie zintegrowanego i sprzyjającego włączeniu społecznemu rozwoju społecznego, gospodarczego i środowiskowego, kultury, dziedzictwa naturalnego, zrównoważonej turystyki i bezpieczeństwa na obszarach miejskich</w:t>
      </w:r>
      <w:r w:rsidRPr="002C429B">
        <w:rPr>
          <w:rFonts w:eastAsia="Times New Roman" w:cstheme="minorHAnsi"/>
          <w:szCs w:val="24"/>
        </w:rPr>
        <w:t xml:space="preserve"> obejmujące inwestycje z zakresu infrastruktury turystycznej, budowy, rozbudowy i modernizacji instytucji kultury, prac budowlanych w zakresie kompleksowego zagospodarowania przestrzeni publicznych wraz z małą architekturą i infrastrukturą towarzyszącą w ramach układów urbanistycznych, realizacji inwestycji związanych z transportem publicznym (infrastruktura przystanków i centrów przesiadkowych), w wyniku tworzenia centrów biznesowych, centrów usług wspólnych, dzielonych powierzchni magazynowych/wytwórczych czy usługowych również mogą potencjalnie negatywnie oddziaływać na komponenty środowiska. Oddziaływania te jednak będą miały charakter lokalny i krótkoterminowy.</w:t>
      </w:r>
    </w:p>
    <w:p w14:paraId="7E6CC423" w14:textId="77777777" w:rsidR="009F1607" w:rsidRPr="002C429B" w:rsidRDefault="009F1607" w:rsidP="009F1607">
      <w:pPr>
        <w:rPr>
          <w:rFonts w:eastAsia="Times New Roman" w:cstheme="minorHAnsi"/>
          <w:szCs w:val="24"/>
        </w:rPr>
      </w:pPr>
      <w:r w:rsidRPr="002C429B">
        <w:rPr>
          <w:rFonts w:eastAsia="Times New Roman" w:cstheme="minorHAnsi"/>
          <w:szCs w:val="24"/>
        </w:rPr>
        <w:t xml:space="preserve">Działania przewidziane do realizacji w ramach Priorytetu 6. </w:t>
      </w:r>
      <w:r w:rsidRPr="002C429B">
        <w:rPr>
          <w:rFonts w:eastAsia="Times New Roman" w:cstheme="minorHAnsi"/>
          <w:b/>
          <w:szCs w:val="24"/>
        </w:rPr>
        <w:t>FUNDUSZE EUROPEJSKIE NA RZECZ AKTYWNEGO POMORZA ZACHODNIEGO</w:t>
      </w:r>
      <w:r w:rsidRPr="002C429B">
        <w:rPr>
          <w:rFonts w:eastAsia="Times New Roman" w:cstheme="minorHAnsi"/>
          <w:szCs w:val="24"/>
        </w:rPr>
        <w:t xml:space="preserve">, Priorytetu 8. </w:t>
      </w:r>
      <w:r w:rsidRPr="002C429B">
        <w:rPr>
          <w:rFonts w:eastAsia="Times New Roman" w:cstheme="minorHAnsi"/>
          <w:b/>
          <w:i/>
          <w:szCs w:val="24"/>
        </w:rPr>
        <w:t xml:space="preserve">POMOC TECHNICZNA EFRR </w:t>
      </w:r>
      <w:r w:rsidRPr="002C429B">
        <w:rPr>
          <w:rFonts w:eastAsia="Times New Roman" w:cstheme="minorHAnsi"/>
          <w:i/>
          <w:szCs w:val="24"/>
        </w:rPr>
        <w:t>i</w:t>
      </w:r>
      <w:r w:rsidRPr="002C429B">
        <w:rPr>
          <w:rFonts w:eastAsia="Times New Roman" w:cstheme="minorHAnsi"/>
          <w:b/>
          <w:i/>
          <w:szCs w:val="24"/>
        </w:rPr>
        <w:t xml:space="preserve"> </w:t>
      </w:r>
      <w:r w:rsidRPr="002C429B">
        <w:rPr>
          <w:rFonts w:eastAsia="Times New Roman" w:cstheme="minorHAnsi"/>
          <w:szCs w:val="24"/>
        </w:rPr>
        <w:t>Priorytetu 9.</w:t>
      </w:r>
      <w:r w:rsidRPr="002C429B">
        <w:rPr>
          <w:rFonts w:eastAsia="Times New Roman" w:cstheme="minorHAnsi"/>
          <w:b/>
          <w:i/>
          <w:szCs w:val="24"/>
        </w:rPr>
        <w:t xml:space="preserve"> POMOC TECHNICZNA (EFS+)</w:t>
      </w:r>
      <w:r w:rsidRPr="002C429B">
        <w:rPr>
          <w:rFonts w:eastAsia="Times New Roman" w:cstheme="minorHAnsi"/>
          <w:szCs w:val="24"/>
        </w:rPr>
        <w:t xml:space="preserve"> będą charakteryzowały się neutralnym oddziaływaniem na komponenty środowiska.</w:t>
      </w:r>
    </w:p>
    <w:p w14:paraId="2DAD6595" w14:textId="77777777" w:rsidR="009F1607" w:rsidRPr="002C429B" w:rsidRDefault="009F1607" w:rsidP="009F1607">
      <w:pPr>
        <w:shd w:val="clear" w:color="auto" w:fill="93D07C" w:themeFill="accent1" w:themeFillTint="99"/>
        <w:rPr>
          <w:rFonts w:cstheme="minorHAnsi"/>
          <w:b/>
          <w:bCs/>
          <w:szCs w:val="24"/>
        </w:rPr>
      </w:pPr>
      <w:r w:rsidRPr="002C429B">
        <w:rPr>
          <w:rFonts w:cstheme="minorHAnsi"/>
          <w:b/>
          <w:bCs/>
          <w:szCs w:val="24"/>
        </w:rPr>
        <w:t xml:space="preserve">Zestawienie analiz </w:t>
      </w:r>
    </w:p>
    <w:p w14:paraId="701ECA23" w14:textId="16B25624" w:rsidR="009F1607" w:rsidRPr="002C429B" w:rsidRDefault="009F1607" w:rsidP="009F1607">
      <w:pPr>
        <w:rPr>
          <w:szCs w:val="24"/>
        </w:rPr>
      </w:pPr>
      <w:r w:rsidRPr="002C429B">
        <w:rPr>
          <w:szCs w:val="24"/>
        </w:rPr>
        <w:t xml:space="preserve">Dla zapewnienia czytelności oceny środowiskowych skutków realizacji przedsięwzięć </w:t>
      </w:r>
      <w:r w:rsidRPr="002C429B">
        <w:rPr>
          <w:szCs w:val="24"/>
        </w:rPr>
        <w:br/>
        <w:t>w ramach projektu Programu FEPZ 2021-</w:t>
      </w:r>
      <w:r w:rsidRPr="009D3A95">
        <w:rPr>
          <w:szCs w:val="24"/>
        </w:rPr>
        <w:t xml:space="preserve">2027, w załączniku </w:t>
      </w:r>
      <w:r w:rsidR="006E38B9">
        <w:rPr>
          <w:szCs w:val="24"/>
        </w:rPr>
        <w:t>4</w:t>
      </w:r>
      <w:r w:rsidRPr="009D3A95">
        <w:rPr>
          <w:szCs w:val="24"/>
        </w:rPr>
        <w:t xml:space="preserve"> przedstawiono zbiorczą tabelę ilustrującą wpływ typów przedsięwzięć na poszczególne komponenty środowiska. Tabela</w:t>
      </w:r>
      <w:r w:rsidRPr="009D3A95">
        <w:rPr>
          <w:b/>
          <w:szCs w:val="24"/>
        </w:rPr>
        <w:t xml:space="preserve"> </w:t>
      </w:r>
      <w:r w:rsidRPr="009D3A95">
        <w:rPr>
          <w:szCs w:val="24"/>
        </w:rPr>
        <w:t xml:space="preserve">podsumowuje wyniki analiz przeprowadzonych dla poszczególnych komponentów środowiska oraz aspektów oddziaływań (rozdziały </w:t>
      </w:r>
      <w:r w:rsidR="006E38B9">
        <w:rPr>
          <w:szCs w:val="24"/>
        </w:rPr>
        <w:t>4</w:t>
      </w:r>
      <w:r w:rsidRPr="009D3A95">
        <w:rPr>
          <w:szCs w:val="24"/>
        </w:rPr>
        <w:t xml:space="preserve">.1 – </w:t>
      </w:r>
      <w:r w:rsidR="006E38B9">
        <w:rPr>
          <w:szCs w:val="24"/>
        </w:rPr>
        <w:t>4</w:t>
      </w:r>
      <w:r w:rsidRPr="009D3A95">
        <w:rPr>
          <w:szCs w:val="24"/>
        </w:rPr>
        <w:t xml:space="preserve">.9). W załączniku </w:t>
      </w:r>
      <w:r w:rsidR="006E38B9">
        <w:rPr>
          <w:szCs w:val="24"/>
        </w:rPr>
        <w:t>5</w:t>
      </w:r>
      <w:r w:rsidRPr="002C429B">
        <w:rPr>
          <w:szCs w:val="24"/>
        </w:rPr>
        <w:t xml:space="preserve"> przedstawiono tabelę, w której zestawiono pozytywne, negatywne i neutralne oddziaływania analizowanych typów przedsięwzięć FEPZ 2021-2027 na komponenty środowiska.</w:t>
      </w:r>
    </w:p>
    <w:p w14:paraId="683D85B7" w14:textId="77777777" w:rsidR="009F1607" w:rsidRPr="002C429B" w:rsidRDefault="009F1607" w:rsidP="009F1607">
      <w:pPr>
        <w:shd w:val="clear" w:color="auto" w:fill="93D07C" w:themeFill="accent1" w:themeFillTint="99"/>
        <w:rPr>
          <w:rFonts w:cstheme="minorHAnsi"/>
          <w:b/>
          <w:bCs/>
          <w:szCs w:val="24"/>
        </w:rPr>
      </w:pPr>
      <w:r w:rsidRPr="002C429B">
        <w:rPr>
          <w:rFonts w:cstheme="minorHAnsi"/>
          <w:b/>
          <w:bCs/>
          <w:szCs w:val="24"/>
        </w:rPr>
        <w:t>Oddziaływania skumulowane</w:t>
      </w:r>
    </w:p>
    <w:p w14:paraId="1B3FB7FE" w14:textId="77777777" w:rsidR="009F1607" w:rsidRPr="002C429B" w:rsidRDefault="009F1607" w:rsidP="009F1607">
      <w:pPr>
        <w:rPr>
          <w:szCs w:val="24"/>
        </w:rPr>
      </w:pPr>
      <w:r w:rsidRPr="002C429B">
        <w:rPr>
          <w:szCs w:val="24"/>
        </w:rPr>
        <w:t>Ocena skumulowanych oddziaływań na środowisko projektu Programu FEPZ 2021-2027</w:t>
      </w:r>
      <w:r w:rsidRPr="002C429B">
        <w:rPr>
          <w:rFonts w:eastAsia="Times New Roman" w:cstheme="minorHAnsi"/>
          <w:szCs w:val="24"/>
        </w:rPr>
        <w:t xml:space="preserve"> </w:t>
      </w:r>
      <w:r w:rsidRPr="002C429B">
        <w:rPr>
          <w:szCs w:val="24"/>
        </w:rPr>
        <w:t>wynika z cząstkowej oceny oddziaływań ze strony poszczególnych działań przewidzianych do realizacji w ramach tego Programu, jak i z oceny możliwości kumulacji tych oddziaływań z oddziaływaniami wynikającymi z planowanymi do realizacji w najbliższych latach innymi dokumentami strategicznymi, planami i programami na obszarze województwa zachodniopomorskiego.</w:t>
      </w:r>
    </w:p>
    <w:p w14:paraId="76823E12" w14:textId="77777777" w:rsidR="009F1607" w:rsidRPr="002C429B" w:rsidRDefault="009F1607" w:rsidP="009F1607">
      <w:pPr>
        <w:rPr>
          <w:b/>
          <w:bCs/>
          <w:i/>
          <w:color w:val="549E39" w:themeColor="accent1"/>
          <w:szCs w:val="24"/>
        </w:rPr>
      </w:pPr>
      <w:r w:rsidRPr="002C429B">
        <w:rPr>
          <w:b/>
          <w:bCs/>
          <w:i/>
          <w:color w:val="549E39" w:themeColor="accent1"/>
          <w:szCs w:val="24"/>
        </w:rPr>
        <w:t xml:space="preserve">A. Kumulacja oddziaływań przedsięwzięć realizowanych w ramach Programu FEPZ 2021-2027 </w:t>
      </w:r>
    </w:p>
    <w:p w14:paraId="7D943E95" w14:textId="77777777" w:rsidR="009F1607" w:rsidRPr="002C429B" w:rsidRDefault="009F1607" w:rsidP="009F1607">
      <w:pPr>
        <w:rPr>
          <w:szCs w:val="24"/>
        </w:rPr>
      </w:pPr>
      <w:r w:rsidRPr="002C429B">
        <w:rPr>
          <w:szCs w:val="24"/>
        </w:rPr>
        <w:t>W celu określenia skumulowanego wpływu na środowisko przedsięwzięć planowanych do realizacji w ramach FEPZ 2021-2027 przeprowadzono analizę potencjalnego oddziaływania różnych typów przedsięwzięć. Umożliwiło to określenie istotności skumulowanego wpływu na środowisko planowanych przedsięwzięć (znaczące lub nieistotne).</w:t>
      </w:r>
    </w:p>
    <w:p w14:paraId="3B31D8AF" w14:textId="77777777" w:rsidR="009F1607" w:rsidRPr="002C429B" w:rsidRDefault="009F1607" w:rsidP="009F1607">
      <w:pPr>
        <w:rPr>
          <w:szCs w:val="24"/>
        </w:rPr>
      </w:pPr>
      <w:r w:rsidRPr="002C429B">
        <w:rPr>
          <w:szCs w:val="24"/>
        </w:rPr>
        <w:t>W analizie skumulowanego wpływu uwzględniono także aspekty związane z podejmowaniem działań mających na celu zapobieganie, zminimalizowanie i kompensację zidentyfikowanych potencjalnych negatywnych oddziaływań planowanych przedsięwzięć. Ponadto, rozpatrzono kwestie związane z rekompensatą ogólnego negatywnego odziaływania poszczególnych działań przez długoterminowe pozytywne skutki powodowane ich realizacją.</w:t>
      </w:r>
    </w:p>
    <w:p w14:paraId="0252837A" w14:textId="77777777" w:rsidR="009F1607" w:rsidRPr="002C429B" w:rsidRDefault="009F1607" w:rsidP="009F1607">
      <w:pPr>
        <w:rPr>
          <w:szCs w:val="24"/>
        </w:rPr>
      </w:pPr>
      <w:r w:rsidRPr="002C429B">
        <w:rPr>
          <w:szCs w:val="24"/>
        </w:rPr>
        <w:t>Analiza wykazała, że przy zachowaniu ostrożności i uwzględnieniu zasad zrównoważonego rozwoju zarówno na etapie wyboru, jak i realizacji różnego typu przedsięwzięć, w większości ich realizacja będzie miała pozytywny wpływ na środowisko. W przypadku zidentyfikowania oddziaływania negatywnego podjęte będą działania minimalizujące zaproponowane w rozdziale 7, które w większości pozwolą na uniknięcie występowania negatywnego oddziaływania lub jego minimalizację. Przy spełnieniu tych warunków wystąpienie zjawiska kumulacji przestrzennej i czasowej oddziaływań negatywnych lub ich synergii będzie bardzo mało prawdopodobne.</w:t>
      </w:r>
    </w:p>
    <w:p w14:paraId="328A80E4" w14:textId="77777777" w:rsidR="009F1607" w:rsidRPr="002C429B" w:rsidRDefault="009F1607" w:rsidP="009F1607">
      <w:pPr>
        <w:rPr>
          <w:szCs w:val="24"/>
        </w:rPr>
      </w:pPr>
      <w:r w:rsidRPr="002C429B">
        <w:rPr>
          <w:szCs w:val="24"/>
        </w:rPr>
        <w:t>Istotny jest też fakt, że projekt Programu FEPZ 2021-2027 nie zawiera konkretnych informacji na temat liczby, czy też harmonogramu planowanych realizacji, dlatego też nie można całkowicie wykluczyć prawdopodobieństwa kumulowania się w czasie i przestrzeni oddziaływań przez nie generowanych. Istotne jest ustalenie odpowiedniego harmonogramu realizacji działań w celu uniknięcia kumulacji negatywnych oddziaływań, przy osiągnięciu jak największego efektu środowiskowego.</w:t>
      </w:r>
    </w:p>
    <w:p w14:paraId="067F6CB2" w14:textId="77777777" w:rsidR="009F1607" w:rsidRPr="002C429B" w:rsidRDefault="009F1607" w:rsidP="009F1607">
      <w:pPr>
        <w:rPr>
          <w:szCs w:val="24"/>
        </w:rPr>
      </w:pPr>
      <w:r w:rsidRPr="002C429B">
        <w:rPr>
          <w:szCs w:val="24"/>
        </w:rPr>
        <w:t xml:space="preserve">Należy podkreślić, że przewidziane do realizacji działania zabezpieczające </w:t>
      </w:r>
      <w:r w:rsidRPr="002C429B">
        <w:rPr>
          <w:b/>
          <w:szCs w:val="24"/>
        </w:rPr>
        <w:t xml:space="preserve">pozwolą na znaczące ograniczenie powstawania skumulowanych oddziaływań w trakcie </w:t>
      </w:r>
      <w:r w:rsidRPr="002C429B">
        <w:rPr>
          <w:b/>
          <w:bCs/>
          <w:szCs w:val="24"/>
        </w:rPr>
        <w:t>r</w:t>
      </w:r>
      <w:r w:rsidRPr="002C429B">
        <w:rPr>
          <w:b/>
          <w:szCs w:val="24"/>
        </w:rPr>
        <w:t xml:space="preserve">ealizacji Programu FEPZ 2021-2027. </w:t>
      </w:r>
      <w:r w:rsidRPr="002C429B">
        <w:rPr>
          <w:szCs w:val="24"/>
        </w:rPr>
        <w:t xml:space="preserve">W takim przypadku, nie będzie potrzeby podejmowania działań kompensujących. </w:t>
      </w:r>
    </w:p>
    <w:p w14:paraId="6179A62E" w14:textId="77777777" w:rsidR="009F1607" w:rsidRPr="002C429B" w:rsidRDefault="009F1607" w:rsidP="009F1607">
      <w:pPr>
        <w:rPr>
          <w:szCs w:val="24"/>
        </w:rPr>
      </w:pPr>
      <w:r w:rsidRPr="002C429B">
        <w:rPr>
          <w:szCs w:val="24"/>
        </w:rPr>
        <w:t>W przypadku niezachowania powyższych założeń oddziaływania skumulowane mogą przejawiać się przede wszystkim:</w:t>
      </w:r>
    </w:p>
    <w:p w14:paraId="12E9116C" w14:textId="77777777" w:rsidR="009F1607" w:rsidRPr="002C429B" w:rsidRDefault="009F1607" w:rsidP="00622DC9">
      <w:pPr>
        <w:numPr>
          <w:ilvl w:val="0"/>
          <w:numId w:val="23"/>
        </w:numPr>
        <w:spacing w:before="0" w:after="0"/>
        <w:ind w:left="714" w:hanging="357"/>
        <w:rPr>
          <w:szCs w:val="24"/>
        </w:rPr>
      </w:pPr>
      <w:r w:rsidRPr="002C429B">
        <w:rPr>
          <w:szCs w:val="24"/>
        </w:rPr>
        <w:t>zmniejszeniem areału biologicznego oraz zaburzeniem ciągłości korytarzy ekologicznych,</w:t>
      </w:r>
    </w:p>
    <w:p w14:paraId="124E267E" w14:textId="77777777" w:rsidR="009F1607" w:rsidRPr="002C429B" w:rsidRDefault="009F1607" w:rsidP="00622DC9">
      <w:pPr>
        <w:numPr>
          <w:ilvl w:val="0"/>
          <w:numId w:val="23"/>
        </w:numPr>
        <w:spacing w:before="0" w:after="0"/>
        <w:ind w:left="714" w:hanging="357"/>
        <w:rPr>
          <w:szCs w:val="24"/>
        </w:rPr>
      </w:pPr>
      <w:r w:rsidRPr="002C429B">
        <w:rPr>
          <w:szCs w:val="24"/>
        </w:rPr>
        <w:t>zubożeniem zasobów naturalnych,</w:t>
      </w:r>
    </w:p>
    <w:p w14:paraId="5B276379" w14:textId="77777777" w:rsidR="009F1607" w:rsidRPr="002C429B" w:rsidRDefault="009F1607" w:rsidP="00622DC9">
      <w:pPr>
        <w:numPr>
          <w:ilvl w:val="0"/>
          <w:numId w:val="23"/>
        </w:numPr>
        <w:spacing w:before="0" w:after="0"/>
        <w:ind w:left="714" w:hanging="357"/>
        <w:rPr>
          <w:szCs w:val="24"/>
        </w:rPr>
      </w:pPr>
      <w:r w:rsidRPr="002C429B">
        <w:rPr>
          <w:szCs w:val="24"/>
        </w:rPr>
        <w:t xml:space="preserve">lokalną emisją zanieczyszczeń do wód, gruntów i powietrza, </w:t>
      </w:r>
    </w:p>
    <w:p w14:paraId="111FFF89" w14:textId="77777777" w:rsidR="009F1607" w:rsidRPr="002C429B" w:rsidRDefault="009F1607" w:rsidP="00622DC9">
      <w:pPr>
        <w:numPr>
          <w:ilvl w:val="0"/>
          <w:numId w:val="23"/>
        </w:numPr>
        <w:spacing w:before="0" w:after="0"/>
        <w:ind w:left="714" w:hanging="357"/>
        <w:rPr>
          <w:szCs w:val="24"/>
        </w:rPr>
      </w:pPr>
      <w:r w:rsidRPr="002C429B">
        <w:rPr>
          <w:szCs w:val="24"/>
        </w:rPr>
        <w:t>negatywnymi zmianami w krajobrazie i naruszeniem ładu przestrzennego,</w:t>
      </w:r>
    </w:p>
    <w:p w14:paraId="139AF7CD" w14:textId="77777777" w:rsidR="009F1607" w:rsidRPr="002C429B" w:rsidRDefault="009F1607" w:rsidP="00622DC9">
      <w:pPr>
        <w:numPr>
          <w:ilvl w:val="0"/>
          <w:numId w:val="23"/>
        </w:numPr>
        <w:spacing w:before="0" w:after="0"/>
        <w:ind w:left="714" w:hanging="357"/>
        <w:rPr>
          <w:szCs w:val="24"/>
        </w:rPr>
      </w:pPr>
      <w:r w:rsidRPr="002C429B">
        <w:rPr>
          <w:szCs w:val="24"/>
        </w:rPr>
        <w:t>negatywnym wpływem na stan zabytków i dóbr materialnych,</w:t>
      </w:r>
    </w:p>
    <w:p w14:paraId="3B211C76" w14:textId="77777777" w:rsidR="009F1607" w:rsidRPr="002C429B" w:rsidRDefault="009F1607" w:rsidP="00622DC9">
      <w:pPr>
        <w:numPr>
          <w:ilvl w:val="0"/>
          <w:numId w:val="23"/>
        </w:numPr>
        <w:spacing w:before="0" w:after="0"/>
        <w:ind w:left="714" w:hanging="357"/>
        <w:rPr>
          <w:b/>
          <w:bCs/>
          <w:i/>
          <w:szCs w:val="24"/>
        </w:rPr>
      </w:pPr>
      <w:r w:rsidRPr="002C429B">
        <w:rPr>
          <w:szCs w:val="24"/>
        </w:rPr>
        <w:t xml:space="preserve">negatywnym wpływem na zdrowie i samopoczucie ludzi – głównie na etapie budowy w przypadku projektów inwestycyjnych. </w:t>
      </w:r>
    </w:p>
    <w:p w14:paraId="004D9C0F" w14:textId="77777777" w:rsidR="009F1607" w:rsidRPr="002C429B" w:rsidRDefault="009F1607" w:rsidP="009F1607">
      <w:pPr>
        <w:rPr>
          <w:b/>
          <w:bCs/>
          <w:i/>
          <w:color w:val="549E39" w:themeColor="accent1"/>
          <w:szCs w:val="24"/>
        </w:rPr>
      </w:pPr>
      <w:r w:rsidRPr="002C429B">
        <w:rPr>
          <w:b/>
          <w:bCs/>
          <w:i/>
          <w:color w:val="549E39" w:themeColor="accent1"/>
          <w:szCs w:val="24"/>
        </w:rPr>
        <w:t xml:space="preserve">B. Kumulacja między oddziaływaniami przedsięwzięć realizowanych w ramach Programu FEPZ 2021-2027i przedsięwzięć realizowanych w ramach innych strategii czy planów inwestycyjnych </w:t>
      </w:r>
    </w:p>
    <w:p w14:paraId="3C689FF9" w14:textId="77777777" w:rsidR="009F1607" w:rsidRPr="002C429B" w:rsidRDefault="009F1607" w:rsidP="009F1607">
      <w:pPr>
        <w:rPr>
          <w:szCs w:val="24"/>
        </w:rPr>
      </w:pPr>
      <w:r w:rsidRPr="002C429B">
        <w:rPr>
          <w:szCs w:val="24"/>
        </w:rPr>
        <w:t xml:space="preserve">Przeprowadzona analiza prognoz oddziaływania na środowisko w ramach innych strategii i planów inwestycyjnych dla województwa zachodniopomorskiego przewidzianych do realizacji w perspektywie 2021 – 2025 pozwala stwierdzić, że wiele z nich może kumulować się z oddziaływaniami Programu FEPZ 2021-2027. W szczególności skumulowany efekt może wystąpić podczas realizacji działań związanych z rozwojem transportu, energetyki odnawialnej, tworzeniem nowych obiektów przemysłowych, rozwojem sieci ciepłowniczych, dostosowaniem infrastruktury do ekstremalnych zjawisk pogodowych, czy inwestycjami </w:t>
      </w:r>
      <w:r w:rsidRPr="002C429B">
        <w:rPr>
          <w:szCs w:val="24"/>
        </w:rPr>
        <w:br/>
        <w:t>z zakresu gospodarki wodno-ściekowej.</w:t>
      </w:r>
    </w:p>
    <w:p w14:paraId="14CDF9F7" w14:textId="77777777" w:rsidR="009F1607" w:rsidRPr="002C429B" w:rsidRDefault="009F1607" w:rsidP="009F1607">
      <w:pPr>
        <w:rPr>
          <w:szCs w:val="24"/>
        </w:rPr>
      </w:pPr>
      <w:r w:rsidRPr="002C429B">
        <w:rPr>
          <w:szCs w:val="24"/>
        </w:rPr>
        <w:t xml:space="preserve">Kumulacja negatywnych oddziaływań Programu FEPZ 2021-2027 z oddziaływaniami ze strony innych strategii może wystąpić w dwóch skalach: </w:t>
      </w:r>
    </w:p>
    <w:p w14:paraId="3CFB26D0" w14:textId="77777777" w:rsidR="009F1607" w:rsidRPr="002C429B" w:rsidRDefault="009F1607" w:rsidP="00622DC9">
      <w:pPr>
        <w:numPr>
          <w:ilvl w:val="0"/>
          <w:numId w:val="24"/>
        </w:numPr>
        <w:spacing w:before="0" w:after="0"/>
        <w:ind w:left="714" w:hanging="357"/>
        <w:rPr>
          <w:szCs w:val="24"/>
        </w:rPr>
      </w:pPr>
      <w:r w:rsidRPr="002C429B">
        <w:rPr>
          <w:szCs w:val="24"/>
        </w:rPr>
        <w:t>skala bezpośrednich oddziaływań wynikających z realizacji działań inwestycyjnych w chwili, gdy realizowane byłby one w tym samym miejscu i w tym samym czasie; oddziaływania te będą miały charakter oddziaływań krótkoterminowych i przemijających.</w:t>
      </w:r>
    </w:p>
    <w:p w14:paraId="0A0CC83E" w14:textId="77777777" w:rsidR="009F1607" w:rsidRPr="002C429B" w:rsidRDefault="009F1607" w:rsidP="00622DC9">
      <w:pPr>
        <w:numPr>
          <w:ilvl w:val="0"/>
          <w:numId w:val="24"/>
        </w:numPr>
        <w:spacing w:before="0" w:after="0"/>
        <w:ind w:left="714" w:hanging="357"/>
        <w:rPr>
          <w:szCs w:val="24"/>
        </w:rPr>
      </w:pPr>
      <w:r w:rsidRPr="002C429B">
        <w:rPr>
          <w:szCs w:val="24"/>
        </w:rPr>
        <w:t xml:space="preserve">skala oddziaływań na poziomie skutków realizacji Programu. </w:t>
      </w:r>
    </w:p>
    <w:p w14:paraId="276A9B5C" w14:textId="77777777" w:rsidR="009F1607" w:rsidRPr="002C429B" w:rsidRDefault="009F1607" w:rsidP="009F1607">
      <w:pPr>
        <w:rPr>
          <w:szCs w:val="24"/>
        </w:rPr>
      </w:pPr>
      <w:r w:rsidRPr="002C429B">
        <w:rPr>
          <w:szCs w:val="24"/>
        </w:rPr>
        <w:t>Skumulowanie bezpośrednich oddziaływań wystąpić może w trakcie realizacji działań/przedsięwzięć infrastrukturalnych w zakresie inwestycji liniowych/transportowych, a także w przypadku budowy farm wiatrowych przewidzianych do realizacji w ramach Programu FEPZ 2021-2027, a także w ramach innych strategii czy planów inwestycyjnych na obszarze województwa zachodniopomorskiego.</w:t>
      </w:r>
    </w:p>
    <w:p w14:paraId="3FD6F209" w14:textId="77777777" w:rsidR="009F1607" w:rsidRPr="002C429B" w:rsidRDefault="009F1607" w:rsidP="009F1607">
      <w:pPr>
        <w:rPr>
          <w:szCs w:val="24"/>
        </w:rPr>
      </w:pPr>
      <w:r w:rsidRPr="002C429B">
        <w:rPr>
          <w:szCs w:val="24"/>
        </w:rPr>
        <w:t xml:space="preserve">W przypadku innych typów przedsięwzięć (wdrożenie nowych technologii, zakupy środków trwałych, wsparcie ekonomiczne, techniczne i prawne czy działania szkoleniowe) oddziaływania skumulowane można uznać za pomijalne. </w:t>
      </w:r>
    </w:p>
    <w:p w14:paraId="34102667" w14:textId="77777777" w:rsidR="009F1607" w:rsidRPr="002C429B" w:rsidRDefault="009F1607" w:rsidP="009F1607">
      <w:pPr>
        <w:rPr>
          <w:szCs w:val="24"/>
        </w:rPr>
      </w:pPr>
      <w:r w:rsidRPr="002C429B">
        <w:rPr>
          <w:szCs w:val="24"/>
        </w:rPr>
        <w:t>Realizacja działań w ramach Programu FEPZ 2021-2027 powinna odbywać się w zgodzie z zasadami dobrej praktyki budowlanej, połączonej z ochroną lokalnej szaty roślinnej, w szczególności drzew i krzewów, co skutecznie ograniczy negatywny wpływ przedsięwzięć na środowisko, w tym na warunki życia mieszkańców w trakcie fazy budowy.</w:t>
      </w:r>
    </w:p>
    <w:p w14:paraId="6E59E434" w14:textId="546799B2" w:rsidR="008434E8" w:rsidRPr="0069574D" w:rsidRDefault="009F1607" w:rsidP="0069574D">
      <w:pPr>
        <w:rPr>
          <w:szCs w:val="24"/>
        </w:rPr>
      </w:pPr>
      <w:r w:rsidRPr="002C429B">
        <w:rPr>
          <w:szCs w:val="24"/>
        </w:rPr>
        <w:t xml:space="preserve">Skumulowane oddziaływania na poziomie skutków realizacji Programu wystąpić mogą w przypadku, gdy zaniechane zostanie prowadzenie działań minimalizujących skutki tych oddziaływań, przy założeniu, że do podobnych zaniechań doszło w trakcie realizacji innych strategii czy planów inwestycyjnych. W takim przypadku efektem kumulacji negatywnych oddziaływań może być, poza oddziaływaniami krótkoterminowymi na poszczególne elementy środowiska, także trwałe pogorszenie jakości krajobrazu lub naruszenie zasobów bioróżnorodności i integralności obszarów chronionych. </w:t>
      </w:r>
    </w:p>
    <w:p w14:paraId="73ACBC5F" w14:textId="145360FF" w:rsidR="009D1947" w:rsidRDefault="00263227" w:rsidP="00B83214">
      <w:pPr>
        <w:pStyle w:val="Nagwek1"/>
        <w:numPr>
          <w:ilvl w:val="0"/>
          <w:numId w:val="4"/>
        </w:numPr>
        <w:rPr>
          <w:caps w:val="0"/>
          <w:sz w:val="32"/>
          <w:szCs w:val="24"/>
        </w:rPr>
      </w:pPr>
      <w:bookmarkStart w:id="54" w:name="_Toc104790641"/>
      <w:r w:rsidRPr="002D18CF">
        <w:rPr>
          <w:caps w:val="0"/>
          <w:sz w:val="32"/>
          <w:szCs w:val="24"/>
        </w:rPr>
        <w:t>INFORAMACJA O MOŻLIWYM TRANSGRANICZNY ODDZIAŁYWANU NA ŚRODOWISKO</w:t>
      </w:r>
      <w:bookmarkStart w:id="55" w:name="_Toc80283940"/>
      <w:bookmarkEnd w:id="54"/>
    </w:p>
    <w:p w14:paraId="2248E869" w14:textId="11F3CFAF" w:rsidR="005322A4" w:rsidRPr="005322A4" w:rsidRDefault="005322A4" w:rsidP="005322A4">
      <w:pPr>
        <w:spacing w:before="0" w:after="0"/>
        <w:rPr>
          <w:szCs w:val="24"/>
        </w:rPr>
      </w:pPr>
      <w:r w:rsidRPr="005322A4">
        <w:rPr>
          <w:szCs w:val="24"/>
        </w:rPr>
        <w:t>Województwo zachodniopomorskie zlokalizowane jest w północno-zachodniej części Polski, na wybrzeżu Morza Bałtyckiego. Północną granicę woj. zachodniopomorskiego o długości ok. 185 km, stanowi wyznaczona linia brzegowa nad Zatoką Pomorską i dalsza część Morza Bałtyckiego. Od strony wschodniej woj. zachodniopomorskie graniczy z województwem pomorskim (190,9 km), natomiast od strony południowej odpowiednio z województwami: wielkopolskim (197,4 km) i lubuskim (216,9 km). Zachodnia granica woj. zachodniopomorskiego, o długości rzędu 188,9 km stanowi odcinek linii granicznej Rzeczypospolitej Polski z Republiką Federalną Niemiec (</w:t>
      </w:r>
      <w:r w:rsidR="00E27A91">
        <w:rPr>
          <w:szCs w:val="24"/>
        </w:rPr>
        <w:fldChar w:fldCharType="begin"/>
      </w:r>
      <w:r w:rsidR="00E27A91">
        <w:rPr>
          <w:szCs w:val="24"/>
        </w:rPr>
        <w:instrText xml:space="preserve"> REF _Ref104790403 \h </w:instrText>
      </w:r>
      <w:r w:rsidR="00E27A91">
        <w:rPr>
          <w:szCs w:val="24"/>
        </w:rPr>
      </w:r>
      <w:r w:rsidR="00E27A91">
        <w:rPr>
          <w:szCs w:val="24"/>
        </w:rPr>
        <w:fldChar w:fldCharType="separate"/>
      </w:r>
      <w:r w:rsidR="002B5007">
        <w:t xml:space="preserve">Rycina </w:t>
      </w:r>
      <w:r w:rsidR="002B5007">
        <w:rPr>
          <w:noProof/>
        </w:rPr>
        <w:t>1</w:t>
      </w:r>
      <w:r w:rsidR="00E27A91">
        <w:rPr>
          <w:szCs w:val="24"/>
        </w:rPr>
        <w:fldChar w:fldCharType="end"/>
      </w:r>
      <w:r w:rsidR="00E27A91">
        <w:rPr>
          <w:szCs w:val="24"/>
        </w:rPr>
        <w:t>)</w:t>
      </w:r>
      <w:r w:rsidRPr="005322A4">
        <w:rPr>
          <w:szCs w:val="24"/>
        </w:rPr>
        <w:t>.</w:t>
      </w:r>
    </w:p>
    <w:p w14:paraId="6208BF4C" w14:textId="77777777" w:rsidR="005322A4" w:rsidRPr="005322A4" w:rsidRDefault="005322A4" w:rsidP="005322A4">
      <w:pPr>
        <w:spacing w:before="0" w:after="0"/>
        <w:jc w:val="center"/>
        <w:rPr>
          <w:szCs w:val="24"/>
        </w:rPr>
      </w:pPr>
      <w:r>
        <w:rPr>
          <w:noProof/>
          <w:lang w:eastAsia="pl-PL"/>
        </w:rPr>
        <w:drawing>
          <wp:inline distT="0" distB="0" distL="0" distR="0" wp14:anchorId="17AE0F7F" wp14:editId="0B953C07">
            <wp:extent cx="5578546" cy="3944264"/>
            <wp:effectExtent l="0" t="0" r="3175" b="0"/>
            <wp:docPr id="37" name="Obraz 37" descr="C:\Users\AZgorska.GIG\Documents\GroupWise\POL 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Zgorska.GIG\Documents\GroupWise\POL GER.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89578" cy="3952064"/>
                    </a:xfrm>
                    <a:prstGeom prst="rect">
                      <a:avLst/>
                    </a:prstGeom>
                    <a:noFill/>
                    <a:ln>
                      <a:noFill/>
                    </a:ln>
                  </pic:spPr>
                </pic:pic>
              </a:graphicData>
            </a:graphic>
          </wp:inline>
        </w:drawing>
      </w:r>
    </w:p>
    <w:p w14:paraId="049FC32E" w14:textId="35841587" w:rsidR="005322A4" w:rsidRDefault="00E27A91" w:rsidP="00E27A91">
      <w:pPr>
        <w:pStyle w:val="Legenda"/>
        <w:rPr>
          <w:i/>
        </w:rPr>
      </w:pPr>
      <w:bookmarkStart w:id="56" w:name="_Ref104790403"/>
      <w:bookmarkStart w:id="57" w:name="_Toc104790101"/>
      <w:bookmarkStart w:id="58" w:name="_Toc104790670"/>
      <w:r>
        <w:t xml:space="preserve">Rycina </w:t>
      </w:r>
      <w:fldSimple w:instr=" SEQ Rycina \* ARABIC ">
        <w:r w:rsidR="002B5007">
          <w:rPr>
            <w:noProof/>
          </w:rPr>
          <w:t>1</w:t>
        </w:r>
      </w:fldSimple>
      <w:bookmarkEnd w:id="56"/>
      <w:r>
        <w:t xml:space="preserve"> </w:t>
      </w:r>
      <w:r w:rsidR="005322A4">
        <w:t xml:space="preserve">Mapa obszarowa woj. zachodniopomorskiego wraz ze wskazaniem </w:t>
      </w:r>
      <w:r w:rsidR="005322A4" w:rsidRPr="005506BE">
        <w:t>strefy przygranicznej.</w:t>
      </w:r>
      <w:bookmarkEnd w:id="57"/>
      <w:bookmarkEnd w:id="58"/>
      <w:r w:rsidR="005322A4" w:rsidRPr="00132066">
        <w:rPr>
          <w:i/>
        </w:rPr>
        <w:t xml:space="preserve"> </w:t>
      </w:r>
    </w:p>
    <w:p w14:paraId="000F818C" w14:textId="57C15924" w:rsidR="005322A4" w:rsidRPr="00E27A91" w:rsidRDefault="005322A4" w:rsidP="005322A4">
      <w:pPr>
        <w:spacing w:before="0"/>
      </w:pPr>
      <w:r w:rsidRPr="00E27A91">
        <w:t>Źródło:</w:t>
      </w:r>
      <w:r w:rsidRPr="00E27A91">
        <w:tab/>
        <w:t>Opracowanie własne</w:t>
      </w:r>
    </w:p>
    <w:p w14:paraId="6DE9966C" w14:textId="229ACE42" w:rsidR="005322A4" w:rsidRPr="005322A4" w:rsidRDefault="005322A4" w:rsidP="005322A4">
      <w:pPr>
        <w:rPr>
          <w:szCs w:val="24"/>
        </w:rPr>
      </w:pPr>
      <w:r w:rsidRPr="005322A4">
        <w:rPr>
          <w:szCs w:val="24"/>
        </w:rPr>
        <w:t xml:space="preserve">Uwzględniając fakt, iż zachodnie granice województwa stanowią zarazem granice RP z Republiką Federalną Niemiec, zgodnie z zapisami ustawy z dnia 3 października 2008 r. </w:t>
      </w:r>
      <w:r w:rsidRPr="005322A4">
        <w:rPr>
          <w:i/>
          <w:szCs w:val="24"/>
        </w:rPr>
        <w:t>o udostępnianiu informacji o środowisku i jego ochronie, udziale społeczeństwa w ochronie środowiska oraz o ocenach oddziaływania na środowisko</w:t>
      </w:r>
      <w:r w:rsidRPr="005322A4">
        <w:rPr>
          <w:szCs w:val="24"/>
        </w:rPr>
        <w:t xml:space="preserve"> (OOŚ), konieczne jest przeprowadzenie oceny możliwości wystąpienia znaczącego negatywnego oddziaływania zapisów programu Fundusze Europejskie dla Pomorza Zachodniego 2021-2027 (FEPZ 2021-2027) na środowisko przyrodnicze oraz ludność tego państwa, celem stwierdzenia czy wymagane będzie przeprowadzenie procedury oddziaływania transgranicznego. </w:t>
      </w:r>
    </w:p>
    <w:p w14:paraId="353CA0C7" w14:textId="589C03BF" w:rsidR="005322A4" w:rsidRPr="005322A4" w:rsidRDefault="005322A4" w:rsidP="005322A4">
      <w:pPr>
        <w:rPr>
          <w:szCs w:val="24"/>
        </w:rPr>
      </w:pPr>
      <w:r w:rsidRPr="005322A4">
        <w:rPr>
          <w:szCs w:val="24"/>
        </w:rPr>
        <w:t xml:space="preserve">W ramach programu FEPZ 2021-2027dla każdego celu szczegółowego </w:t>
      </w:r>
      <w:r w:rsidRPr="005322A4">
        <w:rPr>
          <w:i/>
          <w:szCs w:val="24"/>
        </w:rPr>
        <w:t>(cs)</w:t>
      </w:r>
      <w:r w:rsidRPr="005322A4">
        <w:rPr>
          <w:szCs w:val="24"/>
        </w:rPr>
        <w:t xml:space="preserve"> opisano możliwość wystąpienia projektów o charakterze transgranicznym i transnarodowym. Na podstawie informacji przedstawionych w w/w dokumencie oraz wiedzy eksperckiej w zakresie możliwości wystąpienia transgranicznego oddziaływania przedsięwzięć na środowisko, przeprowadzono ocenę czy działania planowane do realizacji w ramach FEPZ 2021-2027, sformułowane w ramach poszczególnych celów szczegółowych </w:t>
      </w:r>
      <w:r w:rsidRPr="005322A4">
        <w:rPr>
          <w:i/>
          <w:szCs w:val="24"/>
        </w:rPr>
        <w:t>(cs)</w:t>
      </w:r>
      <w:r w:rsidRPr="005322A4">
        <w:rPr>
          <w:szCs w:val="24"/>
        </w:rPr>
        <w:t xml:space="preserve"> powodują wystąpienie znaczącego wpływu na środowisko Republiki Federalnej Niemiec. Szczegółowe wyniki analizy przedstawiono w tabeli poniżej (</w:t>
      </w:r>
      <w:r w:rsidR="00E27A91">
        <w:rPr>
          <w:szCs w:val="24"/>
        </w:rPr>
        <w:fldChar w:fldCharType="begin"/>
      </w:r>
      <w:r w:rsidR="00E27A91">
        <w:rPr>
          <w:szCs w:val="24"/>
        </w:rPr>
        <w:instrText xml:space="preserve"> REF _Ref104790456 \h </w:instrText>
      </w:r>
      <w:r w:rsidR="00E27A91">
        <w:rPr>
          <w:szCs w:val="24"/>
        </w:rPr>
      </w:r>
      <w:r w:rsidR="00E27A91">
        <w:rPr>
          <w:szCs w:val="24"/>
        </w:rPr>
        <w:fldChar w:fldCharType="separate"/>
      </w:r>
      <w:r w:rsidR="002B5007">
        <w:t xml:space="preserve">Tablica </w:t>
      </w:r>
      <w:r w:rsidR="002B5007">
        <w:rPr>
          <w:noProof/>
        </w:rPr>
        <w:t>1</w:t>
      </w:r>
      <w:r w:rsidR="00E27A91">
        <w:rPr>
          <w:szCs w:val="24"/>
        </w:rPr>
        <w:fldChar w:fldCharType="end"/>
      </w:r>
      <w:r w:rsidRPr="005322A4">
        <w:rPr>
          <w:szCs w:val="24"/>
        </w:rPr>
        <w:t>).</w:t>
      </w:r>
    </w:p>
    <w:p w14:paraId="71F0B700" w14:textId="2F175719" w:rsidR="005322A4" w:rsidRPr="00E27A91" w:rsidRDefault="00E27A91" w:rsidP="00E27A91">
      <w:pPr>
        <w:pStyle w:val="Legenda"/>
      </w:pPr>
      <w:bookmarkStart w:id="59" w:name="_Ref104790456"/>
      <w:bookmarkStart w:id="60" w:name="_Toc104790067"/>
      <w:bookmarkStart w:id="61" w:name="_Toc104790666"/>
      <w:r>
        <w:t xml:space="preserve">Tablica </w:t>
      </w:r>
      <w:fldSimple w:instr=" SEQ Tablica \* ARABIC ">
        <w:r w:rsidR="002B5007">
          <w:rPr>
            <w:noProof/>
          </w:rPr>
          <w:t>1</w:t>
        </w:r>
      </w:fldSimple>
      <w:bookmarkEnd w:id="59"/>
      <w:r>
        <w:t xml:space="preserve"> </w:t>
      </w:r>
      <w:r w:rsidR="005322A4">
        <w:t>Ocena możliwości wystąpienia negatywnych oddziaływań transgranicznych na środowisko</w:t>
      </w:r>
      <w:bookmarkEnd w:id="60"/>
      <w:bookmarkEnd w:id="61"/>
      <w:r w:rsidR="005322A4">
        <w:t xml:space="preserve"> </w:t>
      </w:r>
    </w:p>
    <w:tbl>
      <w:tblPr>
        <w:tblStyle w:val="Jasnalistaakcent1"/>
        <w:tblW w:w="0" w:type="auto"/>
        <w:tblInd w:w="108" w:type="dxa"/>
        <w:tblLook w:val="04A0" w:firstRow="1" w:lastRow="0" w:firstColumn="1" w:lastColumn="0" w:noHBand="0" w:noVBand="1"/>
      </w:tblPr>
      <w:tblGrid>
        <w:gridCol w:w="5670"/>
        <w:gridCol w:w="3402"/>
      </w:tblGrid>
      <w:tr w:rsidR="005322A4" w:rsidRPr="004C6C5B" w14:paraId="65516F15" w14:textId="77777777" w:rsidTr="00057B9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70" w:type="dxa"/>
            <w:vAlign w:val="center"/>
          </w:tcPr>
          <w:p w14:paraId="3AA96A7E" w14:textId="77777777" w:rsidR="005322A4" w:rsidRPr="005322A4" w:rsidRDefault="005322A4" w:rsidP="00BB3266">
            <w:pPr>
              <w:spacing w:line="276" w:lineRule="auto"/>
              <w:ind w:left="360"/>
              <w:jc w:val="center"/>
              <w:rPr>
                <w:iCs/>
              </w:rPr>
            </w:pPr>
            <w:r w:rsidRPr="005322A4">
              <w:rPr>
                <w:iCs/>
              </w:rPr>
              <w:t>Możliwości prowadzenia działań transgranicznych i transnarodowych formułowane w FEPZ2021-2027</w:t>
            </w:r>
          </w:p>
        </w:tc>
        <w:tc>
          <w:tcPr>
            <w:tcW w:w="3402" w:type="dxa"/>
            <w:vAlign w:val="center"/>
          </w:tcPr>
          <w:p w14:paraId="10674868" w14:textId="77777777" w:rsidR="005322A4" w:rsidRPr="005322A4" w:rsidRDefault="005322A4" w:rsidP="00BB3266">
            <w:pPr>
              <w:spacing w:line="276" w:lineRule="auto"/>
              <w:ind w:left="360"/>
              <w:jc w:val="center"/>
              <w:cnfStyle w:val="100000000000" w:firstRow="1" w:lastRow="0" w:firstColumn="0" w:lastColumn="0" w:oddVBand="0" w:evenVBand="0" w:oddHBand="0" w:evenHBand="0" w:firstRowFirstColumn="0" w:firstRowLastColumn="0" w:lastRowFirstColumn="0" w:lastRowLastColumn="0"/>
              <w:rPr>
                <w:iCs/>
              </w:rPr>
            </w:pPr>
            <w:r w:rsidRPr="005322A4">
              <w:rPr>
                <w:iCs/>
              </w:rPr>
              <w:t>Ocena możliwego znaczącego negatywnego oddziaływania transgranicznego na środowisko</w:t>
            </w:r>
          </w:p>
        </w:tc>
      </w:tr>
      <w:tr w:rsidR="005322A4" w:rsidRPr="004C6C5B" w14:paraId="4FA834DD"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B7DFA8" w:themeFill="accent1" w:themeFillTint="66"/>
          </w:tcPr>
          <w:p w14:paraId="001F6667" w14:textId="77777777" w:rsidR="005322A4" w:rsidRPr="00BB3266" w:rsidRDefault="005322A4" w:rsidP="00BB3266">
            <w:pPr>
              <w:spacing w:line="276" w:lineRule="auto"/>
              <w:ind w:left="360"/>
              <w:rPr>
                <w:b w:val="0"/>
                <w:bCs w:val="0"/>
                <w:iCs/>
              </w:rPr>
            </w:pPr>
            <w:r w:rsidRPr="00BB3266">
              <w:rPr>
                <w:b w:val="0"/>
                <w:bCs w:val="0"/>
                <w:iCs/>
              </w:rPr>
              <w:t>Priorytet 1. Fundusze Europejskie na rzecz przedsiębiorczego Pomorza Zachodniego</w:t>
            </w:r>
          </w:p>
        </w:tc>
      </w:tr>
      <w:tr w:rsidR="005322A4" w:rsidRPr="004C6C5B" w14:paraId="556AFC44"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0300EC04" w14:textId="77777777" w:rsidR="005322A4" w:rsidRPr="00BB3266" w:rsidRDefault="005322A4" w:rsidP="00BB3266">
            <w:pPr>
              <w:spacing w:line="276" w:lineRule="auto"/>
              <w:ind w:left="360"/>
              <w:rPr>
                <w:b w:val="0"/>
                <w:bCs w:val="0"/>
                <w:i/>
                <w:iCs/>
              </w:rPr>
            </w:pPr>
            <w:r w:rsidRPr="00BB3266">
              <w:rPr>
                <w:b w:val="0"/>
                <w:bCs w:val="0"/>
                <w:i/>
                <w:iCs/>
              </w:rPr>
              <w:t>cs (i): Rozwijanie i wzmacnianie zdolności badawczych i innowacyjnych oraz /wykorzystywanie zaawansowanych technologii</w:t>
            </w:r>
          </w:p>
        </w:tc>
      </w:tr>
      <w:tr w:rsidR="005322A4" w:rsidRPr="004C6C5B" w14:paraId="7A79DE46"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045C99FF" w14:textId="77777777" w:rsidR="005322A4" w:rsidRPr="00BB3266" w:rsidRDefault="005322A4" w:rsidP="00BB3266">
            <w:pPr>
              <w:spacing w:line="276" w:lineRule="auto"/>
              <w:ind w:left="360"/>
              <w:jc w:val="center"/>
              <w:rPr>
                <w:b w:val="0"/>
                <w:bCs w:val="0"/>
                <w:iCs/>
              </w:rPr>
            </w:pPr>
            <w:r w:rsidRPr="00BB3266">
              <w:rPr>
                <w:b w:val="0"/>
                <w:bCs w:val="0"/>
                <w:iCs/>
              </w:rPr>
              <w:t>Na etapie tworzenia programu nie zidentyfikowano propozycji wychodzących poza obszar geograficzny programu regionalnego.</w:t>
            </w:r>
          </w:p>
        </w:tc>
        <w:tc>
          <w:tcPr>
            <w:tcW w:w="3402" w:type="dxa"/>
          </w:tcPr>
          <w:p w14:paraId="6F8C7538" w14:textId="77777777" w:rsidR="005322A4" w:rsidRPr="00BB3266" w:rsidRDefault="005322A4" w:rsidP="00BB3266">
            <w:pPr>
              <w:spacing w:line="276" w:lineRule="auto"/>
              <w:ind w:left="360"/>
              <w:jc w:val="center"/>
              <w:cnfStyle w:val="000000100000" w:firstRow="0" w:lastRow="0" w:firstColumn="0" w:lastColumn="0" w:oddVBand="0" w:evenVBand="0" w:oddHBand="1" w:evenHBand="0" w:firstRowFirstColumn="0" w:firstRowLastColumn="0" w:lastRowFirstColumn="0" w:lastRowLastColumn="0"/>
              <w:rPr>
                <w:iCs/>
              </w:rPr>
            </w:pPr>
            <w:r w:rsidRPr="00BB3266">
              <w:rPr>
                <w:iCs/>
              </w:rPr>
              <w:t>Brak negatywnego wpływu na środowisko</w:t>
            </w:r>
          </w:p>
        </w:tc>
      </w:tr>
      <w:tr w:rsidR="005322A4" w:rsidRPr="004C6C5B" w14:paraId="34CDC438"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30512A3A" w14:textId="77777777" w:rsidR="005322A4" w:rsidRPr="00BB3266" w:rsidRDefault="005322A4" w:rsidP="00BB3266">
            <w:pPr>
              <w:spacing w:line="276" w:lineRule="auto"/>
              <w:ind w:left="360"/>
              <w:jc w:val="center"/>
              <w:rPr>
                <w:b w:val="0"/>
                <w:bCs w:val="0"/>
                <w:i/>
                <w:iCs/>
              </w:rPr>
            </w:pPr>
            <w:r w:rsidRPr="00BB3266">
              <w:rPr>
                <w:b w:val="0"/>
                <w:bCs w:val="0"/>
                <w:i/>
                <w:iCs/>
              </w:rPr>
              <w:t>cs (ii): Czerpanie korzyści z cyfryzacji dla obywateli, przedsiębiorstw, organizacji badawczych i instytucji publicznych</w:t>
            </w:r>
          </w:p>
        </w:tc>
      </w:tr>
      <w:tr w:rsidR="005322A4" w:rsidRPr="004C6C5B" w14:paraId="77BEECA0"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54ED6751" w14:textId="77777777" w:rsidR="005322A4" w:rsidRPr="00BB3266" w:rsidRDefault="005322A4" w:rsidP="00BB3266">
            <w:pPr>
              <w:spacing w:line="276" w:lineRule="auto"/>
              <w:ind w:left="360"/>
              <w:jc w:val="center"/>
              <w:rPr>
                <w:b w:val="0"/>
                <w:bCs w:val="0"/>
                <w:iCs/>
              </w:rPr>
            </w:pPr>
            <w:r w:rsidRPr="00BB3266">
              <w:rPr>
                <w:b w:val="0"/>
                <w:bCs w:val="0"/>
                <w:iCs/>
              </w:rPr>
              <w:t>Na etapie tworzenia programu nie zidentyfikowano propozycji wychodzących poza obszar geograficzny programu regionalnego.</w:t>
            </w:r>
          </w:p>
        </w:tc>
        <w:tc>
          <w:tcPr>
            <w:tcW w:w="3402" w:type="dxa"/>
          </w:tcPr>
          <w:p w14:paraId="32A17980" w14:textId="77777777" w:rsidR="005322A4" w:rsidRPr="00BB3266" w:rsidRDefault="005322A4" w:rsidP="00BB3266">
            <w:pPr>
              <w:spacing w:line="276" w:lineRule="auto"/>
              <w:ind w:left="360"/>
              <w:jc w:val="center"/>
              <w:cnfStyle w:val="000000100000" w:firstRow="0" w:lastRow="0" w:firstColumn="0" w:lastColumn="0" w:oddVBand="0" w:evenVBand="0" w:oddHBand="1" w:evenHBand="0" w:firstRowFirstColumn="0" w:firstRowLastColumn="0" w:lastRowFirstColumn="0" w:lastRowLastColumn="0"/>
              <w:rPr>
                <w:iCs/>
              </w:rPr>
            </w:pPr>
            <w:r w:rsidRPr="00BB3266">
              <w:rPr>
                <w:iCs/>
              </w:rPr>
              <w:t>Brak negatywnego wpływu na środowisko</w:t>
            </w:r>
          </w:p>
        </w:tc>
      </w:tr>
      <w:tr w:rsidR="005322A4" w:rsidRPr="004C6C5B" w14:paraId="036573A5"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7288C11D" w14:textId="77777777" w:rsidR="005322A4" w:rsidRPr="00BB3266" w:rsidRDefault="005322A4" w:rsidP="00BB3266">
            <w:pPr>
              <w:tabs>
                <w:tab w:val="left" w:pos="4980"/>
              </w:tabs>
              <w:spacing w:line="276" w:lineRule="auto"/>
              <w:ind w:left="360"/>
              <w:rPr>
                <w:b w:val="0"/>
                <w:bCs w:val="0"/>
                <w:i/>
                <w:iCs/>
              </w:rPr>
            </w:pPr>
            <w:r w:rsidRPr="00BB3266">
              <w:rPr>
                <w:b w:val="0"/>
                <w:bCs w:val="0"/>
                <w:i/>
                <w:iCs/>
              </w:rPr>
              <w:t>cs (iii): Wzmacnianie trwałego wzrostu i konkurencyjności MŚP oraz tworzenie miejsc pracy w MŚP, w tym poprzez inwestycje produkcyjne</w:t>
            </w:r>
          </w:p>
        </w:tc>
      </w:tr>
      <w:tr w:rsidR="005322A4" w:rsidRPr="004C6C5B" w14:paraId="23D8D482"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66122907" w14:textId="77777777" w:rsidR="005322A4" w:rsidRPr="00BB3266" w:rsidRDefault="005322A4" w:rsidP="00BB3266">
            <w:pPr>
              <w:spacing w:line="276" w:lineRule="auto"/>
              <w:ind w:left="360"/>
              <w:jc w:val="center"/>
              <w:rPr>
                <w:b w:val="0"/>
                <w:bCs w:val="0"/>
                <w:iCs/>
              </w:rPr>
            </w:pPr>
            <w:r w:rsidRPr="00BB3266">
              <w:rPr>
                <w:b w:val="0"/>
                <w:bCs w:val="0"/>
                <w:iCs/>
              </w:rPr>
              <w:t>Na etapie tworzenia programu nie zidentyfikowano propozycji wychodzących poza obszar geograficzny programu regionalnego.</w:t>
            </w:r>
          </w:p>
        </w:tc>
        <w:tc>
          <w:tcPr>
            <w:tcW w:w="3402" w:type="dxa"/>
          </w:tcPr>
          <w:p w14:paraId="61BCD233" w14:textId="77777777" w:rsidR="005322A4" w:rsidRPr="00BB3266" w:rsidRDefault="005322A4" w:rsidP="00BB3266">
            <w:pPr>
              <w:spacing w:line="276" w:lineRule="auto"/>
              <w:ind w:left="360"/>
              <w:jc w:val="center"/>
              <w:cnfStyle w:val="000000100000" w:firstRow="0" w:lastRow="0" w:firstColumn="0" w:lastColumn="0" w:oddVBand="0" w:evenVBand="0" w:oddHBand="1" w:evenHBand="0" w:firstRowFirstColumn="0" w:firstRowLastColumn="0" w:lastRowFirstColumn="0" w:lastRowLastColumn="0"/>
              <w:rPr>
                <w:iCs/>
              </w:rPr>
            </w:pPr>
            <w:r w:rsidRPr="00BB3266">
              <w:rPr>
                <w:iCs/>
              </w:rPr>
              <w:t>Brak negatywnego wpływu na środowisko</w:t>
            </w:r>
          </w:p>
        </w:tc>
      </w:tr>
      <w:tr w:rsidR="005322A4" w:rsidRPr="004C6C5B" w14:paraId="23A846F8"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B7DFA8" w:themeFill="accent1" w:themeFillTint="66"/>
          </w:tcPr>
          <w:p w14:paraId="505D3ADE" w14:textId="77777777" w:rsidR="005322A4" w:rsidRPr="00BB3266" w:rsidRDefault="005322A4" w:rsidP="00BB3266">
            <w:pPr>
              <w:spacing w:line="276" w:lineRule="auto"/>
              <w:ind w:left="360"/>
              <w:rPr>
                <w:b w:val="0"/>
                <w:bCs w:val="0"/>
                <w:iCs/>
              </w:rPr>
            </w:pPr>
            <w:r w:rsidRPr="00BB3266">
              <w:rPr>
                <w:b w:val="0"/>
                <w:bCs w:val="0"/>
                <w:iCs/>
              </w:rPr>
              <w:t>Priorytet 2. Fundusze Europejskie na rzecz zielonego Pomorza Zachodniego</w:t>
            </w:r>
          </w:p>
        </w:tc>
      </w:tr>
      <w:tr w:rsidR="005322A4" w:rsidRPr="004C6C5B" w14:paraId="5975FF37"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09B7564A" w14:textId="77777777" w:rsidR="005322A4" w:rsidRPr="00BB3266" w:rsidRDefault="005322A4" w:rsidP="00BB3266">
            <w:pPr>
              <w:tabs>
                <w:tab w:val="left" w:pos="5655"/>
              </w:tabs>
              <w:spacing w:line="276" w:lineRule="auto"/>
              <w:ind w:left="360"/>
              <w:rPr>
                <w:b w:val="0"/>
                <w:bCs w:val="0"/>
                <w:i/>
                <w:iCs/>
              </w:rPr>
            </w:pPr>
            <w:r w:rsidRPr="00BB3266">
              <w:rPr>
                <w:b w:val="0"/>
                <w:bCs w:val="0"/>
                <w:i/>
                <w:iCs/>
              </w:rPr>
              <w:t>Cs (i): Wspieranie efektywności energetycznej i redukcji emisji gazów cieplarnianych</w:t>
            </w:r>
          </w:p>
        </w:tc>
      </w:tr>
      <w:tr w:rsidR="005322A4" w:rsidRPr="004C6C5B" w14:paraId="6D790CA8"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1ECCD2E0"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32C29273"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67915FAA"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57E782CA" w14:textId="77777777" w:rsidR="005322A4" w:rsidRPr="00BB3266" w:rsidRDefault="005322A4" w:rsidP="00BB3266">
            <w:pPr>
              <w:tabs>
                <w:tab w:val="left" w:pos="5040"/>
              </w:tabs>
              <w:spacing w:line="276" w:lineRule="auto"/>
              <w:ind w:left="360"/>
              <w:rPr>
                <w:b w:val="0"/>
                <w:bCs w:val="0"/>
                <w:i/>
                <w:iCs/>
              </w:rPr>
            </w:pPr>
            <w:r w:rsidRPr="00BB3266">
              <w:rPr>
                <w:b w:val="0"/>
                <w:bCs w:val="0"/>
                <w:i/>
                <w:iCs/>
              </w:rPr>
              <w:t>cs (ii): Wspieranie energii odnawialnej zgodnie z dyrektywą (UE) 2018/2001, w tym określonymi w niej kryteriami zrównoważonego rozwoju</w:t>
            </w:r>
          </w:p>
        </w:tc>
      </w:tr>
      <w:tr w:rsidR="005322A4" w:rsidRPr="004C6C5B" w14:paraId="3B567327"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4F0FE642"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3001423A"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6C89E4BA"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7E8C6EF7" w14:textId="77777777" w:rsidR="005322A4" w:rsidRPr="00BB3266" w:rsidRDefault="005322A4" w:rsidP="00BB3266">
            <w:pPr>
              <w:tabs>
                <w:tab w:val="left" w:pos="6510"/>
              </w:tabs>
              <w:spacing w:line="276" w:lineRule="auto"/>
              <w:ind w:left="360"/>
              <w:rPr>
                <w:b w:val="0"/>
                <w:bCs w:val="0"/>
                <w:i/>
                <w:iCs/>
              </w:rPr>
            </w:pPr>
            <w:r w:rsidRPr="00BB3266">
              <w:rPr>
                <w:b w:val="0"/>
                <w:bCs w:val="0"/>
                <w:i/>
                <w:iCs/>
              </w:rPr>
              <w:t>cs (iv): Wspieranie przystosowania się do zmian klimatu i zapobiegania ryzyku związanemu z klęskami żywiołowymi i katastrofami, a także odporności, z uwzględnieniem podejścia ekosystemowego</w:t>
            </w:r>
          </w:p>
        </w:tc>
      </w:tr>
      <w:tr w:rsidR="005322A4" w:rsidRPr="004C6C5B" w14:paraId="4EC50BC2"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01189C19"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28292D8C"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380F7122"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7860E3C8" w14:textId="77777777" w:rsidR="005322A4" w:rsidRPr="00BB3266" w:rsidRDefault="005322A4" w:rsidP="00BB3266">
            <w:pPr>
              <w:spacing w:line="276" w:lineRule="auto"/>
              <w:ind w:left="360"/>
              <w:rPr>
                <w:b w:val="0"/>
                <w:bCs w:val="0"/>
                <w:i/>
                <w:iCs/>
              </w:rPr>
            </w:pPr>
            <w:r w:rsidRPr="00BB3266">
              <w:rPr>
                <w:b w:val="0"/>
                <w:bCs w:val="0"/>
                <w:i/>
                <w:iCs/>
              </w:rPr>
              <w:t>cs (v): Wspieranie dostępu do wody oraz zrównoważonej gospodarki wodnej</w:t>
            </w:r>
          </w:p>
        </w:tc>
      </w:tr>
      <w:tr w:rsidR="005322A4" w:rsidRPr="004C6C5B" w14:paraId="38439E58"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4373FA65"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5359D4C0"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4C1E8516"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151E7295" w14:textId="77777777" w:rsidR="005322A4" w:rsidRPr="00BB3266" w:rsidRDefault="005322A4" w:rsidP="00BB3266">
            <w:pPr>
              <w:tabs>
                <w:tab w:val="left" w:pos="6645"/>
              </w:tabs>
              <w:spacing w:line="276" w:lineRule="auto"/>
              <w:ind w:left="360"/>
              <w:rPr>
                <w:b w:val="0"/>
                <w:bCs w:val="0"/>
                <w:i/>
                <w:iCs/>
              </w:rPr>
            </w:pPr>
            <w:r w:rsidRPr="00BB3266">
              <w:rPr>
                <w:b w:val="0"/>
                <w:bCs w:val="0"/>
                <w:i/>
                <w:iCs/>
              </w:rPr>
              <w:t>cs (vi): Wspieranie transformacji w kierunku gospodarki o obiegu zamkniętym i gospodarki zasobooszczędnej</w:t>
            </w:r>
          </w:p>
        </w:tc>
      </w:tr>
      <w:tr w:rsidR="005322A4" w:rsidRPr="004C6C5B" w14:paraId="5BC90058"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49E4775B"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5CC3BA25"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4B2EE92D"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491F272E" w14:textId="77777777" w:rsidR="005322A4" w:rsidRPr="00BB3266" w:rsidRDefault="005322A4" w:rsidP="00BB3266">
            <w:pPr>
              <w:tabs>
                <w:tab w:val="left" w:pos="6135"/>
              </w:tabs>
              <w:spacing w:line="276" w:lineRule="auto"/>
              <w:ind w:left="360"/>
              <w:rPr>
                <w:b w:val="0"/>
                <w:bCs w:val="0"/>
                <w:i/>
                <w:iCs/>
              </w:rPr>
            </w:pPr>
            <w:r w:rsidRPr="00BB3266">
              <w:rPr>
                <w:b w:val="0"/>
                <w:bCs w:val="0"/>
                <w:i/>
                <w:iCs/>
              </w:rPr>
              <w:t>cs (vii): Wzmacnianie ochrony i zachowania przyrody, różnorodności biologicznej oraz zielonej infrastruktury, w tym na obszarach miejskich, oraz ograniczanie wszelkich rodzajów zanieczyszczenia</w:t>
            </w:r>
          </w:p>
        </w:tc>
      </w:tr>
      <w:tr w:rsidR="005322A4" w:rsidRPr="004C6C5B" w14:paraId="7F476256"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61B4388A"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59E9F420"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0C246A29"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B7DFA8" w:themeFill="accent1" w:themeFillTint="66"/>
          </w:tcPr>
          <w:p w14:paraId="709480F7" w14:textId="77777777" w:rsidR="005322A4" w:rsidRPr="00BB3266" w:rsidRDefault="005322A4" w:rsidP="00BB3266">
            <w:pPr>
              <w:spacing w:line="276" w:lineRule="auto"/>
              <w:ind w:left="360"/>
              <w:rPr>
                <w:b w:val="0"/>
                <w:bCs w:val="0"/>
                <w:iCs/>
              </w:rPr>
            </w:pPr>
            <w:r w:rsidRPr="00BB3266">
              <w:rPr>
                <w:b w:val="0"/>
                <w:bCs w:val="0"/>
                <w:iCs/>
              </w:rPr>
              <w:t>Priorytet 3. Fundusze Europejskie na rzecz mobilnego Pomorza Zachodniego</w:t>
            </w:r>
          </w:p>
        </w:tc>
      </w:tr>
      <w:tr w:rsidR="005322A4" w:rsidRPr="004C6C5B" w14:paraId="3F9D2C02"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6C09660F" w14:textId="77777777" w:rsidR="005322A4" w:rsidRPr="00BB3266" w:rsidRDefault="005322A4" w:rsidP="00BB3266">
            <w:pPr>
              <w:spacing w:line="276" w:lineRule="auto"/>
              <w:ind w:left="360"/>
              <w:rPr>
                <w:b w:val="0"/>
                <w:bCs w:val="0"/>
                <w:i/>
                <w:iCs/>
              </w:rPr>
            </w:pPr>
            <w:r w:rsidRPr="00BB3266">
              <w:rPr>
                <w:b w:val="0"/>
                <w:bCs w:val="0"/>
                <w:i/>
                <w:iCs/>
              </w:rPr>
              <w:t>cs (viii): Wspieranie zrównoważonej multimodalnej mobilności miejskiej jako elementu transformacji w kierunku gospodarki zeroemisyjnej</w:t>
            </w:r>
          </w:p>
        </w:tc>
      </w:tr>
      <w:tr w:rsidR="005322A4" w:rsidRPr="004C6C5B" w14:paraId="61436099"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0BAE2B8F"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33C9D6D4" w14:textId="77777777" w:rsidR="005322A4" w:rsidRPr="00BB3266" w:rsidRDefault="005322A4" w:rsidP="00BB3266">
            <w:pPr>
              <w:spacing w:line="276" w:lineRule="auto"/>
              <w:ind w:left="360"/>
              <w:jc w:val="center"/>
              <w:cnfStyle w:val="000000100000" w:firstRow="0" w:lastRow="0" w:firstColumn="0" w:lastColumn="0" w:oddVBand="0" w:evenVBand="0" w:oddHBand="1" w:evenHBand="0" w:firstRowFirstColumn="0" w:firstRowLastColumn="0" w:lastRowFirstColumn="0" w:lastRowLastColumn="0"/>
              <w:rPr>
                <w:iCs/>
              </w:rPr>
            </w:pPr>
            <w:r w:rsidRPr="00BB3266">
              <w:rPr>
                <w:iCs/>
              </w:rPr>
              <w:t>Brak negatywnego wpływu na środowisko</w:t>
            </w:r>
          </w:p>
        </w:tc>
      </w:tr>
      <w:tr w:rsidR="005322A4" w:rsidRPr="004C6C5B" w14:paraId="076BD25C"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B7DFA8" w:themeFill="accent1" w:themeFillTint="66"/>
          </w:tcPr>
          <w:p w14:paraId="70DDC8C3" w14:textId="77777777" w:rsidR="005322A4" w:rsidRPr="00BB3266" w:rsidRDefault="005322A4" w:rsidP="00BB3266">
            <w:pPr>
              <w:tabs>
                <w:tab w:val="left" w:pos="5250"/>
              </w:tabs>
              <w:spacing w:line="276" w:lineRule="auto"/>
              <w:ind w:left="360"/>
              <w:rPr>
                <w:b w:val="0"/>
                <w:bCs w:val="0"/>
                <w:iCs/>
              </w:rPr>
            </w:pPr>
            <w:r w:rsidRPr="00BB3266">
              <w:rPr>
                <w:b w:val="0"/>
                <w:bCs w:val="0"/>
                <w:iCs/>
              </w:rPr>
              <w:t>Priorytet 4. Fundusze Europejskie na rzecz połączonego Pomorza Zachodniego</w:t>
            </w:r>
          </w:p>
        </w:tc>
      </w:tr>
      <w:tr w:rsidR="005322A4" w:rsidRPr="004C6C5B" w14:paraId="7EFC2ACF"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4E71CE17" w14:textId="77777777" w:rsidR="005322A4" w:rsidRPr="00BB3266" w:rsidRDefault="005322A4" w:rsidP="00BB3266">
            <w:pPr>
              <w:tabs>
                <w:tab w:val="left" w:pos="5520"/>
              </w:tabs>
              <w:spacing w:line="276" w:lineRule="auto"/>
              <w:ind w:left="360"/>
              <w:rPr>
                <w:b w:val="0"/>
                <w:bCs w:val="0"/>
                <w:i/>
                <w:iCs/>
              </w:rPr>
            </w:pPr>
            <w:r w:rsidRPr="00BB3266">
              <w:rPr>
                <w:b w:val="0"/>
                <w:bCs w:val="0"/>
                <w:i/>
                <w:iCs/>
              </w:rPr>
              <w:t>cs (ii): Rozwój i udoskonalanie zrównoważonej, odpornej na zmiany klimatu, inteligentnej i intermodalnej mobilności na poziomie krajowym, regionalnym i lokalnym, w tym poprawę dostępu do TEN-T oraz mobilności transgranicznej</w:t>
            </w:r>
          </w:p>
        </w:tc>
      </w:tr>
      <w:tr w:rsidR="005322A4" w:rsidRPr="004C6C5B" w14:paraId="4E51DDC4"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2B033AF7"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35F9E1A2"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0F1CB3BE"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B7DFA8" w:themeFill="accent1" w:themeFillTint="66"/>
          </w:tcPr>
          <w:p w14:paraId="35B580D8" w14:textId="77777777" w:rsidR="005322A4" w:rsidRPr="00BB3266" w:rsidRDefault="005322A4" w:rsidP="00BB3266">
            <w:pPr>
              <w:spacing w:line="276" w:lineRule="auto"/>
              <w:ind w:left="360"/>
              <w:rPr>
                <w:b w:val="0"/>
                <w:bCs w:val="0"/>
                <w:iCs/>
              </w:rPr>
            </w:pPr>
            <w:r w:rsidRPr="00BB3266">
              <w:rPr>
                <w:b w:val="0"/>
                <w:bCs w:val="0"/>
                <w:iCs/>
              </w:rPr>
              <w:t>Priorytet 5. Fundusze Europejskie na rzecz przyjaznego mieszkankom i mieszkańcom Pomorza Zachodniego</w:t>
            </w:r>
          </w:p>
        </w:tc>
      </w:tr>
      <w:tr w:rsidR="005322A4" w:rsidRPr="004C6C5B" w14:paraId="2E9D5A92"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5B282842" w14:textId="77777777" w:rsidR="005322A4" w:rsidRPr="00BB3266" w:rsidRDefault="005322A4" w:rsidP="00BB3266">
            <w:pPr>
              <w:tabs>
                <w:tab w:val="left" w:pos="5520"/>
              </w:tabs>
              <w:spacing w:line="276" w:lineRule="auto"/>
              <w:ind w:left="360"/>
              <w:rPr>
                <w:b w:val="0"/>
                <w:bCs w:val="0"/>
                <w:i/>
                <w:iCs/>
              </w:rPr>
            </w:pPr>
            <w:r w:rsidRPr="00BB3266">
              <w:rPr>
                <w:b w:val="0"/>
                <w:bCs w:val="0"/>
                <w:i/>
                <w:iCs/>
              </w:rPr>
              <w:t>cs (ii):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w:t>
            </w:r>
          </w:p>
        </w:tc>
      </w:tr>
      <w:tr w:rsidR="005322A4" w:rsidRPr="004C6C5B" w14:paraId="06A0A8DA"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65A870C6" w14:textId="77777777" w:rsidR="005322A4" w:rsidRPr="00BB3266" w:rsidRDefault="005322A4" w:rsidP="00BB3266">
            <w:pPr>
              <w:tabs>
                <w:tab w:val="left" w:pos="5520"/>
              </w:tabs>
              <w:spacing w:line="276" w:lineRule="auto"/>
              <w:ind w:left="360"/>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09FB3EB0" w14:textId="77777777" w:rsidR="005322A4" w:rsidRPr="00BB3266" w:rsidRDefault="005322A4" w:rsidP="00BB3266">
            <w:pPr>
              <w:tabs>
                <w:tab w:val="left" w:pos="5520"/>
              </w:tabs>
              <w:spacing w:line="276" w:lineRule="auto"/>
              <w:ind w:left="360"/>
              <w:cnfStyle w:val="000000100000" w:firstRow="0" w:lastRow="0" w:firstColumn="0" w:lastColumn="0" w:oddVBand="0" w:evenVBand="0" w:oddHBand="1" w:evenHBand="0" w:firstRowFirstColumn="0" w:firstRowLastColumn="0" w:lastRowFirstColumn="0" w:lastRowLastColumn="0"/>
              <w:rPr>
                <w:iCs/>
              </w:rPr>
            </w:pPr>
            <w:r w:rsidRPr="00BB3266">
              <w:rPr>
                <w:iCs/>
              </w:rPr>
              <w:t>Brak negatywnego wpływu na środowisko</w:t>
            </w:r>
          </w:p>
        </w:tc>
      </w:tr>
      <w:tr w:rsidR="005322A4" w:rsidRPr="004C6C5B" w14:paraId="5FEF7893"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5C7A6E8A" w14:textId="77777777" w:rsidR="005322A4" w:rsidRPr="00BB3266" w:rsidRDefault="005322A4" w:rsidP="00BB3266">
            <w:pPr>
              <w:tabs>
                <w:tab w:val="left" w:pos="5055"/>
              </w:tabs>
              <w:spacing w:line="276" w:lineRule="auto"/>
              <w:ind w:left="360"/>
              <w:rPr>
                <w:b w:val="0"/>
                <w:bCs w:val="0"/>
                <w:i/>
                <w:iCs/>
              </w:rPr>
            </w:pPr>
            <w:r w:rsidRPr="00BB3266">
              <w:rPr>
                <w:b w:val="0"/>
                <w:bCs w:val="0"/>
                <w:i/>
                <w:iCs/>
              </w:rPr>
              <w:t>cs (iii): Wspieranie włączenia społeczno-gospodarczego społeczności marginalizowanych, gospodarstw domowych o niskich dochodach oraz grup w niekorzystnej sytuacji, w tym osób o szczególnych potrzebach, dzięki zintegrowanym działaniom obejmującym usługi mieszkaniowe i usługi społeczne</w:t>
            </w:r>
          </w:p>
        </w:tc>
      </w:tr>
      <w:tr w:rsidR="005322A4" w:rsidRPr="004C6C5B" w14:paraId="6309AADD"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00F19472"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4ED88240" w14:textId="77777777" w:rsidR="005322A4" w:rsidRPr="00BB3266" w:rsidRDefault="005322A4" w:rsidP="00BB3266">
            <w:pPr>
              <w:spacing w:line="276" w:lineRule="auto"/>
              <w:ind w:left="360"/>
              <w:jc w:val="center"/>
              <w:cnfStyle w:val="000000100000" w:firstRow="0" w:lastRow="0" w:firstColumn="0" w:lastColumn="0" w:oddVBand="0" w:evenVBand="0" w:oddHBand="1" w:evenHBand="0" w:firstRowFirstColumn="0" w:firstRowLastColumn="0" w:lastRowFirstColumn="0" w:lastRowLastColumn="0"/>
              <w:rPr>
                <w:iCs/>
              </w:rPr>
            </w:pPr>
            <w:r w:rsidRPr="00BB3266">
              <w:rPr>
                <w:iCs/>
              </w:rPr>
              <w:t>Brak negatywnego wpływu na środowisko</w:t>
            </w:r>
          </w:p>
        </w:tc>
      </w:tr>
      <w:tr w:rsidR="005322A4" w:rsidRPr="004C6C5B" w14:paraId="0BC96B7A"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04ECCEE2" w14:textId="77777777" w:rsidR="005322A4" w:rsidRPr="00BB3266" w:rsidRDefault="005322A4" w:rsidP="00BB3266">
            <w:pPr>
              <w:spacing w:line="276" w:lineRule="auto"/>
              <w:ind w:left="360"/>
              <w:rPr>
                <w:b w:val="0"/>
                <w:bCs w:val="0"/>
                <w:i/>
                <w:iCs/>
              </w:rPr>
            </w:pPr>
            <w:r w:rsidRPr="00BB3266">
              <w:rPr>
                <w:b w:val="0"/>
                <w:bCs w:val="0"/>
                <w:i/>
                <w:iCs/>
              </w:rPr>
              <w:t>cs (iv): Wspieranie integracji społeczno-gospodarczej obywateli państw trzecich, w tym migrantów, dzięki zintegrowanym działaniom obejmującym usługi mieszkaniowe i usługi społeczne</w:t>
            </w:r>
          </w:p>
        </w:tc>
      </w:tr>
      <w:tr w:rsidR="005322A4" w:rsidRPr="004C6C5B" w14:paraId="64842C08"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492CE3B6"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5A28A664" w14:textId="77777777" w:rsidR="005322A4" w:rsidRPr="00BB3266" w:rsidRDefault="005322A4" w:rsidP="00BB3266">
            <w:pPr>
              <w:spacing w:line="276" w:lineRule="auto"/>
              <w:ind w:left="360"/>
              <w:jc w:val="center"/>
              <w:cnfStyle w:val="000000100000" w:firstRow="0" w:lastRow="0" w:firstColumn="0" w:lastColumn="0" w:oddVBand="0" w:evenVBand="0" w:oddHBand="1" w:evenHBand="0" w:firstRowFirstColumn="0" w:firstRowLastColumn="0" w:lastRowFirstColumn="0" w:lastRowLastColumn="0"/>
              <w:rPr>
                <w:iCs/>
              </w:rPr>
            </w:pPr>
            <w:r w:rsidRPr="00BB3266">
              <w:rPr>
                <w:iCs/>
              </w:rPr>
              <w:t>Brak negatywnego wpływu na środowisko</w:t>
            </w:r>
          </w:p>
        </w:tc>
      </w:tr>
      <w:tr w:rsidR="005322A4" w:rsidRPr="004C6C5B" w14:paraId="5E3F2027"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3D9A29B7" w14:textId="77777777" w:rsidR="005322A4" w:rsidRPr="00BB3266" w:rsidRDefault="005322A4" w:rsidP="00BB3266">
            <w:pPr>
              <w:tabs>
                <w:tab w:val="left" w:pos="5700"/>
              </w:tabs>
              <w:spacing w:line="276" w:lineRule="auto"/>
              <w:ind w:left="360"/>
              <w:rPr>
                <w:b w:val="0"/>
                <w:bCs w:val="0"/>
                <w:i/>
                <w:iCs/>
              </w:rPr>
            </w:pPr>
            <w:r w:rsidRPr="00BB3266">
              <w:rPr>
                <w:b w:val="0"/>
                <w:bCs w:val="0"/>
                <w:i/>
                <w:iCs/>
              </w:rPr>
              <w:t>cs (v): Zapewnianie równego dostępu do opieki zdrowotnej i wspieranie odporności systemów opieki zdrowotnej, w tym podstawowej opieki zdrowotnej, oraz wspieranie przechodzenia od opieki instytucjonalnej do opieki rodzinnej i środowiskowej</w:t>
            </w:r>
          </w:p>
        </w:tc>
      </w:tr>
      <w:tr w:rsidR="005322A4" w:rsidRPr="004C6C5B" w14:paraId="286C75FE"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36C16DBB"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359B788C" w14:textId="77777777" w:rsidR="005322A4" w:rsidRPr="00BB3266" w:rsidRDefault="005322A4" w:rsidP="00BB3266">
            <w:pPr>
              <w:spacing w:line="276" w:lineRule="auto"/>
              <w:ind w:left="360"/>
              <w:jc w:val="center"/>
              <w:cnfStyle w:val="000000100000" w:firstRow="0" w:lastRow="0" w:firstColumn="0" w:lastColumn="0" w:oddVBand="0" w:evenVBand="0" w:oddHBand="1" w:evenHBand="0" w:firstRowFirstColumn="0" w:firstRowLastColumn="0" w:lastRowFirstColumn="0" w:lastRowLastColumn="0"/>
              <w:rPr>
                <w:iCs/>
              </w:rPr>
            </w:pPr>
            <w:r w:rsidRPr="00BB3266">
              <w:rPr>
                <w:iCs/>
              </w:rPr>
              <w:t>Brak negatywnego wpływu na środowisko</w:t>
            </w:r>
          </w:p>
        </w:tc>
      </w:tr>
      <w:tr w:rsidR="005322A4" w:rsidRPr="004C6C5B" w14:paraId="21DE56DC"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63F750A9" w14:textId="77777777" w:rsidR="005322A4" w:rsidRPr="00BB3266" w:rsidRDefault="005322A4" w:rsidP="00BB3266">
            <w:pPr>
              <w:tabs>
                <w:tab w:val="left" w:pos="5460"/>
              </w:tabs>
              <w:spacing w:line="276" w:lineRule="auto"/>
              <w:ind w:left="360"/>
              <w:rPr>
                <w:b w:val="0"/>
                <w:bCs w:val="0"/>
                <w:i/>
                <w:iCs/>
              </w:rPr>
            </w:pPr>
            <w:r w:rsidRPr="00BB3266">
              <w:rPr>
                <w:b w:val="0"/>
                <w:bCs w:val="0"/>
                <w:i/>
                <w:iCs/>
              </w:rPr>
              <w:t>cs (vi): Wzmocnienie roli kultury i turystyki w rozwoju gospodarczym, włączeniu społecznym i innowacjach społecznych</w:t>
            </w:r>
          </w:p>
        </w:tc>
      </w:tr>
      <w:tr w:rsidR="005322A4" w:rsidRPr="004C6C5B" w14:paraId="4FC2731E"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69B70C3D"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2E5D6397" w14:textId="77777777" w:rsidR="005322A4" w:rsidRPr="00BB3266" w:rsidRDefault="005322A4" w:rsidP="00BB3266">
            <w:pPr>
              <w:spacing w:line="276" w:lineRule="auto"/>
              <w:ind w:left="360"/>
              <w:jc w:val="center"/>
              <w:cnfStyle w:val="000000100000" w:firstRow="0" w:lastRow="0" w:firstColumn="0" w:lastColumn="0" w:oddVBand="0" w:evenVBand="0" w:oddHBand="1" w:evenHBand="0" w:firstRowFirstColumn="0" w:firstRowLastColumn="0" w:lastRowFirstColumn="0" w:lastRowLastColumn="0"/>
              <w:rPr>
                <w:iCs/>
              </w:rPr>
            </w:pPr>
            <w:r w:rsidRPr="00BB3266">
              <w:rPr>
                <w:iCs/>
              </w:rPr>
              <w:t>Brak negatywnego wpływu na środowisko</w:t>
            </w:r>
          </w:p>
        </w:tc>
      </w:tr>
      <w:tr w:rsidR="005322A4" w:rsidRPr="004C6C5B" w14:paraId="0078178F"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B7DFA8" w:themeFill="accent1" w:themeFillTint="66"/>
          </w:tcPr>
          <w:p w14:paraId="71C728E0" w14:textId="77777777" w:rsidR="005322A4" w:rsidRPr="00BB3266" w:rsidRDefault="005322A4" w:rsidP="00BB3266">
            <w:pPr>
              <w:spacing w:line="276" w:lineRule="auto"/>
              <w:ind w:left="360"/>
              <w:rPr>
                <w:b w:val="0"/>
                <w:bCs w:val="0"/>
                <w:iCs/>
              </w:rPr>
            </w:pPr>
            <w:r w:rsidRPr="00BB3266">
              <w:rPr>
                <w:b w:val="0"/>
                <w:bCs w:val="0"/>
                <w:iCs/>
              </w:rPr>
              <w:t>Priorytet 6. Fundusze Europejskie na rzecz aktywnego Pomorza Zachodniego</w:t>
            </w:r>
          </w:p>
        </w:tc>
      </w:tr>
      <w:tr w:rsidR="005322A4" w:rsidRPr="004C6C5B" w14:paraId="3701BB08"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1A2C77EF" w14:textId="77777777" w:rsidR="005322A4" w:rsidRPr="00BB3266" w:rsidRDefault="005322A4" w:rsidP="00BB3266">
            <w:pPr>
              <w:spacing w:line="276" w:lineRule="auto"/>
              <w:ind w:left="360"/>
              <w:rPr>
                <w:b w:val="0"/>
                <w:bCs w:val="0"/>
                <w:i/>
                <w:iCs/>
              </w:rPr>
            </w:pPr>
            <w:r w:rsidRPr="00BB3266">
              <w:rPr>
                <w:b w:val="0"/>
                <w:bCs w:val="0"/>
                <w:i/>
                <w:iCs/>
              </w:rPr>
              <w:t>cs (a): Poprawa dostępu do zatrudnienia i działań aktywizujących dla wszystkich osób poszukujących pracy, w szczególności osób młodych, zwłaszcza poprzez wdrażanie gwarancji dla młodzieży, długotrwale bezrobotnych oraz grup znajdujących się w niekorzystnej sytuacji na rynku pracy, jak również dla osób biernych zawodowo, a także poprzez promowanie samozatrudnienia i ekonomii społecznej</w:t>
            </w:r>
          </w:p>
        </w:tc>
      </w:tr>
      <w:tr w:rsidR="005322A4" w:rsidRPr="004C6C5B" w14:paraId="725D32B2"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5870F184"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7FEE41BF"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4221E0D0"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7C6ECFAB" w14:textId="77777777" w:rsidR="005322A4" w:rsidRPr="00BB3266" w:rsidRDefault="005322A4" w:rsidP="00BB3266">
            <w:pPr>
              <w:tabs>
                <w:tab w:val="left" w:pos="5010"/>
              </w:tabs>
              <w:spacing w:line="276" w:lineRule="auto"/>
              <w:ind w:left="360"/>
              <w:rPr>
                <w:b w:val="0"/>
                <w:bCs w:val="0"/>
                <w:i/>
                <w:iCs/>
              </w:rPr>
            </w:pPr>
            <w:r w:rsidRPr="00BB3266">
              <w:rPr>
                <w:b w:val="0"/>
                <w:bCs w:val="0"/>
                <w:i/>
                <w:iCs/>
              </w:rPr>
              <w:t>cs (b): Modernizacja instytucji i służb rynków pracy celem oceny i przewidywania zapotrzebowania na umiejętności oraz zapewnienia terminowej i odpowiednio dopasowanej pomocy i wsparcia na rzecz dostosowania umiejętności i kwalifikacji zawodowych do potrzeb rynku pracy oraz na rzecz przepływów i mobilności na rynku pracy</w:t>
            </w:r>
          </w:p>
        </w:tc>
      </w:tr>
      <w:tr w:rsidR="005322A4" w:rsidRPr="004C6C5B" w14:paraId="5F47029C"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28BA519F"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0EDA143C"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11CF6F60"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423BF915" w14:textId="77777777" w:rsidR="005322A4" w:rsidRPr="00BB3266" w:rsidRDefault="005322A4" w:rsidP="00BB3266">
            <w:pPr>
              <w:spacing w:line="276" w:lineRule="auto"/>
              <w:ind w:left="360"/>
              <w:rPr>
                <w:b w:val="0"/>
                <w:bCs w:val="0"/>
                <w:i/>
                <w:iCs/>
              </w:rPr>
            </w:pPr>
            <w:r w:rsidRPr="00BB3266">
              <w:rPr>
                <w:b w:val="0"/>
                <w:bCs w:val="0"/>
                <w:i/>
                <w:iCs/>
              </w:rPr>
              <w:t>cs (d): Wspieranie dostosowania pracowników, przedsiębiorstw i przedsiębiorców do zmian, wspieranie aktywnego i zdrowego starzenia się oraz zdrowego i dobrze dostosowanego środowiska pracy, które uwzględnia zagrożenia dla zdrowia</w:t>
            </w:r>
          </w:p>
        </w:tc>
      </w:tr>
      <w:tr w:rsidR="005322A4" w:rsidRPr="004C6C5B" w14:paraId="00DAF429"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5DF07A0F"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6D877686"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1A592277"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6AD57793" w14:textId="77777777" w:rsidR="005322A4" w:rsidRPr="00BB3266" w:rsidRDefault="005322A4" w:rsidP="00BB3266">
            <w:pPr>
              <w:tabs>
                <w:tab w:val="left" w:pos="6090"/>
              </w:tabs>
              <w:spacing w:line="276" w:lineRule="auto"/>
              <w:ind w:left="360"/>
              <w:rPr>
                <w:b w:val="0"/>
                <w:bCs w:val="0"/>
                <w:i/>
                <w:iCs/>
              </w:rPr>
            </w:pPr>
            <w:r w:rsidRPr="00BB3266">
              <w:rPr>
                <w:b w:val="0"/>
                <w:bCs w:val="0"/>
                <w:i/>
                <w:iCs/>
              </w:rPr>
              <w:t>cs (f): Wspieranie równego dostępu do 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w:t>
            </w:r>
          </w:p>
        </w:tc>
      </w:tr>
      <w:tr w:rsidR="005322A4" w:rsidRPr="004C6C5B" w14:paraId="0F2EECCE"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688BE8FF"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5A768090"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18A5E277"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163F622C" w14:textId="77777777" w:rsidR="005322A4" w:rsidRPr="00BB3266" w:rsidRDefault="005322A4" w:rsidP="00BB3266">
            <w:pPr>
              <w:spacing w:line="276" w:lineRule="auto"/>
              <w:ind w:left="360"/>
              <w:rPr>
                <w:b w:val="0"/>
                <w:bCs w:val="0"/>
                <w:i/>
                <w:iCs/>
              </w:rPr>
            </w:pPr>
            <w:r w:rsidRPr="00BB3266">
              <w:rPr>
                <w:b w:val="0"/>
                <w:bCs w:val="0"/>
                <w:i/>
                <w:iCs/>
              </w:rPr>
              <w:t>cs (g): Wspieranie uczenia się przez całe życie, w szczególności elastycznych możliwości podnoszenia i zmiany kwalifikacji dla wszystkich, z uwzględnieniem umiejętności w zakresie przedsiębiorczości i kompetencji cyfrowych, lepsze przewidywanie zmian i zapotrzebowania na nowe umiejętności na podstawie potrzeb rynku pracy, ułatwianie zmian ścieżki kariery zawodowej i wspieranie mobilności zawodowej</w:t>
            </w:r>
          </w:p>
        </w:tc>
      </w:tr>
      <w:tr w:rsidR="005322A4" w:rsidRPr="004C6C5B" w14:paraId="11045ECC"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2EEDB6B7"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708748E5"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1FAD96FE"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6FB57745" w14:textId="77777777" w:rsidR="005322A4" w:rsidRPr="00BB3266" w:rsidRDefault="005322A4" w:rsidP="00BB3266">
            <w:pPr>
              <w:tabs>
                <w:tab w:val="left" w:pos="5580"/>
              </w:tabs>
              <w:spacing w:line="276" w:lineRule="auto"/>
              <w:ind w:left="360"/>
              <w:rPr>
                <w:b w:val="0"/>
                <w:bCs w:val="0"/>
                <w:i/>
                <w:iCs/>
              </w:rPr>
            </w:pPr>
            <w:r w:rsidRPr="00BB3266">
              <w:rPr>
                <w:b w:val="0"/>
                <w:bCs w:val="0"/>
                <w:i/>
                <w:iCs/>
              </w:rPr>
              <w:t>cs (h): Wspieranie aktywnego włączenia społecznego w celu promowania równości szans, niedyskryminacji i aktywnego uczestnictwa, oraz zwiększanie zdolności do zatrudnienia, w szczególności grup w niekorzystnej sytuacji</w:t>
            </w:r>
          </w:p>
        </w:tc>
      </w:tr>
      <w:tr w:rsidR="005322A4" w:rsidRPr="004C6C5B" w14:paraId="060A8F82"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61864ABD"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77EE24E6"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76CC1098"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5E301CC1" w14:textId="77777777" w:rsidR="005322A4" w:rsidRPr="00BB3266" w:rsidRDefault="005322A4" w:rsidP="00BB3266">
            <w:pPr>
              <w:tabs>
                <w:tab w:val="left" w:pos="5265"/>
              </w:tabs>
              <w:spacing w:line="276" w:lineRule="auto"/>
              <w:ind w:left="360"/>
              <w:rPr>
                <w:b w:val="0"/>
                <w:bCs w:val="0"/>
                <w:i/>
                <w:iCs/>
              </w:rPr>
            </w:pPr>
            <w:r w:rsidRPr="00BB3266">
              <w:rPr>
                <w:b w:val="0"/>
                <w:bCs w:val="0"/>
                <w:i/>
                <w:iCs/>
              </w:rPr>
              <w:t>cs (i): Wspieranie integracji społeczno-gospodarczej obywateli państw trzecich, w tym migrantów</w:t>
            </w:r>
          </w:p>
        </w:tc>
      </w:tr>
      <w:tr w:rsidR="005322A4" w:rsidRPr="004C6C5B" w14:paraId="1E3A982C"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0DA59A6C"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2521D6CF"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345F58D5"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48EC82B6" w14:textId="77777777" w:rsidR="005322A4" w:rsidRPr="00BB3266" w:rsidRDefault="005322A4" w:rsidP="00BB3266">
            <w:pPr>
              <w:tabs>
                <w:tab w:val="left" w:pos="5745"/>
              </w:tabs>
              <w:spacing w:line="276" w:lineRule="auto"/>
              <w:ind w:left="360"/>
              <w:rPr>
                <w:b w:val="0"/>
                <w:bCs w:val="0"/>
                <w:iCs/>
              </w:rPr>
            </w:pPr>
            <w:r w:rsidRPr="00BB3266">
              <w:rPr>
                <w:b w:val="0"/>
                <w:bCs w:val="0"/>
                <w:i/>
                <w:iCs/>
              </w:rPr>
              <w:t>cs (k): Zwiększanie równego i szybkiego dostępu do dobrej jakości, trwałych i przystępnych cenowo usług, w tym usług, które promują dostęp do mieszkań oraz opieki</w:t>
            </w:r>
            <w:r w:rsidRPr="00BB3266">
              <w:rPr>
                <w:b w:val="0"/>
                <w:bCs w:val="0"/>
                <w:iCs/>
              </w:rPr>
              <w:t xml:space="preserve"> </w:t>
            </w:r>
            <w:r w:rsidRPr="00BB3266">
              <w:rPr>
                <w:b w:val="0"/>
                <w:bCs w:val="0"/>
                <w:i/>
                <w:iCs/>
              </w:rPr>
              <w:t>skoncentrowanej na osobie, w tym opieki zdrowotnej; modernizacja systemów ochrony socjalnej, w tym promowanie dostępu do ochrony socjalnej, ze szczególnym uwzględnieniem dzieci i grup w niekorzystnej sytuacji; poprawa dostępności, w tym dla osób z niepełnosprawnościami, skuteczności i odporności systemów ochrony zdrowia i usług opieki długoterminowej</w:t>
            </w:r>
          </w:p>
        </w:tc>
      </w:tr>
      <w:tr w:rsidR="005322A4" w:rsidRPr="004C6C5B" w14:paraId="49C7B258"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48DFBF9E"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4AC6DAE0"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7B3A3D39"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0D11B430" w14:textId="77777777" w:rsidR="005322A4" w:rsidRPr="00BB3266" w:rsidRDefault="005322A4" w:rsidP="00BB3266">
            <w:pPr>
              <w:tabs>
                <w:tab w:val="left" w:pos="6315"/>
              </w:tabs>
              <w:spacing w:line="276" w:lineRule="auto"/>
              <w:ind w:left="360"/>
              <w:rPr>
                <w:b w:val="0"/>
                <w:bCs w:val="0"/>
                <w:i/>
                <w:iCs/>
              </w:rPr>
            </w:pPr>
            <w:r w:rsidRPr="00BB3266">
              <w:rPr>
                <w:b w:val="0"/>
                <w:bCs w:val="0"/>
                <w:i/>
                <w:iCs/>
              </w:rPr>
              <w:t>cs (l): Wspieranie integracji społecznej osób zagrożonych ubóstwem lub wykluczeniem społecznym, w tym osób najbardziej potrzebujących i dzieci (EFS+)</w:t>
            </w:r>
          </w:p>
        </w:tc>
      </w:tr>
      <w:tr w:rsidR="005322A4" w:rsidRPr="004C6C5B" w14:paraId="55AA5847" w14:textId="77777777" w:rsidTr="00057B9A">
        <w:tc>
          <w:tcPr>
            <w:cnfStyle w:val="001000000000" w:firstRow="0" w:lastRow="0" w:firstColumn="1" w:lastColumn="0" w:oddVBand="0" w:evenVBand="0" w:oddHBand="0" w:evenHBand="0" w:firstRowFirstColumn="0" w:firstRowLastColumn="0" w:lastRowFirstColumn="0" w:lastRowLastColumn="0"/>
            <w:tcW w:w="5670" w:type="dxa"/>
          </w:tcPr>
          <w:p w14:paraId="044B9EDC"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641A07CE" w14:textId="77777777" w:rsidR="005322A4" w:rsidRPr="00BB3266" w:rsidRDefault="005322A4" w:rsidP="00BB3266">
            <w:pPr>
              <w:spacing w:line="276" w:lineRule="auto"/>
              <w:ind w:left="360"/>
              <w:jc w:val="center"/>
              <w:cnfStyle w:val="000000000000" w:firstRow="0" w:lastRow="0" w:firstColumn="0" w:lastColumn="0" w:oddVBand="0" w:evenVBand="0" w:oddHBand="0" w:evenHBand="0" w:firstRowFirstColumn="0" w:firstRowLastColumn="0" w:lastRowFirstColumn="0" w:lastRowLastColumn="0"/>
              <w:rPr>
                <w:iCs/>
              </w:rPr>
            </w:pPr>
            <w:r w:rsidRPr="00BB3266">
              <w:rPr>
                <w:iCs/>
              </w:rPr>
              <w:t>Brak negatywnego wpływu na środowisko</w:t>
            </w:r>
          </w:p>
        </w:tc>
      </w:tr>
      <w:tr w:rsidR="005322A4" w:rsidRPr="004C6C5B" w14:paraId="213128A4"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B7DFA8" w:themeFill="accent1" w:themeFillTint="66"/>
          </w:tcPr>
          <w:p w14:paraId="030991F5" w14:textId="77777777" w:rsidR="005322A4" w:rsidRPr="00BB3266" w:rsidRDefault="005322A4" w:rsidP="00BB3266">
            <w:pPr>
              <w:spacing w:line="276" w:lineRule="auto"/>
              <w:ind w:left="360"/>
              <w:rPr>
                <w:b w:val="0"/>
                <w:bCs w:val="0"/>
                <w:iCs/>
              </w:rPr>
            </w:pPr>
            <w:r w:rsidRPr="00BB3266">
              <w:rPr>
                <w:b w:val="0"/>
                <w:bCs w:val="0"/>
                <w:iCs/>
              </w:rPr>
              <w:t>Priorytet 7. Fundusze Europejskie na rzecz partnerskiego Pomorza Zachodniego</w:t>
            </w:r>
          </w:p>
        </w:tc>
      </w:tr>
      <w:tr w:rsidR="005322A4" w:rsidRPr="004C6C5B" w14:paraId="34779B6A"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DAEFD3" w:themeFill="accent1" w:themeFillTint="33"/>
          </w:tcPr>
          <w:p w14:paraId="75F0DDBD" w14:textId="77777777" w:rsidR="005322A4" w:rsidRPr="00BB3266" w:rsidRDefault="005322A4" w:rsidP="00BB3266">
            <w:pPr>
              <w:spacing w:line="276" w:lineRule="auto"/>
              <w:ind w:left="360"/>
              <w:rPr>
                <w:b w:val="0"/>
                <w:bCs w:val="0"/>
                <w:i/>
                <w:iCs/>
              </w:rPr>
            </w:pPr>
            <w:r w:rsidRPr="00BB3266">
              <w:rPr>
                <w:b w:val="0"/>
                <w:bCs w:val="0"/>
                <w:i/>
                <w:iCs/>
              </w:rPr>
              <w:t>cs (i): Wspieranie zintegrowanego i sprzyjającego włączeniu społecznemu rozwoju społecznego, gospodarczego i środowiskowego, kultury, dziedzictwa naturalnego, zrównoważonej turystyki i bezpieczeństwa na obszarach miejskich</w:t>
            </w:r>
          </w:p>
        </w:tc>
      </w:tr>
      <w:tr w:rsidR="005322A4" w:rsidRPr="004C6C5B" w14:paraId="7BEB7796"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6B91FFCE" w14:textId="77777777" w:rsidR="005322A4" w:rsidRPr="00BB3266" w:rsidRDefault="005322A4" w:rsidP="00BB3266">
            <w:pPr>
              <w:spacing w:line="276" w:lineRule="auto"/>
              <w:ind w:left="360"/>
              <w:jc w:val="center"/>
              <w:rPr>
                <w:b w:val="0"/>
                <w:bCs w:val="0"/>
                <w:iCs/>
              </w:rPr>
            </w:pPr>
            <w:r w:rsidRPr="00BB3266">
              <w:rPr>
                <w:b w:val="0"/>
                <w:bCs w:val="0"/>
                <w:iCs/>
              </w:rPr>
              <w:t>Nie przewiduje się możliwości realizacji przedsięwzięć międzyregionalnych, transgranicznych ani transnarodowych. Na etapie tworzenia programu nie zidentyfikowano propozycji wychodzących poza obszar geograficzny programu regionalnego.</w:t>
            </w:r>
          </w:p>
        </w:tc>
        <w:tc>
          <w:tcPr>
            <w:tcW w:w="3402" w:type="dxa"/>
          </w:tcPr>
          <w:p w14:paraId="5B0F7AEB" w14:textId="77777777" w:rsidR="005322A4" w:rsidRPr="00BB3266" w:rsidRDefault="005322A4" w:rsidP="00BB3266">
            <w:pPr>
              <w:spacing w:line="276" w:lineRule="auto"/>
              <w:ind w:left="360"/>
              <w:jc w:val="center"/>
              <w:cnfStyle w:val="000000100000" w:firstRow="0" w:lastRow="0" w:firstColumn="0" w:lastColumn="0" w:oddVBand="0" w:evenVBand="0" w:oddHBand="1" w:evenHBand="0" w:firstRowFirstColumn="0" w:firstRowLastColumn="0" w:lastRowFirstColumn="0" w:lastRowLastColumn="0"/>
              <w:rPr>
                <w:iCs/>
              </w:rPr>
            </w:pPr>
            <w:r w:rsidRPr="00BB3266">
              <w:rPr>
                <w:iCs/>
              </w:rPr>
              <w:t>Brak negatywnego wpływu na środowisko</w:t>
            </w:r>
          </w:p>
        </w:tc>
      </w:tr>
      <w:tr w:rsidR="005322A4" w:rsidRPr="004C6C5B" w14:paraId="27FED2AF"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B7DFA8" w:themeFill="accent1" w:themeFillTint="66"/>
          </w:tcPr>
          <w:p w14:paraId="1357BD1E" w14:textId="77777777" w:rsidR="005322A4" w:rsidRPr="00BB3266" w:rsidRDefault="005322A4" w:rsidP="00BB3266">
            <w:pPr>
              <w:tabs>
                <w:tab w:val="left" w:pos="5460"/>
              </w:tabs>
              <w:spacing w:line="276" w:lineRule="auto"/>
              <w:ind w:left="360"/>
              <w:rPr>
                <w:b w:val="0"/>
                <w:bCs w:val="0"/>
                <w:iCs/>
              </w:rPr>
            </w:pPr>
            <w:r w:rsidRPr="00BB3266">
              <w:rPr>
                <w:b w:val="0"/>
                <w:bCs w:val="0"/>
                <w:iCs/>
              </w:rPr>
              <w:t>Priorytet 8. Pomoc techniczna (EFRR)</w:t>
            </w:r>
          </w:p>
        </w:tc>
      </w:tr>
      <w:tr w:rsidR="005322A4" w:rsidRPr="004C6C5B" w14:paraId="0B162D08"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75E5528C" w14:textId="77777777" w:rsidR="005322A4" w:rsidRPr="00BB3266" w:rsidRDefault="005322A4" w:rsidP="00BB3266">
            <w:pPr>
              <w:spacing w:line="276" w:lineRule="auto"/>
              <w:ind w:left="360"/>
              <w:jc w:val="center"/>
              <w:rPr>
                <w:b w:val="0"/>
                <w:bCs w:val="0"/>
                <w:iCs/>
              </w:rPr>
            </w:pPr>
            <w:r w:rsidRPr="00BB3266">
              <w:rPr>
                <w:b w:val="0"/>
                <w:bCs w:val="0"/>
                <w:iCs/>
              </w:rPr>
              <w:t>Charakter działań przewidzianych do realizacji w ramach w/w priorytetu wyklucza możliwość wystąpienia oddziaływań o charakterze międzyregionalnych, transgranicznych oraz transnarodowych.</w:t>
            </w:r>
          </w:p>
        </w:tc>
        <w:tc>
          <w:tcPr>
            <w:tcW w:w="3402" w:type="dxa"/>
          </w:tcPr>
          <w:p w14:paraId="799CAFEE" w14:textId="77777777" w:rsidR="005322A4" w:rsidRPr="00BB3266" w:rsidRDefault="005322A4" w:rsidP="00BB3266">
            <w:pPr>
              <w:spacing w:line="276" w:lineRule="auto"/>
              <w:ind w:left="360"/>
              <w:jc w:val="center"/>
              <w:cnfStyle w:val="000000100000" w:firstRow="0" w:lastRow="0" w:firstColumn="0" w:lastColumn="0" w:oddVBand="0" w:evenVBand="0" w:oddHBand="1" w:evenHBand="0" w:firstRowFirstColumn="0" w:firstRowLastColumn="0" w:lastRowFirstColumn="0" w:lastRowLastColumn="0"/>
              <w:rPr>
                <w:iCs/>
              </w:rPr>
            </w:pPr>
            <w:r w:rsidRPr="00BB3266">
              <w:rPr>
                <w:iCs/>
              </w:rPr>
              <w:t>Brak negatywnego wpływu na środowisko</w:t>
            </w:r>
          </w:p>
        </w:tc>
      </w:tr>
      <w:tr w:rsidR="005322A4" w:rsidRPr="004C6C5B" w14:paraId="289A857F" w14:textId="77777777" w:rsidTr="00057B9A">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B7DFA8" w:themeFill="accent1" w:themeFillTint="66"/>
          </w:tcPr>
          <w:p w14:paraId="6CCA5136" w14:textId="77777777" w:rsidR="005322A4" w:rsidRPr="00BB3266" w:rsidRDefault="005322A4" w:rsidP="00BB3266">
            <w:pPr>
              <w:tabs>
                <w:tab w:val="left" w:pos="5220"/>
              </w:tabs>
              <w:spacing w:line="276" w:lineRule="auto"/>
              <w:ind w:left="360"/>
              <w:rPr>
                <w:b w:val="0"/>
                <w:bCs w:val="0"/>
                <w:iCs/>
              </w:rPr>
            </w:pPr>
            <w:r w:rsidRPr="00BB3266">
              <w:rPr>
                <w:b w:val="0"/>
                <w:bCs w:val="0"/>
                <w:iCs/>
              </w:rPr>
              <w:t>Priorytet 9. Pomoc techniczna (EFS)</w:t>
            </w:r>
          </w:p>
        </w:tc>
      </w:tr>
      <w:tr w:rsidR="005322A4" w:rsidRPr="004C6C5B" w14:paraId="47BAB587" w14:textId="77777777" w:rsidTr="0005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4B001CCC" w14:textId="77777777" w:rsidR="005322A4" w:rsidRPr="00BB3266" w:rsidRDefault="005322A4" w:rsidP="00BB3266">
            <w:pPr>
              <w:spacing w:line="276" w:lineRule="auto"/>
              <w:ind w:left="360"/>
              <w:jc w:val="center"/>
              <w:rPr>
                <w:b w:val="0"/>
                <w:bCs w:val="0"/>
                <w:iCs/>
              </w:rPr>
            </w:pPr>
            <w:r w:rsidRPr="00BB3266">
              <w:rPr>
                <w:b w:val="0"/>
                <w:bCs w:val="0"/>
                <w:iCs/>
              </w:rPr>
              <w:t>Charakter działań przewidzianych do realizacji w ramach w/w priorytetu wyklucza możliwość wystąpienia oddziaływań o charakterze międzyregionalnych, transgranicznych oraz transnarodowych.</w:t>
            </w:r>
          </w:p>
        </w:tc>
        <w:tc>
          <w:tcPr>
            <w:tcW w:w="3402" w:type="dxa"/>
          </w:tcPr>
          <w:p w14:paraId="5E5D98C5" w14:textId="77777777" w:rsidR="005322A4" w:rsidRPr="00BB3266" w:rsidRDefault="005322A4" w:rsidP="00BB3266">
            <w:pPr>
              <w:spacing w:line="276" w:lineRule="auto"/>
              <w:ind w:left="360"/>
              <w:jc w:val="center"/>
              <w:cnfStyle w:val="000000100000" w:firstRow="0" w:lastRow="0" w:firstColumn="0" w:lastColumn="0" w:oddVBand="0" w:evenVBand="0" w:oddHBand="1" w:evenHBand="0" w:firstRowFirstColumn="0" w:firstRowLastColumn="0" w:lastRowFirstColumn="0" w:lastRowLastColumn="0"/>
              <w:rPr>
                <w:iCs/>
              </w:rPr>
            </w:pPr>
            <w:r w:rsidRPr="00BB3266">
              <w:rPr>
                <w:iCs/>
              </w:rPr>
              <w:t>Brak negatywnego wpływu na środowisko</w:t>
            </w:r>
          </w:p>
        </w:tc>
      </w:tr>
    </w:tbl>
    <w:p w14:paraId="60D2CE76" w14:textId="77777777" w:rsidR="005322A4" w:rsidRPr="005322A4" w:rsidRDefault="005322A4" w:rsidP="005322A4">
      <w:pPr>
        <w:rPr>
          <w:szCs w:val="24"/>
        </w:rPr>
      </w:pPr>
      <w:r w:rsidRPr="005322A4">
        <w:rPr>
          <w:szCs w:val="24"/>
        </w:rPr>
        <w:t>Przedsięwzięcia realizowane w ramach FESPZ 2021 – 2027 w zależności od rodzaju oraz skali będą charakteryzowały się różnym stopniem oddziaływania na poszczególne komponenty środowiska. Dlatego też, zidentyfikowanie charakteru i skali ewentualnych oddziaływań transgranicznych jest trudne ze względu na bardzo ogólne sformułowanie większości obszarów wsparcia, a także brak wskazania konkretnych lokalizacji poszczególnych projektów, które mogą to wsparcie uzyskać w ramach FEPZ 2021-2027. Należy jednak podkreślić, iż</w:t>
      </w:r>
      <w:r w:rsidRPr="005322A4">
        <w:rPr>
          <w:b/>
          <w:szCs w:val="24"/>
        </w:rPr>
        <w:t xml:space="preserve"> żadne z planowanych przedsięwzięć wskazanych w w/w dokumencie nie jest z założenia przedsięwzięciem transgranicznym, międzyregionalnym, czy transnarodowym</w:t>
      </w:r>
      <w:r w:rsidRPr="005322A4">
        <w:rPr>
          <w:szCs w:val="24"/>
        </w:rPr>
        <w:t>.</w:t>
      </w:r>
    </w:p>
    <w:p w14:paraId="12477D94" w14:textId="77777777" w:rsidR="005322A4" w:rsidRPr="005322A4" w:rsidRDefault="005322A4" w:rsidP="005322A4">
      <w:pPr>
        <w:rPr>
          <w:szCs w:val="24"/>
        </w:rPr>
      </w:pPr>
      <w:r w:rsidRPr="005322A4">
        <w:rPr>
          <w:szCs w:val="24"/>
        </w:rPr>
        <w:t xml:space="preserve">Ewentualnym źródłem potencjalnych negatywnych oddziaływań transgranicznych mogą być przedsięwzięcia, realizowane bezpośrednio na lub przy granicy państwa, a także działania realizowane na ciekach czy zlewniach transgranicznych, w tym w szczególności inwestycje związane z budową, rozbudową lub modernizacją infrastruktury technicznej, pod warunkiem, iż w toku analiz stwierdzono by, iż przedsięwzięcia te powodują wystąpienie mierzalnych w skutkach oddziaływań o zasięgu wykraczającym poza teren kraju. Obecny poziom analiz uniemożliwia stwierdzenie wystąpienia tego typu oddziaływań. Należy podkreślić fakt, iż dopiero na podstawie dokładnej analizy charakterystyki poszczególnych inwestycji i ich lokalizacji może być podjęta pełna ocena wykluczająca oddziaływania transgraniczne. Dlatego też w przypadku, gdy w raporcie oddziaływania na środowisko dla konkretnej inwestycji zostanie stwierdzona możliwość wstąpienia oddziaływania transgranicznego, zgodnie z obowiązującymi przepisami indywidualnie dla każdej z inwestycji, konieczne będzie przeprowadzenie stosownego postępowania transgranicznego w stosunku do takiego projektu. </w:t>
      </w:r>
    </w:p>
    <w:p w14:paraId="5BA96224" w14:textId="77777777" w:rsidR="005322A4" w:rsidRPr="005322A4" w:rsidRDefault="005322A4" w:rsidP="005322A4">
      <w:pPr>
        <w:rPr>
          <w:b/>
          <w:szCs w:val="24"/>
        </w:rPr>
      </w:pPr>
      <w:r w:rsidRPr="005322A4">
        <w:rPr>
          <w:b/>
          <w:szCs w:val="24"/>
        </w:rPr>
        <w:t>Uwzględniając fakt, iż działania planowane do realizacji w ramach FEPZ 2021-2027 będą sprzyjały poprawie stanu środowiska naturalnego oraz adaptacji do zmian klimatu</w:t>
      </w:r>
      <w:r w:rsidRPr="005322A4">
        <w:rPr>
          <w:szCs w:val="24"/>
        </w:rPr>
        <w:t xml:space="preserve">, w szczególności: rozwój OZE, zmniejszenie emisji zanieczyszczeń, poprawa gospodarki wodno-ściekowej i odpadowej, działania w obszarze rekultywacji i remediacji gruntów, rozwój gospodarki o obiegu zamkniętym, działania na rzecz ochrony przyrody i zachowania bioróżnorodności, a także ochrona dóbr kultury i promowanie proekologicznych zachowań i postaw obywatelskich, </w:t>
      </w:r>
      <w:r w:rsidRPr="005322A4">
        <w:rPr>
          <w:b/>
          <w:szCs w:val="24"/>
        </w:rPr>
        <w:t>można stwierdzić, i ż</w:t>
      </w:r>
      <w:r w:rsidRPr="005322A4">
        <w:rPr>
          <w:szCs w:val="24"/>
        </w:rPr>
        <w:t xml:space="preserve"> </w:t>
      </w:r>
      <w:r w:rsidRPr="005322A4">
        <w:rPr>
          <w:b/>
          <w:szCs w:val="24"/>
        </w:rPr>
        <w:t>zdecydowana większość podejmowanych w ramach FEPZ 2021-2027 inwestycji będzie miała pozytywny wpływ na obszary sąsiadujące i/lub graniczące z woj. zachodniopomorskim.</w:t>
      </w:r>
    </w:p>
    <w:p w14:paraId="0C26F4F2" w14:textId="77777777" w:rsidR="005322A4" w:rsidRPr="005322A4" w:rsidRDefault="005322A4" w:rsidP="005322A4">
      <w:pPr>
        <w:rPr>
          <w:szCs w:val="24"/>
        </w:rPr>
      </w:pPr>
      <w:r w:rsidRPr="005322A4">
        <w:rPr>
          <w:szCs w:val="24"/>
        </w:rPr>
        <w:t xml:space="preserve">W aspekcie środowiskowym, istotnym jest również fakt, iż działania planowane do realizacji w ramach FEPZ 2021-2027 będą w sposób pośredni lub bezpośredni przyczyniały się do realizacji celów </w:t>
      </w:r>
      <w:r w:rsidRPr="005322A4">
        <w:rPr>
          <w:i/>
          <w:szCs w:val="24"/>
        </w:rPr>
        <w:t>Strategii UE dla regionu Morza Bałtyckiego</w:t>
      </w:r>
      <w:r w:rsidRPr="005322A4">
        <w:rPr>
          <w:szCs w:val="24"/>
        </w:rPr>
        <w:t xml:space="preserve"> (SUERMB)</w:t>
      </w:r>
      <w:r>
        <w:rPr>
          <w:rStyle w:val="Odwoanieprzypisudolnego"/>
          <w:szCs w:val="24"/>
        </w:rPr>
        <w:footnoteReference w:id="33"/>
      </w:r>
      <w:r w:rsidRPr="005322A4">
        <w:rPr>
          <w:szCs w:val="24"/>
        </w:rPr>
        <w:t xml:space="preserve"> stanowiącej jedną z 4 strategii makroregionalnych wdrażanych na obszarze UE. Strategia opiera jest na trzech głównych filarach tematycznych (tj. ochrona morza, wzrost integracji regionu i wzrost dobrobytu oraz podstawie horyzontalnej). Realizacja działań w ramach poszczególnych </w:t>
      </w:r>
      <w:r w:rsidRPr="005322A4">
        <w:rPr>
          <w:i/>
          <w:szCs w:val="24"/>
        </w:rPr>
        <w:t xml:space="preserve">(sc) </w:t>
      </w:r>
      <w:r w:rsidRPr="005322A4">
        <w:rPr>
          <w:szCs w:val="24"/>
        </w:rPr>
        <w:t>wskazanych w FEPZ 2021-2027, poprzez wdrażanie i promowanie innowacyjnych, zasobooszczędnych i energooszczędnych technologii, wpłynie na realizację celów wskazanych w SUERMB ze szczególnym uwzględnieniem obszarów tematycznych, w których Polska pełni rolę współkoordynatora (OT: Biogeny - „Redukcja zrzutów substancji biogennych do morza do akceptowalnego poziomu”; OT: Innowacje - „Pełne wykorzystanie potencjału regionu w zakresie badań, innowacyjności oraz SME”).</w:t>
      </w:r>
    </w:p>
    <w:p w14:paraId="4D8F90AD" w14:textId="57CE4AC6" w:rsidR="005322A4" w:rsidRPr="005322A4" w:rsidRDefault="005322A4" w:rsidP="005322A4">
      <w:pPr>
        <w:rPr>
          <w:b/>
          <w:szCs w:val="22"/>
        </w:rPr>
      </w:pPr>
      <w:r w:rsidRPr="005322A4">
        <w:rPr>
          <w:szCs w:val="22"/>
        </w:rPr>
        <w:t xml:space="preserve">Reasumując, na podstawie wyników przeprowadzonych analiz i ocen oddziaływania przedstawionych w tabeli powyżej, można stwierdzić, iż w przypadku całości analizowanego </w:t>
      </w:r>
      <w:r w:rsidRPr="005322A4">
        <w:rPr>
          <w:iCs/>
          <w:szCs w:val="22"/>
        </w:rPr>
        <w:t>programu</w:t>
      </w:r>
      <w:r w:rsidRPr="005322A4">
        <w:rPr>
          <w:i/>
          <w:iCs/>
          <w:szCs w:val="22"/>
        </w:rPr>
        <w:t xml:space="preserve"> </w:t>
      </w:r>
      <w:r w:rsidRPr="005322A4">
        <w:rPr>
          <w:szCs w:val="22"/>
        </w:rPr>
        <w:t>Fundusze Europejskie dla Pomorza Zachodniego 2021-2027 (FEPZ 2021-2027</w:t>
      </w:r>
      <w:r w:rsidRPr="005322A4">
        <w:rPr>
          <w:i/>
          <w:szCs w:val="22"/>
        </w:rPr>
        <w:t>)</w:t>
      </w:r>
      <w:r w:rsidRPr="005322A4">
        <w:rPr>
          <w:szCs w:val="22"/>
        </w:rPr>
        <w:t>,</w:t>
      </w:r>
      <w:r w:rsidRPr="005322A4">
        <w:rPr>
          <w:b/>
          <w:szCs w:val="22"/>
        </w:rPr>
        <w:t xml:space="preserve"> brak jest podstaw do jednoznacznej identyfikacji ryzyka wystąpienia znaczących negatywnych oddziaływań na kraje sąsiadujące, które zgodnie z artykułem 104 ustawy OOŚ, implikowałyby konieczność przeprowadzenia dla niego tzw. postępowania w sprawie transgranicznego oddziaływania na środowisko.</w:t>
      </w:r>
    </w:p>
    <w:p w14:paraId="10B3DE81" w14:textId="2B264B6B" w:rsidR="00263227" w:rsidRDefault="00AD7480" w:rsidP="00B83214">
      <w:pPr>
        <w:pStyle w:val="Nagwek1"/>
        <w:numPr>
          <w:ilvl w:val="0"/>
          <w:numId w:val="4"/>
        </w:numPr>
        <w:rPr>
          <w:caps w:val="0"/>
          <w:sz w:val="32"/>
          <w:szCs w:val="24"/>
        </w:rPr>
      </w:pPr>
      <w:bookmarkStart w:id="62" w:name="_Toc104790642"/>
      <w:r w:rsidRPr="00B347C5">
        <w:rPr>
          <w:caps w:val="0"/>
          <w:sz w:val="32"/>
          <w:szCs w:val="24"/>
        </w:rPr>
        <w:t>ROZWIĄZANIA MAJĄCE NA CELU ZAPOBIEGANIE, OGRANICZANIE LUB KOMPENSACJĘ PRZYRODNICZĄ NEGATYWNYCH ODDZIAŁYWAŃ NA ŚRODOWISKO</w:t>
      </w:r>
      <w:bookmarkEnd w:id="55"/>
      <w:bookmarkEnd w:id="62"/>
    </w:p>
    <w:p w14:paraId="5C00F914" w14:textId="45977975" w:rsidR="00C64385" w:rsidRPr="009339A3" w:rsidRDefault="00C64385" w:rsidP="00C64385">
      <w:r w:rsidRPr="00B615E3">
        <w:t>Analiza skutków środowiskowych przedsięwzięć</w:t>
      </w:r>
      <w:r>
        <w:t xml:space="preserve"> przewidzianych do realizacji/</w:t>
      </w:r>
      <w:r w:rsidRPr="00B615E3">
        <w:t xml:space="preserve">wsparcia ze środków publicznych w ramach Programu </w:t>
      </w:r>
      <w:r>
        <w:t xml:space="preserve">FEPZ 2021-2027 </w:t>
      </w:r>
      <w:r w:rsidRPr="00B615E3">
        <w:t>szczegółowo przedstawiona w rozdziale 5 wykazała, że negatywne oddziaływanie będzie występowało głównie na etapie realizacji nowych przedsięwzięć inwestycyjnych w ramach</w:t>
      </w:r>
      <w:r w:rsidRPr="00B615E3">
        <w:rPr>
          <w:rFonts w:eastAsia="Times New Roman" w:cstheme="minorHAnsi"/>
          <w:color w:val="353838"/>
          <w:szCs w:val="24"/>
        </w:rPr>
        <w:t xml:space="preserve"> </w:t>
      </w:r>
      <w:r w:rsidRPr="00B615E3">
        <w:t xml:space="preserve">Priorytetu 3. </w:t>
      </w:r>
      <w:r w:rsidRPr="00B615E3">
        <w:rPr>
          <w:b/>
          <w:i/>
        </w:rPr>
        <w:t>FUNDUSZE EUROPEJSKIE NA RZECZ MOBILNEGO POMORZA ZACHODNIEGO</w:t>
      </w:r>
      <w:r w:rsidRPr="00564159">
        <w:rPr>
          <w:b/>
        </w:rPr>
        <w:t xml:space="preserve"> </w:t>
      </w:r>
      <w:r w:rsidRPr="00564159">
        <w:t>i</w:t>
      </w:r>
      <w:r>
        <w:rPr>
          <w:b/>
          <w:i/>
        </w:rPr>
        <w:t xml:space="preserve"> </w:t>
      </w:r>
      <w:r w:rsidRPr="00530820">
        <w:rPr>
          <w:rFonts w:eastAsia="Times New Roman" w:cstheme="minorHAnsi"/>
          <w:szCs w:val="24"/>
        </w:rPr>
        <w:t>Priorytet</w:t>
      </w:r>
      <w:r>
        <w:rPr>
          <w:rFonts w:eastAsia="Times New Roman" w:cstheme="minorHAnsi"/>
          <w:szCs w:val="24"/>
        </w:rPr>
        <w:t>u</w:t>
      </w:r>
      <w:r w:rsidRPr="00530820">
        <w:rPr>
          <w:rFonts w:eastAsia="Times New Roman" w:cstheme="minorHAnsi"/>
          <w:szCs w:val="24"/>
        </w:rPr>
        <w:t xml:space="preserve"> 4. </w:t>
      </w:r>
      <w:r w:rsidRPr="00530820">
        <w:rPr>
          <w:rFonts w:eastAsia="Times New Roman" w:cstheme="minorHAnsi"/>
          <w:b/>
          <w:i/>
          <w:szCs w:val="24"/>
        </w:rPr>
        <w:t>FUNDUSZE EUROPEJSKIE NA RZECZ POŁĄCZONEGO POMORZA ZACHODNIEGO</w:t>
      </w:r>
      <w:r>
        <w:rPr>
          <w:rFonts w:eastAsia="Times New Roman" w:cstheme="minorHAnsi"/>
          <w:b/>
          <w:i/>
          <w:szCs w:val="24"/>
        </w:rPr>
        <w:t xml:space="preserve">. </w:t>
      </w:r>
      <w:r w:rsidRPr="009339A3">
        <w:t>Potencjalne negatywne oddziaływania będą miały zarówno charakter negatywnych oddziaływań krótkoterminowych, związanych z pracami na etapie budowy inwestycji</w:t>
      </w:r>
      <w:r>
        <w:t xml:space="preserve"> (m.in dróg, obwodnic,</w:t>
      </w:r>
      <w:r w:rsidRPr="009339A3">
        <w:t xml:space="preserve"> centrów przesiadkowych, obiektów P&amp;R, infrastruktury dla ruchu pieszego czy dróg rowerowych i pieszo-rowerowych</w:t>
      </w:r>
      <w:r>
        <w:rPr>
          <w:rFonts w:eastAsia="Times New Roman" w:cstheme="minorHAnsi"/>
          <w:color w:val="353838"/>
          <w:szCs w:val="24"/>
        </w:rPr>
        <w:t>)</w:t>
      </w:r>
      <w:r w:rsidRPr="009339A3">
        <w:t xml:space="preserve">, jak i oddziaływań długoterminowych wskutek oddziaływania nowo wybudowanych lub przebudowanych dróg o charakterze </w:t>
      </w:r>
      <w:r>
        <w:t>wojewódzkim, powiatowym i gminnym</w:t>
      </w:r>
      <w:r w:rsidRPr="009339A3">
        <w:t xml:space="preserve"> na poszczególne elementy środowiska (środowisko przyrodnicze, powietrze, wody, z</w:t>
      </w:r>
      <w:r>
        <w:t xml:space="preserve">iemię, zasoby naturalne), </w:t>
      </w:r>
      <w:r w:rsidRPr="009339A3">
        <w:t>na krajobraz, klimat, zdrowie mieszkańców oraz jakość ich życia, a także na obiekty budowlane, w tym obiekty zabytkowe i dobra kultury. Przewiduje się, że oddziaływania krótkoterminowe ustąpią wraz zakończeniem prac budowlanych, a stan poszczególnych komponentów środowiska (np. powierzchni ziemi) zostanie przywrócony do pierwotnego. Dla oddziaływań długoterminowych wskazane jest zastosowanie działań minimalizujących, jak np. stosowanie ekranów akustycznych w celu ograniczenia oddziaływania inwestycji liniowych na klimat akustyczny, implementację przejść dla zwierząt z uwzględnieniem zarówno dużych zwierząt, jak i mniejszych ssaków, ryb czy płazów.</w:t>
      </w:r>
      <w:r>
        <w:t xml:space="preserve"> W celu minimalizacji oddziaływań na zasoby przyrody wskazane jest o</w:t>
      </w:r>
      <w:r w:rsidRPr="00564159">
        <w:t>graniczenie zajęcia terenu pod inwestycję</w:t>
      </w:r>
      <w:r>
        <w:t xml:space="preserve"> do minimum, </w:t>
      </w:r>
      <w:r w:rsidRPr="00564159">
        <w:t>unikanie kolizji z obszarami przyrodniczo cennymi</w:t>
      </w:r>
      <w:r>
        <w:t xml:space="preserve"> na etapie planowania inwestycji</w:t>
      </w:r>
      <w:r w:rsidRPr="00564159">
        <w:t>,</w:t>
      </w:r>
      <w:r>
        <w:t xml:space="preserve"> a także uprzednia inwentaryzac</w:t>
      </w:r>
      <w:r w:rsidRPr="00564159">
        <w:t>ja przyrodnicza przeprowadzona w okresie umożliwiającym identyfikację występujących na terenie gatunków roślin i zwierząt oraz wystarczającym do oceny znaczenia tego obszaru dla bioróżnorodności i chronionych gatunków</w:t>
      </w:r>
      <w:r>
        <w:t xml:space="preserve">. </w:t>
      </w:r>
      <w:r w:rsidRPr="009339A3">
        <w:t xml:space="preserve">Szczegółowo, działania minimalizujące dla zidentyfikowanych negatywnych oddziaływań krótko- i długoterminowych dla działań </w:t>
      </w:r>
      <w:r w:rsidRPr="009D3A95">
        <w:t>inwestycyjnych podejmowanych</w:t>
      </w:r>
      <w:r w:rsidRPr="009D3A95">
        <w:rPr>
          <w:rFonts w:cstheme="minorHAnsi"/>
        </w:rPr>
        <w:t xml:space="preserve"> w ramach projektów Priorytetu 3 i 4 omówiono w tabeli w załączniku </w:t>
      </w:r>
      <w:r w:rsidR="006E38B9">
        <w:rPr>
          <w:rFonts w:cstheme="minorHAnsi"/>
        </w:rPr>
        <w:t>4</w:t>
      </w:r>
      <w:r w:rsidRPr="009D3A95">
        <w:rPr>
          <w:rFonts w:cstheme="minorHAnsi"/>
        </w:rPr>
        <w:t>.</w:t>
      </w:r>
    </w:p>
    <w:p w14:paraId="2C60493C" w14:textId="35E188ED" w:rsidR="00C64385" w:rsidRPr="009339A3" w:rsidRDefault="00C64385" w:rsidP="00C64385">
      <w:pPr>
        <w:rPr>
          <w:rFonts w:cstheme="minorHAnsi"/>
          <w:szCs w:val="24"/>
        </w:rPr>
      </w:pPr>
      <w:r w:rsidRPr="009339A3">
        <w:rPr>
          <w:rFonts w:cstheme="minorHAnsi"/>
          <w:szCs w:val="24"/>
        </w:rPr>
        <w:t xml:space="preserve">Działania inwestycyjne mogące powodować negatywne oddziaływanie prowadzone będą też w ramach Priorytetu 2. </w:t>
      </w:r>
      <w:r w:rsidRPr="009339A3">
        <w:rPr>
          <w:rFonts w:cstheme="minorHAnsi"/>
          <w:b/>
          <w:i/>
          <w:szCs w:val="24"/>
        </w:rPr>
        <w:t>FUNDUSZE EUROPEJSKIE NA RZECZ ZIELONEGO POMORZA ZACHODNIEGO</w:t>
      </w:r>
      <w:r w:rsidRPr="009339A3">
        <w:rPr>
          <w:rFonts w:cstheme="minorHAnsi"/>
          <w:szCs w:val="24"/>
        </w:rPr>
        <w:t xml:space="preserve">, w tym w szczególności działania obejmujące modernizację energetyczną budynków, rozbudowę/budowę/modernizację sieci ciepłowniczych i chłodniczych, budowę i rozbudowę odnawialnych źródeł energii w zakresie wytwarzania energii elektrycznej i cieplnej. Do zidentyfikowanych krótkoterminowych oddziaływań negatywnych (opisanych szczegółowo w rozdziale 5) zaliczono: płoszenie zwierząt na skutek hałasu i nadmiernego oświetlenia placu budowy, wycinkę drzew i krzewów, emisje zanieczyszczeń pyłowych do powietrza, a także innych zanieczyszczeń do powietrza, wód czy gleby, których źródłem mogą być maszyny pracujące na budowie. Krótkoterminowe oddziaływania związane będą też ze zmianami w krajobrazie (chaos przestrzenny), a prowadzone prace budowlane mogą być źródłem uciążliwości dla mieszkańców (hałas, emisje zanieczyszczeń, zanieczyszczenie światłem). Zakłada się, że oddziaływania te ustąpią wraz z zakończeniem budowy. </w:t>
      </w:r>
      <w:r>
        <w:rPr>
          <w:rFonts w:cstheme="minorHAnsi"/>
        </w:rPr>
        <w:t>Należy także zaznaczyć, iż d</w:t>
      </w:r>
      <w:r w:rsidRPr="00C2001B">
        <w:rPr>
          <w:rFonts w:cstheme="minorHAnsi"/>
        </w:rPr>
        <w:t xml:space="preserve">ziałania </w:t>
      </w:r>
      <w:r>
        <w:rPr>
          <w:rFonts w:cstheme="minorHAnsi"/>
        </w:rPr>
        <w:t>obejmujące</w:t>
      </w:r>
      <w:r w:rsidR="00D4052B">
        <w:rPr>
          <w:rFonts w:cstheme="minorHAnsi"/>
        </w:rPr>
        <w:t xml:space="preserve"> </w:t>
      </w:r>
      <w:r>
        <w:rPr>
          <w:rFonts w:cstheme="minorHAnsi"/>
        </w:rPr>
        <w:t xml:space="preserve">termomodernizacje oraz instalacje urządzeń OZE </w:t>
      </w:r>
      <w:r w:rsidRPr="00C2001B">
        <w:rPr>
          <w:rFonts w:cstheme="minorHAnsi"/>
        </w:rPr>
        <w:t xml:space="preserve">mogą potencjalnie stanowić zagrożenie dla chronionych gatunków ptaków i nietoperzy. Dlatego </w:t>
      </w:r>
      <w:r>
        <w:rPr>
          <w:rFonts w:cstheme="minorHAnsi"/>
        </w:rPr>
        <w:t>podczas realizacji tego typu prac</w:t>
      </w:r>
      <w:r w:rsidRPr="00C2001B">
        <w:rPr>
          <w:rFonts w:cstheme="minorHAnsi"/>
        </w:rPr>
        <w:t xml:space="preserve"> szczególną uwagę należy zwrócić na występowanie miejsc lęgowych </w:t>
      </w:r>
      <w:r>
        <w:rPr>
          <w:rFonts w:cstheme="minorHAnsi"/>
        </w:rPr>
        <w:t xml:space="preserve">ptaków: </w:t>
      </w:r>
      <w:r w:rsidRPr="00C2001B">
        <w:rPr>
          <w:rFonts w:cstheme="minorHAnsi"/>
        </w:rPr>
        <w:t>jerzyków zwyczajnych oraz wróbli</w:t>
      </w:r>
      <w:r>
        <w:rPr>
          <w:rFonts w:cstheme="minorHAnsi"/>
        </w:rPr>
        <w:t>, a także na występowanie nietoperzy,</w:t>
      </w:r>
      <w:r>
        <w:rPr>
          <w:rFonts w:cstheme="minorHAnsi"/>
          <w:szCs w:val="24"/>
        </w:rPr>
        <w:t xml:space="preserve"> a prace termomodernizacyjne prowadzić poza okresem lęgowym.</w:t>
      </w:r>
      <w:r w:rsidRPr="009339A3">
        <w:rPr>
          <w:rFonts w:cstheme="minorHAnsi"/>
          <w:szCs w:val="24"/>
        </w:rPr>
        <w:t xml:space="preserve"> Szczegółowo, działania minimalizujące dla zidentyfikowanych negatywnych oddziaływań krótko- i długoterminowych dla działań </w:t>
      </w:r>
      <w:r w:rsidRPr="009D3A95">
        <w:rPr>
          <w:rFonts w:cstheme="minorHAnsi"/>
          <w:szCs w:val="24"/>
        </w:rPr>
        <w:t xml:space="preserve">inwestycyjnych podejmowanych w ramach projektów Priorytetu 2 omówiono w tabeli w załączniku </w:t>
      </w:r>
      <w:r w:rsidR="006E38B9">
        <w:rPr>
          <w:rFonts w:cstheme="minorHAnsi"/>
          <w:szCs w:val="24"/>
        </w:rPr>
        <w:t>4</w:t>
      </w:r>
      <w:r w:rsidRPr="009D3A95">
        <w:rPr>
          <w:rFonts w:cstheme="minorHAnsi"/>
          <w:szCs w:val="24"/>
        </w:rPr>
        <w:t>.</w:t>
      </w:r>
    </w:p>
    <w:p w14:paraId="04E65BE4" w14:textId="7228ED0E" w:rsidR="00C64385" w:rsidRPr="009339A3" w:rsidRDefault="00C64385" w:rsidP="00C64385">
      <w:pPr>
        <w:rPr>
          <w:rFonts w:cstheme="minorHAnsi"/>
          <w:szCs w:val="24"/>
        </w:rPr>
      </w:pPr>
      <w:r w:rsidRPr="009339A3">
        <w:rPr>
          <w:rFonts w:cstheme="minorHAnsi"/>
          <w:szCs w:val="24"/>
        </w:rPr>
        <w:t>Działania inwestycyjne prowadzone w ramach Priorytetu 1</w:t>
      </w:r>
      <w:r>
        <w:rPr>
          <w:rFonts w:cstheme="minorHAnsi"/>
          <w:szCs w:val="24"/>
        </w:rPr>
        <w:t>.</w:t>
      </w:r>
      <w:r w:rsidRPr="009339A3">
        <w:rPr>
          <w:rFonts w:cstheme="minorHAnsi"/>
          <w:szCs w:val="24"/>
        </w:rPr>
        <w:t xml:space="preserve"> </w:t>
      </w:r>
      <w:r w:rsidRPr="009339A3">
        <w:rPr>
          <w:rFonts w:cstheme="minorHAnsi"/>
          <w:b/>
          <w:i/>
          <w:szCs w:val="24"/>
        </w:rPr>
        <w:t xml:space="preserve">FUNDUSZE EUROPEJSKIE NA RZECZ PRZEDSIĘBIORCZEGO POMORZA ZACHODNIEGO </w:t>
      </w:r>
      <w:r w:rsidRPr="009339A3">
        <w:rPr>
          <w:rFonts w:cstheme="minorHAnsi"/>
          <w:szCs w:val="24"/>
        </w:rPr>
        <w:t>w głównej mierze skoncentrowane będą na implementacji innowacji technologicznych. Do działań mogących powodować krótkoterminowe negatywne oddziaływanie zaliczamy inwestycje związane z</w:t>
      </w:r>
      <w:r w:rsidRPr="000657D8">
        <w:rPr>
          <w:rFonts w:eastAsia="Times New Roman" w:cstheme="minorHAnsi"/>
          <w:color w:val="353838"/>
          <w:szCs w:val="24"/>
        </w:rPr>
        <w:t xml:space="preserve"> </w:t>
      </w:r>
      <w:r w:rsidRPr="009339A3">
        <w:rPr>
          <w:rFonts w:cstheme="minorHAnsi"/>
          <w:szCs w:val="24"/>
        </w:rPr>
        <w:t>budową, przebudową lub rozbudową ośrodków badań naukowych lub przemysłowych, czy też instalacji badawczych, pilotażowych lub nowych linii produkcyjnych. Potencjalne negatywne oddziaływania</w:t>
      </w:r>
      <w:r w:rsidRPr="009339A3">
        <w:rPr>
          <w:rFonts w:eastAsia="Calibri" w:cstheme="minorHAnsi"/>
          <w:szCs w:val="24"/>
        </w:rPr>
        <w:t xml:space="preserve"> </w:t>
      </w:r>
      <w:r w:rsidRPr="009339A3">
        <w:rPr>
          <w:rFonts w:cstheme="minorHAnsi"/>
          <w:szCs w:val="24"/>
        </w:rPr>
        <w:t>obejmowały będą płoszenie zwierząt na skutek hałasu i nadmiernego oświetlenia placu budowy, wycinkę drzew i krzewów, emisje zanieczyszczeń pyłowych do powietrza, a także innych zani</w:t>
      </w:r>
      <w:r>
        <w:rPr>
          <w:rFonts w:cstheme="minorHAnsi"/>
          <w:szCs w:val="24"/>
        </w:rPr>
        <w:t>eczyszczeń do powietrza, wód i</w:t>
      </w:r>
      <w:r w:rsidRPr="009339A3">
        <w:rPr>
          <w:rFonts w:cstheme="minorHAnsi"/>
          <w:szCs w:val="24"/>
        </w:rPr>
        <w:t xml:space="preserve"> gleby, których źródłem mogą być maszyny pracujące na budowie. Krótkoterminowe oddziaływania związane będą też ze zmianami w krajobrazie (chaos przestrzenny), a prowadzone prace budowlane mogą być źródłem uciążliwości dla mieszkańców (hałas, emisje zanieczyszczeń, zanieczyszczenie światłem). Zakłada się, że oddziaływania te ustąpią wraz z zakończeniem budowy. Potencjalnie może nastąpić też krótkoterminowy chaos przestrzenny związany z rozbudową inwestycji B+R. Szczegółowo, działania minimalizujące dla zidentyfikowanych negatywnych oddziaływań krótko- i długoterminowych dla </w:t>
      </w:r>
      <w:r w:rsidRPr="00430EBB">
        <w:rPr>
          <w:rFonts w:cstheme="minorHAnsi"/>
          <w:szCs w:val="24"/>
        </w:rPr>
        <w:t xml:space="preserve">działań inwestycyjnych podejmowanych w ramach projektów Priorytetu 1 omówiono w tabeli w załączniku </w:t>
      </w:r>
      <w:r w:rsidR="006E38B9">
        <w:rPr>
          <w:rFonts w:cstheme="minorHAnsi"/>
          <w:szCs w:val="24"/>
        </w:rPr>
        <w:t>4</w:t>
      </w:r>
      <w:r w:rsidRPr="00430EBB">
        <w:rPr>
          <w:rFonts w:cstheme="minorHAnsi"/>
          <w:szCs w:val="24"/>
        </w:rPr>
        <w:t>.</w:t>
      </w:r>
    </w:p>
    <w:p w14:paraId="145FEC2F" w14:textId="55AD9D5C" w:rsidR="00C64385" w:rsidRPr="009339A3" w:rsidRDefault="00C64385" w:rsidP="00C64385">
      <w:pPr>
        <w:rPr>
          <w:rFonts w:cstheme="minorHAnsi"/>
          <w:szCs w:val="24"/>
        </w:rPr>
      </w:pPr>
      <w:r w:rsidRPr="009339A3">
        <w:rPr>
          <w:rFonts w:cstheme="minorHAnsi"/>
          <w:szCs w:val="24"/>
        </w:rPr>
        <w:t xml:space="preserve">Oddziaływania negatywne mogą </w:t>
      </w:r>
      <w:r>
        <w:rPr>
          <w:rFonts w:cstheme="minorHAnsi"/>
          <w:szCs w:val="24"/>
        </w:rPr>
        <w:t>wystąpić</w:t>
      </w:r>
      <w:r w:rsidRPr="009339A3">
        <w:rPr>
          <w:rFonts w:cstheme="minorHAnsi"/>
          <w:szCs w:val="24"/>
        </w:rPr>
        <w:t xml:space="preserve"> także w trakcie realizacji działań w ramach Priorytetu 5</w:t>
      </w:r>
      <w:r>
        <w:rPr>
          <w:rFonts w:cstheme="minorHAnsi"/>
          <w:szCs w:val="24"/>
        </w:rPr>
        <w:t>.</w:t>
      </w:r>
      <w:r w:rsidRPr="009339A3">
        <w:rPr>
          <w:rFonts w:cstheme="minorHAnsi"/>
          <w:szCs w:val="24"/>
        </w:rPr>
        <w:t xml:space="preserve"> </w:t>
      </w:r>
      <w:r w:rsidRPr="009339A3">
        <w:rPr>
          <w:rFonts w:cstheme="minorHAnsi"/>
          <w:b/>
          <w:bCs/>
          <w:i/>
          <w:szCs w:val="24"/>
        </w:rPr>
        <w:t>FUNDUSZE EUROPEJSKIE NA RZECZ PRZYJAZNEGO MIESZKANKOM I MIESZKAŃCOM POMORZA ZACHODNIEGO</w:t>
      </w:r>
      <w:r w:rsidRPr="009339A3">
        <w:rPr>
          <w:rFonts w:cstheme="minorHAnsi"/>
          <w:szCs w:val="24"/>
        </w:rPr>
        <w:t xml:space="preserve"> oraz </w:t>
      </w:r>
      <w:r w:rsidRPr="000657D8">
        <w:rPr>
          <w:rFonts w:eastAsia="Times New Roman" w:cstheme="minorHAnsi"/>
          <w:szCs w:val="24"/>
        </w:rPr>
        <w:t>Priorytetu 7</w:t>
      </w:r>
      <w:r>
        <w:rPr>
          <w:rFonts w:eastAsia="Times New Roman" w:cstheme="minorHAnsi"/>
          <w:szCs w:val="24"/>
        </w:rPr>
        <w:t>.</w:t>
      </w:r>
      <w:r w:rsidRPr="000657D8">
        <w:rPr>
          <w:rFonts w:eastAsia="Times New Roman" w:cstheme="minorHAnsi"/>
          <w:b/>
          <w:szCs w:val="24"/>
        </w:rPr>
        <w:t xml:space="preserve"> </w:t>
      </w:r>
      <w:r w:rsidRPr="009339A3">
        <w:rPr>
          <w:rFonts w:eastAsia="Times New Roman" w:cstheme="minorHAnsi"/>
          <w:b/>
          <w:i/>
          <w:szCs w:val="24"/>
        </w:rPr>
        <w:t>FUNDUSZE EUROPEJSKIE NA RZECZ PARTNERSKIEGO POMORZA ZACHODNIEGO</w:t>
      </w:r>
      <w:r w:rsidRPr="009339A3">
        <w:rPr>
          <w:rFonts w:cstheme="minorHAnsi"/>
          <w:i/>
          <w:szCs w:val="24"/>
        </w:rPr>
        <w:t xml:space="preserve"> </w:t>
      </w:r>
      <w:r>
        <w:rPr>
          <w:rFonts w:cstheme="minorHAnsi"/>
          <w:szCs w:val="24"/>
        </w:rPr>
        <w:t>obejmujących budowę, rozbudowę</w:t>
      </w:r>
      <w:r w:rsidRPr="009339A3">
        <w:rPr>
          <w:rFonts w:cstheme="minorHAnsi"/>
          <w:szCs w:val="24"/>
        </w:rPr>
        <w:t xml:space="preserve"> lub adaptację infrastruktury na potrzeby rozwoju</w:t>
      </w:r>
      <w:r>
        <w:rPr>
          <w:rFonts w:cstheme="minorHAnsi"/>
          <w:szCs w:val="24"/>
        </w:rPr>
        <w:t xml:space="preserve"> i</w:t>
      </w:r>
      <w:r w:rsidRPr="009339A3">
        <w:rPr>
          <w:rFonts w:cstheme="minorHAnsi"/>
          <w:szCs w:val="24"/>
        </w:rPr>
        <w:t xml:space="preserve"> </w:t>
      </w:r>
      <w:r>
        <w:rPr>
          <w:rFonts w:cstheme="minorHAnsi"/>
          <w:szCs w:val="24"/>
        </w:rPr>
        <w:t>dostosowania</w:t>
      </w:r>
      <w:r w:rsidRPr="009339A3">
        <w:rPr>
          <w:rFonts w:cstheme="minorHAnsi"/>
          <w:szCs w:val="24"/>
        </w:rPr>
        <w:t xml:space="preserve"> szkół i placówek oświatowych, hoteli, schronisk,</w:t>
      </w:r>
      <w:r w:rsidRPr="000657D8">
        <w:rPr>
          <w:rFonts w:eastAsia="Times New Roman" w:cstheme="minorHAnsi"/>
          <w:szCs w:val="24"/>
        </w:rPr>
        <w:t xml:space="preserve"> </w:t>
      </w:r>
      <w:r w:rsidRPr="009339A3">
        <w:rPr>
          <w:rFonts w:cstheme="minorHAnsi"/>
          <w:szCs w:val="24"/>
        </w:rPr>
        <w:t>obiektów ochrony zdrowia, obiektów instytucji kultury, infrastruktury poprawiającej dostępność obiektów i atrakcji turystycznych. Negatywne oddziaływania występujące na etapie budowy obejm</w:t>
      </w:r>
      <w:r>
        <w:rPr>
          <w:rFonts w:cstheme="minorHAnsi"/>
          <w:szCs w:val="24"/>
        </w:rPr>
        <w:t>owały będą płoszenie zwierząt w</w:t>
      </w:r>
      <w:r w:rsidRPr="009339A3">
        <w:rPr>
          <w:rFonts w:cstheme="minorHAnsi"/>
          <w:szCs w:val="24"/>
        </w:rPr>
        <w:t xml:space="preserve">skutek hałasu i nadmiernego oświetlenia placu budowy, wycinkę drzew i krzewów, emisje zanieczyszczeń pyłowych do powietrza, a także innych zanieczyszczeń do powietrza, wód czy gleby, których źródłem mogą być maszyny pracujące na budowie. Krótkoterminowe oddziaływania związane będą też ze zmianami w krajobrazie (chaos przestrzenny), a prowadzone prace budowlane mogą być źródłem uciążliwości dla mieszkańców (hałas, emisje zanieczyszczeń, zanieczyszczenie światłem). Zakłada się, że oddziaływania te ustąpią wraz z zakończeniem budowy. </w:t>
      </w:r>
      <w:r>
        <w:rPr>
          <w:rFonts w:cstheme="minorHAnsi"/>
          <w:szCs w:val="24"/>
        </w:rPr>
        <w:t>Wśród</w:t>
      </w:r>
      <w:r w:rsidRPr="009339A3">
        <w:rPr>
          <w:rFonts w:cstheme="minorHAnsi"/>
          <w:szCs w:val="24"/>
        </w:rPr>
        <w:t xml:space="preserve"> zidentyfikowanych oddziaływań długoterminowych </w:t>
      </w:r>
      <w:r>
        <w:rPr>
          <w:rFonts w:cstheme="minorHAnsi"/>
          <w:szCs w:val="24"/>
        </w:rPr>
        <w:t>wskazać można</w:t>
      </w:r>
      <w:r w:rsidRPr="009339A3">
        <w:rPr>
          <w:rFonts w:cstheme="minorHAnsi"/>
          <w:szCs w:val="24"/>
        </w:rPr>
        <w:t xml:space="preserve"> oddziaływania powodowane ruchem turystycznym, takie jak płoszenie zwierząt i zachwianie równowagi biocenotycznej, drgania i wibracje oddziaływujące na zabytki. Oddziaływania te zminimalizować można dzięki zastosowaniu środków łagodzących polegających na </w:t>
      </w:r>
      <w:r>
        <w:rPr>
          <w:rFonts w:cstheme="minorHAnsi"/>
          <w:szCs w:val="24"/>
        </w:rPr>
        <w:t>s</w:t>
      </w:r>
      <w:r w:rsidRPr="009339A3">
        <w:rPr>
          <w:rFonts w:cstheme="minorHAnsi"/>
          <w:szCs w:val="24"/>
        </w:rPr>
        <w:t xml:space="preserve">kanalizowaniu ruchu turystycznego, oznakowaniu szlaków, wprowadzenia zasad zwiedzania zabytków. Szczegółowo, działania minimalizujące dla zidentyfikowanych negatywnych oddziaływań krótko- i długoterminowych dla </w:t>
      </w:r>
      <w:r w:rsidRPr="00CD6CE9">
        <w:rPr>
          <w:rFonts w:cstheme="minorHAnsi"/>
          <w:szCs w:val="24"/>
        </w:rPr>
        <w:t xml:space="preserve">działań inwestycyjnych podejmowanych w ramach projektów Priorytetu 5 omówiono w tabeli w załączniku </w:t>
      </w:r>
      <w:r w:rsidR="006E38B9">
        <w:rPr>
          <w:rFonts w:cstheme="minorHAnsi"/>
          <w:szCs w:val="24"/>
        </w:rPr>
        <w:t>4</w:t>
      </w:r>
      <w:r w:rsidRPr="00CD6CE9">
        <w:rPr>
          <w:rFonts w:cstheme="minorHAnsi"/>
          <w:szCs w:val="24"/>
        </w:rPr>
        <w:t>.</w:t>
      </w:r>
    </w:p>
    <w:p w14:paraId="3EF47CF3" w14:textId="005153EF" w:rsidR="00C64385" w:rsidRDefault="00C64385" w:rsidP="00C64385">
      <w:pPr>
        <w:rPr>
          <w:rFonts w:cstheme="minorHAnsi"/>
          <w:szCs w:val="24"/>
        </w:rPr>
      </w:pPr>
      <w:r w:rsidRPr="009339A3">
        <w:rPr>
          <w:rFonts w:cstheme="minorHAnsi"/>
          <w:szCs w:val="24"/>
        </w:rPr>
        <w:t xml:space="preserve">Działania przewidziane do realizacji w ramach Priorytetu 6. </w:t>
      </w:r>
      <w:r w:rsidRPr="00564159">
        <w:rPr>
          <w:rFonts w:cstheme="minorHAnsi"/>
          <w:b/>
          <w:i/>
          <w:szCs w:val="24"/>
        </w:rPr>
        <w:t>FUNDUSZE EUROPEJSKIE NA RZECZ AKTYWNEGO POMORZA ZACHODNIEGO</w:t>
      </w:r>
      <w:r w:rsidRPr="009339A3">
        <w:rPr>
          <w:rFonts w:cstheme="minorHAnsi"/>
          <w:szCs w:val="24"/>
        </w:rPr>
        <w:t xml:space="preserve">, Priorytetu 8. </w:t>
      </w:r>
      <w:r w:rsidRPr="00564159">
        <w:rPr>
          <w:rFonts w:cstheme="minorHAnsi"/>
          <w:b/>
          <w:i/>
          <w:szCs w:val="24"/>
        </w:rPr>
        <w:t>POMOC TECHNICZNA EFRR</w:t>
      </w:r>
      <w:r w:rsidRPr="009339A3">
        <w:rPr>
          <w:rFonts w:cstheme="minorHAnsi"/>
          <w:szCs w:val="24"/>
        </w:rPr>
        <w:t xml:space="preserve"> i Priorytetu 9. </w:t>
      </w:r>
      <w:r w:rsidRPr="00564159">
        <w:rPr>
          <w:rFonts w:cstheme="minorHAnsi"/>
          <w:b/>
          <w:i/>
          <w:szCs w:val="24"/>
        </w:rPr>
        <w:t>POMOC TECHNICZNA (EFS+)</w:t>
      </w:r>
      <w:r w:rsidRPr="009339A3">
        <w:rPr>
          <w:rFonts w:cstheme="minorHAnsi"/>
          <w:szCs w:val="24"/>
        </w:rPr>
        <w:t xml:space="preserve"> będą charakteryzowały się </w:t>
      </w:r>
      <w:r>
        <w:rPr>
          <w:rFonts w:cstheme="minorHAnsi"/>
          <w:szCs w:val="24"/>
        </w:rPr>
        <w:t xml:space="preserve">w większości </w:t>
      </w:r>
      <w:r w:rsidRPr="009339A3">
        <w:rPr>
          <w:rFonts w:cstheme="minorHAnsi"/>
          <w:szCs w:val="24"/>
        </w:rPr>
        <w:t>neutralnym oddziaływaniem na komponenty środowiska.</w:t>
      </w:r>
      <w:r>
        <w:rPr>
          <w:rFonts w:cstheme="minorHAnsi"/>
          <w:szCs w:val="24"/>
        </w:rPr>
        <w:t xml:space="preserve"> Zidentyfikowane potencjalne </w:t>
      </w:r>
      <w:r w:rsidRPr="00CD6CE9">
        <w:rPr>
          <w:rFonts w:cstheme="minorHAnsi"/>
          <w:szCs w:val="24"/>
        </w:rPr>
        <w:t>oddziaływania negatywne wraz z katalogiem działań minimalizujących omówiono w tabeli w załączniku</w:t>
      </w:r>
      <w:r w:rsidR="00CD6CE9" w:rsidRPr="00CD6CE9">
        <w:rPr>
          <w:rFonts w:cstheme="minorHAnsi"/>
          <w:szCs w:val="24"/>
        </w:rPr>
        <w:t xml:space="preserve"> </w:t>
      </w:r>
      <w:r w:rsidR="006E38B9">
        <w:rPr>
          <w:rFonts w:cstheme="minorHAnsi"/>
          <w:szCs w:val="24"/>
        </w:rPr>
        <w:t>4</w:t>
      </w:r>
      <w:r w:rsidRPr="00CD6CE9">
        <w:rPr>
          <w:rFonts w:cstheme="minorHAnsi"/>
          <w:szCs w:val="24"/>
        </w:rPr>
        <w:t>.</w:t>
      </w:r>
    </w:p>
    <w:p w14:paraId="446A40C2" w14:textId="77777777" w:rsidR="00C64385" w:rsidRDefault="00C64385" w:rsidP="00C64385">
      <w:pPr>
        <w:rPr>
          <w:rFonts w:cstheme="minorHAnsi"/>
          <w:szCs w:val="24"/>
        </w:rPr>
      </w:pPr>
      <w:r w:rsidRPr="00E83B69">
        <w:rPr>
          <w:rFonts w:cstheme="minorHAnsi"/>
          <w:szCs w:val="24"/>
        </w:rPr>
        <w:t xml:space="preserve">Zidentyfikowane potencjalne negatywne oddziaływania powinny być ograniczane lub eliminowane poprzez prowadzenie działań minimalizujących zarówno na etapie projektowania inwestycji, jak i </w:t>
      </w:r>
      <w:r>
        <w:rPr>
          <w:rFonts w:cstheme="minorHAnsi"/>
          <w:szCs w:val="24"/>
        </w:rPr>
        <w:t xml:space="preserve">na etapie </w:t>
      </w:r>
      <w:r w:rsidRPr="00E83B69">
        <w:rPr>
          <w:rFonts w:cstheme="minorHAnsi"/>
          <w:szCs w:val="24"/>
        </w:rPr>
        <w:t xml:space="preserve">realizacji. Lokalizacja przyszłych inwestycji powinna być zgodna z zapisami miejscowych planów zagospodarowania przestrzennego (MPZP), a w przypadku braku MPZP wskazane jest jego opracowanie przed przystąpieniem do planowania na tym terenie inwestycji. Ponadto, w celu minimalizacji potencjalnych negatywnych oddziaływań na środowisko wskazane jest w pierwszej kolejności lokowanie inwestycji na terenach </w:t>
      </w:r>
      <w:r>
        <w:rPr>
          <w:rFonts w:cstheme="minorHAnsi"/>
          <w:szCs w:val="24"/>
        </w:rPr>
        <w:t xml:space="preserve">już </w:t>
      </w:r>
      <w:r w:rsidRPr="00E83B69">
        <w:rPr>
          <w:rFonts w:cstheme="minorHAnsi"/>
          <w:szCs w:val="24"/>
        </w:rPr>
        <w:t>przek</w:t>
      </w:r>
      <w:r>
        <w:rPr>
          <w:rFonts w:cstheme="minorHAnsi"/>
          <w:szCs w:val="24"/>
        </w:rPr>
        <w:t xml:space="preserve">ształconych </w:t>
      </w:r>
      <w:r w:rsidRPr="00E83B69">
        <w:rPr>
          <w:rFonts w:cstheme="minorHAnsi"/>
          <w:szCs w:val="24"/>
        </w:rPr>
        <w:t xml:space="preserve">oraz ograniczanie </w:t>
      </w:r>
      <w:r>
        <w:rPr>
          <w:rFonts w:cstheme="minorHAnsi"/>
          <w:szCs w:val="24"/>
        </w:rPr>
        <w:t>prowadzenia</w:t>
      </w:r>
      <w:r w:rsidRPr="00E83B69">
        <w:rPr>
          <w:rFonts w:cstheme="minorHAnsi"/>
          <w:szCs w:val="24"/>
        </w:rPr>
        <w:t xml:space="preserve"> inwestycji na terenach leśnych, łąkach, a zwłaszcza na łąkach podmokłych i innych obszarach cennych przyrodniczo.</w:t>
      </w:r>
    </w:p>
    <w:p w14:paraId="3B431B15" w14:textId="77777777" w:rsidR="00C64385" w:rsidRDefault="00C64385" w:rsidP="00C64385">
      <w:pPr>
        <w:spacing w:after="0"/>
        <w:rPr>
          <w:szCs w:val="22"/>
        </w:rPr>
      </w:pPr>
      <w:r>
        <w:rPr>
          <w:szCs w:val="22"/>
        </w:rPr>
        <w:t>Kierując się zasadą przezorności, należy zastosować środki techniczne i nietechniczne, które będą skutkować wykluczeniem lub ograniczeniem negatywnych oddziaływań inwestycji na przedmioty ochrony u źródła powstawania ewentualnego wpływu negatywnego. Działania minimalizujące powinny</w:t>
      </w:r>
      <w:r>
        <w:rPr>
          <w:szCs w:val="22"/>
          <w:vertAlign w:val="superscript"/>
        </w:rPr>
        <w:footnoteReference w:id="34"/>
      </w:r>
      <w:r>
        <w:rPr>
          <w:szCs w:val="22"/>
          <w:vertAlign w:val="superscript"/>
        </w:rPr>
        <w:t>,</w:t>
      </w:r>
      <w:r>
        <w:rPr>
          <w:szCs w:val="22"/>
          <w:vertAlign w:val="superscript"/>
        </w:rPr>
        <w:footnoteReference w:id="35"/>
      </w:r>
      <w:r>
        <w:rPr>
          <w:szCs w:val="22"/>
        </w:rPr>
        <w:t xml:space="preserve">: </w:t>
      </w:r>
    </w:p>
    <w:p w14:paraId="1872CED8" w14:textId="77777777" w:rsidR="00C64385" w:rsidRDefault="00C64385" w:rsidP="00622DC9">
      <w:pPr>
        <w:pStyle w:val="Akapitzlist"/>
        <w:numPr>
          <w:ilvl w:val="0"/>
          <w:numId w:val="33"/>
        </w:numPr>
        <w:spacing w:after="0"/>
        <w:rPr>
          <w:szCs w:val="22"/>
        </w:rPr>
      </w:pPr>
      <w:r w:rsidRPr="00B51CE8">
        <w:rPr>
          <w:szCs w:val="22"/>
        </w:rPr>
        <w:t xml:space="preserve">stanowić integralną część projektu inwestycji mogącej potencjalnie powodować oddziaływanie negatywne, w tym powinny być uwzględnione we wszystkich rozpatrywanych dokumentach dotyczących danej inwestycji: projekcie budowlanym, karcie informacyjnej przedsięwzięcia, raporcie o oddziaływaniu przedsięwzięcia na środowisko, wniosku o wydanie </w:t>
      </w:r>
      <w:r w:rsidRPr="00B51CE8">
        <w:rPr>
          <w:bCs/>
          <w:szCs w:val="22"/>
        </w:rPr>
        <w:t xml:space="preserve">decyzji o środowiskowych uwarunkowaniach, wniosku o wydanie zezwolenia na realizację inwestycji lub pozwolenia na budowę, </w:t>
      </w:r>
      <w:r w:rsidRPr="00B51CE8">
        <w:rPr>
          <w:szCs w:val="22"/>
        </w:rPr>
        <w:t>zgłoszeniu wodnoprawnym lub wniosku o pozwolenie zintegrowane</w:t>
      </w:r>
      <w:r>
        <w:rPr>
          <w:vertAlign w:val="superscript"/>
        </w:rPr>
        <w:footnoteReference w:id="36"/>
      </w:r>
      <w:r w:rsidRPr="00B51CE8">
        <w:rPr>
          <w:szCs w:val="22"/>
        </w:rPr>
        <w:t xml:space="preserve">; </w:t>
      </w:r>
    </w:p>
    <w:p w14:paraId="0776029F" w14:textId="77777777" w:rsidR="00C64385" w:rsidRDefault="00C64385" w:rsidP="00622DC9">
      <w:pPr>
        <w:pStyle w:val="Akapitzlist"/>
        <w:numPr>
          <w:ilvl w:val="0"/>
          <w:numId w:val="33"/>
        </w:numPr>
        <w:spacing w:after="0"/>
        <w:rPr>
          <w:szCs w:val="22"/>
        </w:rPr>
      </w:pPr>
      <w:r w:rsidRPr="00B51CE8">
        <w:rPr>
          <w:szCs w:val="22"/>
        </w:rPr>
        <w:t xml:space="preserve">odnosić się bezpośrednio do negatywnych skutków danej inwestycji i eliminować je u źródła ich powstawania; zapewnić efektywne zmniejszanie lub eliminację negatywnego oddziaływania najpóźniej w momencie jego powstania; </w:t>
      </w:r>
    </w:p>
    <w:p w14:paraId="554F528B" w14:textId="5E9976DF" w:rsidR="00C64385" w:rsidRPr="00B51CE8" w:rsidRDefault="00C64385" w:rsidP="00622DC9">
      <w:pPr>
        <w:pStyle w:val="Akapitzlist"/>
        <w:numPr>
          <w:ilvl w:val="0"/>
          <w:numId w:val="33"/>
        </w:numPr>
        <w:spacing w:after="0"/>
        <w:rPr>
          <w:szCs w:val="22"/>
        </w:rPr>
      </w:pPr>
      <w:r w:rsidRPr="00B51CE8">
        <w:rPr>
          <w:szCs w:val="22"/>
        </w:rPr>
        <w:t>być zgodne z najlepszymi dostępnymi technikami</w:t>
      </w:r>
      <w:r>
        <w:rPr>
          <w:szCs w:val="22"/>
        </w:rPr>
        <w:t xml:space="preserve"> (m.in. </w:t>
      </w:r>
      <w:r>
        <w:t>Dyrektywa Parlamentu Europejskiego i Rady 2010/75/UE z dnia 24 listopada 2010 r. w sprawie emisji przemysłowych (zintegrowane zapobieganie zanieczyszczeniom i ich kontrola)</w:t>
      </w:r>
      <w:r w:rsidRPr="00B51CE8">
        <w:rPr>
          <w:szCs w:val="22"/>
        </w:rPr>
        <w:t xml:space="preserve"> szczególnie jeżeli planowane przedsięwzięcie jest związane z użyciem instalacji objętej obowiązkiem uzyskania pozwolenia zintegrowanego (art. 66 ust. 5 z </w:t>
      </w:r>
      <w:r w:rsidR="008A74DE">
        <w:rPr>
          <w:szCs w:val="22"/>
        </w:rPr>
        <w:t>u</w:t>
      </w:r>
      <w:r w:rsidRPr="00B51CE8">
        <w:rPr>
          <w:szCs w:val="22"/>
        </w:rPr>
        <w:t>stawy</w:t>
      </w:r>
      <w:r w:rsidR="008A74DE">
        <w:rPr>
          <w:szCs w:val="22"/>
        </w:rPr>
        <w:t xml:space="preserve"> OOŚ</w:t>
      </w:r>
      <w:r w:rsidRPr="00B51CE8">
        <w:rPr>
          <w:szCs w:val="22"/>
        </w:rPr>
        <w:t>).</w:t>
      </w:r>
    </w:p>
    <w:p w14:paraId="5F1E94F5" w14:textId="77777777" w:rsidR="00C64385" w:rsidRPr="00B51CE8" w:rsidRDefault="00C64385" w:rsidP="00C64385">
      <w:pPr>
        <w:rPr>
          <w:rFonts w:cstheme="minorHAnsi"/>
          <w:szCs w:val="24"/>
        </w:rPr>
      </w:pPr>
      <w:r w:rsidRPr="00B51CE8">
        <w:rPr>
          <w:rFonts w:cstheme="minorHAnsi"/>
          <w:szCs w:val="24"/>
        </w:rPr>
        <w:t>Zidentyfikowane potencjalne oddziaływania negatywne mają w większości charakter oddziaływań przemijających</w:t>
      </w:r>
      <w:r>
        <w:rPr>
          <w:rFonts w:cstheme="minorHAnsi"/>
          <w:szCs w:val="24"/>
        </w:rPr>
        <w:t>, krótkoterminowych</w:t>
      </w:r>
      <w:r w:rsidRPr="00B51CE8">
        <w:rPr>
          <w:rFonts w:cstheme="minorHAnsi"/>
          <w:szCs w:val="24"/>
        </w:rPr>
        <w:t>, a zaproponowane możliwe do zastosowania działania minimalizujące będą wystarczające dla ograniczenia, a na</w:t>
      </w:r>
      <w:r>
        <w:rPr>
          <w:rFonts w:cstheme="minorHAnsi"/>
          <w:szCs w:val="24"/>
        </w:rPr>
        <w:t>wet zapobiegania ich wystąpieniu</w:t>
      </w:r>
      <w:r w:rsidRPr="00B51CE8">
        <w:rPr>
          <w:rFonts w:cstheme="minorHAnsi"/>
          <w:szCs w:val="24"/>
        </w:rPr>
        <w:t xml:space="preserve">. </w:t>
      </w:r>
    </w:p>
    <w:p w14:paraId="33455B83" w14:textId="7398BE72" w:rsidR="00C64385" w:rsidRDefault="00C64385" w:rsidP="00C64385">
      <w:pPr>
        <w:rPr>
          <w:rFonts w:cstheme="minorHAnsi"/>
          <w:szCs w:val="24"/>
        </w:rPr>
      </w:pPr>
      <w:r w:rsidRPr="00B51CE8">
        <w:rPr>
          <w:rFonts w:cstheme="minorHAnsi"/>
          <w:szCs w:val="24"/>
        </w:rPr>
        <w:t>Jednocześnie n</w:t>
      </w:r>
      <w:r>
        <w:rPr>
          <w:rFonts w:cstheme="minorHAnsi"/>
          <w:szCs w:val="24"/>
        </w:rPr>
        <w:t xml:space="preserve">ależy zauważyć, iż Program </w:t>
      </w:r>
      <w:r w:rsidR="00D4052B">
        <w:rPr>
          <w:rFonts w:cstheme="minorHAnsi"/>
          <w:szCs w:val="24"/>
        </w:rPr>
        <w:t>FEPZ</w:t>
      </w:r>
      <w:r w:rsidRPr="00B51CE8">
        <w:rPr>
          <w:rFonts w:cstheme="minorHAnsi"/>
          <w:szCs w:val="24"/>
        </w:rPr>
        <w:t xml:space="preserve"> 2021-2027 nie zawiera konkretnych informacji na temat dokładnej liczby, lokalizacji, czy też harmonogramu planowanych realizacji, dlatego też kierując się zasadą przezorności, poniżej przedstawiono katalog możliwych do zastosowania działań kompensacyjnych, w przypadku gdy wprowadzone śro</w:t>
      </w:r>
      <w:r>
        <w:rPr>
          <w:rFonts w:cstheme="minorHAnsi"/>
          <w:szCs w:val="24"/>
        </w:rPr>
        <w:t>dki minimalizujące będą niewyst</w:t>
      </w:r>
      <w:r w:rsidRPr="00B51CE8">
        <w:rPr>
          <w:rFonts w:cstheme="minorHAnsi"/>
          <w:szCs w:val="24"/>
        </w:rPr>
        <w:t>a</w:t>
      </w:r>
      <w:r>
        <w:rPr>
          <w:rFonts w:cstheme="minorHAnsi"/>
          <w:szCs w:val="24"/>
        </w:rPr>
        <w:t>r</w:t>
      </w:r>
      <w:r w:rsidRPr="00B51CE8">
        <w:rPr>
          <w:rFonts w:cstheme="minorHAnsi"/>
          <w:szCs w:val="24"/>
        </w:rPr>
        <w:t xml:space="preserve">czające, a przede wszystkim </w:t>
      </w:r>
      <w:r>
        <w:rPr>
          <w:rFonts w:cstheme="minorHAnsi"/>
          <w:szCs w:val="24"/>
        </w:rPr>
        <w:t xml:space="preserve">w sytuacji </w:t>
      </w:r>
      <w:r w:rsidRPr="00B51CE8">
        <w:rPr>
          <w:rFonts w:cstheme="minorHAnsi"/>
          <w:szCs w:val="24"/>
        </w:rPr>
        <w:t>gdy</w:t>
      </w:r>
      <w:r>
        <w:rPr>
          <w:rFonts w:cstheme="minorHAnsi"/>
          <w:szCs w:val="24"/>
        </w:rPr>
        <w:t>by</w:t>
      </w:r>
      <w:r w:rsidRPr="00B51CE8">
        <w:rPr>
          <w:rFonts w:cstheme="minorHAnsi"/>
          <w:szCs w:val="24"/>
        </w:rPr>
        <w:t xml:space="preserve"> wystąpi</w:t>
      </w:r>
      <w:r>
        <w:rPr>
          <w:rFonts w:cstheme="minorHAnsi"/>
          <w:szCs w:val="24"/>
        </w:rPr>
        <w:t>ło</w:t>
      </w:r>
      <w:r w:rsidRPr="00B51CE8">
        <w:rPr>
          <w:rFonts w:cstheme="minorHAnsi"/>
          <w:szCs w:val="24"/>
        </w:rPr>
        <w:t xml:space="preserve"> negatywne oddziaływanie na cele ochrony obszarów Natura 2000</w:t>
      </w:r>
      <w:r>
        <w:rPr>
          <w:rStyle w:val="Odwoanieprzypisudolnego"/>
          <w:rFonts w:cstheme="minorHAnsi"/>
          <w:szCs w:val="24"/>
        </w:rPr>
        <w:footnoteReference w:id="37"/>
      </w:r>
      <w:r w:rsidRPr="00B51CE8">
        <w:rPr>
          <w:rFonts w:cstheme="minorHAnsi"/>
          <w:szCs w:val="24"/>
        </w:rPr>
        <w:t xml:space="preserve"> .</w:t>
      </w:r>
    </w:p>
    <w:p w14:paraId="06D488A2" w14:textId="77777777" w:rsidR="00C64385" w:rsidRDefault="00C64385" w:rsidP="00C64385">
      <w:pPr>
        <w:spacing w:after="0"/>
        <w:rPr>
          <w:szCs w:val="22"/>
        </w:rPr>
      </w:pPr>
      <w:r w:rsidRPr="00455862">
        <w:rPr>
          <w:szCs w:val="24"/>
        </w:rPr>
        <w:t>Zgodnie z art. 3. pkt 8 z Ustawy Prawo ochrony środowiska</w:t>
      </w:r>
      <w:r w:rsidRPr="00455862">
        <w:rPr>
          <w:rStyle w:val="Odwoanieprzypisudolnego"/>
          <w:szCs w:val="24"/>
        </w:rPr>
        <w:footnoteReference w:id="38"/>
      </w:r>
      <w:r w:rsidRPr="00455862">
        <w:rPr>
          <w:szCs w:val="24"/>
        </w:rPr>
        <w:t xml:space="preserve"> kompensacja przyrodnicza to </w:t>
      </w:r>
      <w:r w:rsidRPr="00455862">
        <w:rPr>
          <w:i/>
          <w:szCs w:val="24"/>
        </w:rPr>
        <w:t>„</w:t>
      </w:r>
      <w:r w:rsidRPr="00455862">
        <w:rPr>
          <w:rStyle w:val="markedcontent"/>
          <w:i/>
          <w:szCs w:val="24"/>
        </w:rPr>
        <w:t>zespół działań obejmujących w szczególności roboty budowlane, roboty ziemne, rekultywację gleby, zalesianie, zadrzewianie lub tworzenie skupień roślinności, prowadzących do przywrócenia równowagi przyrodniczej lub tworzenie skupień roślinności, prowadzących do przywrócenia równowagi przyrodniczej na danym terenie, wyrównania szkód dokonanych w środowisku przez realizację przedsięwzięcia i zachowanie walorów krajobrazowych</w:t>
      </w:r>
      <w:r w:rsidRPr="00455862">
        <w:rPr>
          <w:i/>
          <w:szCs w:val="24"/>
        </w:rPr>
        <w:t>”</w:t>
      </w:r>
      <w:r w:rsidRPr="00455862">
        <w:rPr>
          <w:szCs w:val="24"/>
        </w:rPr>
        <w:t>. Środki kompensacyjne powinny wyrównywać szkody ekologiczne i prowadzić do sytuacji „braku</w:t>
      </w:r>
      <w:r>
        <w:rPr>
          <w:szCs w:val="22"/>
        </w:rPr>
        <w:t xml:space="preserve"> strat netto”. Brak możliwości zapewnienia odpowiedniej kompensacji przyrodniczej skutkuje brakiem możliwości zezwolenia na realizację przedsięwzięcia w trybie art. 6 (4) Dyrektywy Siedliskowej. W przypadku, gdy wystąpi konieczność wprowadzenia działań kompensacyjnych powinny one obejmować następujące działania:</w:t>
      </w:r>
    </w:p>
    <w:p w14:paraId="228A72BD" w14:textId="77777777" w:rsidR="00C64385" w:rsidRDefault="00C64385" w:rsidP="00622DC9">
      <w:pPr>
        <w:numPr>
          <w:ilvl w:val="0"/>
          <w:numId w:val="25"/>
        </w:numPr>
        <w:spacing w:after="0"/>
        <w:rPr>
          <w:szCs w:val="22"/>
        </w:rPr>
      </w:pPr>
      <w:r>
        <w:rPr>
          <w:szCs w:val="22"/>
        </w:rPr>
        <w:t>Tworzenie siedlisk, np.:</w:t>
      </w:r>
    </w:p>
    <w:p w14:paraId="346085DE" w14:textId="77777777" w:rsidR="00C64385" w:rsidRDefault="00C64385" w:rsidP="00622DC9">
      <w:pPr>
        <w:numPr>
          <w:ilvl w:val="0"/>
          <w:numId w:val="26"/>
        </w:numPr>
        <w:spacing w:after="0"/>
        <w:rPr>
          <w:szCs w:val="22"/>
        </w:rPr>
      </w:pPr>
      <w:r>
        <w:rPr>
          <w:szCs w:val="22"/>
        </w:rPr>
        <w:t>tworzenie nowych miejsc rozrodu (np. budki dla ptaków, platformy gniazdowe dla ptaków drapieżnych) w zamian za ubytek miejsc rozrodu wynikający z prowadzenia gospodarki leśnej, usuwania zadrzewień, dokonywania wylesień, likwidacji miejsc gniazdowania w obiektach infrastruktury,</w:t>
      </w:r>
    </w:p>
    <w:p w14:paraId="75FC5AE1" w14:textId="77777777" w:rsidR="00C64385" w:rsidRDefault="00C64385" w:rsidP="00622DC9">
      <w:pPr>
        <w:numPr>
          <w:ilvl w:val="0"/>
          <w:numId w:val="26"/>
        </w:numPr>
        <w:spacing w:after="0"/>
        <w:rPr>
          <w:szCs w:val="22"/>
        </w:rPr>
      </w:pPr>
      <w:r>
        <w:rPr>
          <w:szCs w:val="22"/>
        </w:rPr>
        <w:t>przekształcanie gruntów rolnych/nieużytków w siedliska o podwyższonych walorach przyrodniczych (np. zalesianie gruntów),</w:t>
      </w:r>
    </w:p>
    <w:p w14:paraId="6D3763A5" w14:textId="77777777" w:rsidR="00C64385" w:rsidRDefault="00C64385" w:rsidP="00622DC9">
      <w:pPr>
        <w:numPr>
          <w:ilvl w:val="0"/>
          <w:numId w:val="26"/>
        </w:numPr>
        <w:spacing w:after="0"/>
        <w:rPr>
          <w:szCs w:val="22"/>
        </w:rPr>
      </w:pPr>
      <w:r>
        <w:rPr>
          <w:szCs w:val="22"/>
        </w:rPr>
        <w:t>sadzenie wybranych gatunków np. łąk kośnych lub leśnych.</w:t>
      </w:r>
    </w:p>
    <w:p w14:paraId="00F69F2A" w14:textId="77777777" w:rsidR="00C64385" w:rsidRDefault="00C64385" w:rsidP="00622DC9">
      <w:pPr>
        <w:numPr>
          <w:ilvl w:val="0"/>
          <w:numId w:val="25"/>
        </w:numPr>
        <w:spacing w:after="0"/>
        <w:rPr>
          <w:szCs w:val="22"/>
        </w:rPr>
      </w:pPr>
      <w:r>
        <w:rPr>
          <w:szCs w:val="22"/>
        </w:rPr>
        <w:t>Poprawa siedlisk:</w:t>
      </w:r>
    </w:p>
    <w:p w14:paraId="1044C93B" w14:textId="77777777" w:rsidR="00C64385" w:rsidRDefault="00C64385" w:rsidP="00622DC9">
      <w:pPr>
        <w:numPr>
          <w:ilvl w:val="0"/>
          <w:numId w:val="26"/>
        </w:numPr>
        <w:spacing w:after="0"/>
        <w:rPr>
          <w:szCs w:val="22"/>
        </w:rPr>
      </w:pPr>
      <w:r>
        <w:rPr>
          <w:szCs w:val="22"/>
        </w:rPr>
        <w:t>odtwarzanie siedliska przyrodniczego / siedliska gatunku w innym miejscu obszaru Natura 2000,</w:t>
      </w:r>
    </w:p>
    <w:p w14:paraId="39E88E0A" w14:textId="77777777" w:rsidR="00C64385" w:rsidRDefault="00C64385" w:rsidP="00622DC9">
      <w:pPr>
        <w:numPr>
          <w:ilvl w:val="0"/>
          <w:numId w:val="26"/>
        </w:numPr>
        <w:spacing w:after="0"/>
        <w:rPr>
          <w:szCs w:val="22"/>
        </w:rPr>
      </w:pPr>
      <w:r>
        <w:rPr>
          <w:szCs w:val="22"/>
        </w:rPr>
        <w:t>odtwarzanie stanu populacji gatunków zniszczonych wskutek oddziaływania planu lub przedsięwzięcia.</w:t>
      </w:r>
    </w:p>
    <w:p w14:paraId="299DDE0D" w14:textId="77777777" w:rsidR="00C64385" w:rsidRDefault="00C64385" w:rsidP="00622DC9">
      <w:pPr>
        <w:numPr>
          <w:ilvl w:val="0"/>
          <w:numId w:val="25"/>
        </w:numPr>
        <w:spacing w:after="0"/>
        <w:rPr>
          <w:szCs w:val="22"/>
        </w:rPr>
      </w:pPr>
      <w:r>
        <w:rPr>
          <w:szCs w:val="22"/>
        </w:rPr>
        <w:t>Przemieszczanie (translokacja gleby i/lub gatunków z miejsca oddziaływania do nowego miejsca), np.:</w:t>
      </w:r>
    </w:p>
    <w:p w14:paraId="285C74BD" w14:textId="77777777" w:rsidR="00C64385" w:rsidRDefault="00C64385" w:rsidP="00622DC9">
      <w:pPr>
        <w:numPr>
          <w:ilvl w:val="0"/>
          <w:numId w:val="26"/>
        </w:numPr>
        <w:spacing w:after="0"/>
        <w:rPr>
          <w:szCs w:val="22"/>
        </w:rPr>
      </w:pPr>
      <w:r>
        <w:rPr>
          <w:szCs w:val="22"/>
        </w:rPr>
        <w:t>przenoszenie płazów z zagrożonych zniszczeniem zbiorników wodnych do specjalnie wykonanych zbiorników wodnych.</w:t>
      </w:r>
    </w:p>
    <w:p w14:paraId="7DF72C3B" w14:textId="77777777" w:rsidR="00C64385" w:rsidRDefault="00C64385" w:rsidP="00C64385">
      <w:pPr>
        <w:spacing w:after="0"/>
        <w:rPr>
          <w:szCs w:val="22"/>
        </w:rPr>
      </w:pPr>
      <w:r>
        <w:rPr>
          <w:szCs w:val="22"/>
        </w:rPr>
        <w:t>Wprowadzenie środków kompensacyjnych wymaga monitorowania ich skuteczności w trakcie i po wdrożeniu w kontekście zaleceń przedstawionych w dokumencie interpretacyjnym Komisji „Zarządzanie obszarami Natura 2000: Postanowienia Artykułu 6 Dyrektywy Siedliskowej 92/43/EWG”</w:t>
      </w:r>
      <w:r>
        <w:rPr>
          <w:szCs w:val="22"/>
          <w:vertAlign w:val="superscript"/>
        </w:rPr>
        <w:footnoteReference w:id="39"/>
      </w:r>
      <w:r>
        <w:rPr>
          <w:szCs w:val="22"/>
        </w:rPr>
        <w:t>, a także opracowania środków awaryjnych do planów kompensacyjnych, w przypadku, gdyby ich skuteczność była niewystarczająca</w:t>
      </w:r>
      <w:r>
        <w:rPr>
          <w:szCs w:val="22"/>
          <w:vertAlign w:val="superscript"/>
        </w:rPr>
        <w:footnoteReference w:id="40"/>
      </w:r>
      <w:r>
        <w:rPr>
          <w:szCs w:val="22"/>
        </w:rPr>
        <w:t>.</w:t>
      </w:r>
    </w:p>
    <w:p w14:paraId="5F6BABA4" w14:textId="540ACC13" w:rsidR="00DF1A94" w:rsidRPr="0091280D" w:rsidRDefault="00263227" w:rsidP="00F2794A">
      <w:pPr>
        <w:pStyle w:val="Nagwek1"/>
        <w:numPr>
          <w:ilvl w:val="0"/>
          <w:numId w:val="4"/>
        </w:numPr>
        <w:rPr>
          <w:caps w:val="0"/>
          <w:sz w:val="32"/>
          <w:szCs w:val="24"/>
        </w:rPr>
      </w:pPr>
      <w:bookmarkStart w:id="63" w:name="_Toc104790643"/>
      <w:r w:rsidRPr="0091280D">
        <w:rPr>
          <w:caps w:val="0"/>
          <w:sz w:val="32"/>
          <w:szCs w:val="24"/>
        </w:rPr>
        <w:t>ANALIA WARIANTOWA PRZEWIDYWANYCH SK</w:t>
      </w:r>
      <w:r w:rsidR="00207BE6" w:rsidRPr="0091280D">
        <w:rPr>
          <w:caps w:val="0"/>
          <w:sz w:val="32"/>
          <w:szCs w:val="24"/>
        </w:rPr>
        <w:t>UTKÓW REALIZACJI FE</w:t>
      </w:r>
      <w:r w:rsidR="003D1C05">
        <w:rPr>
          <w:caps w:val="0"/>
          <w:sz w:val="32"/>
          <w:szCs w:val="24"/>
        </w:rPr>
        <w:t>PZ</w:t>
      </w:r>
      <w:r w:rsidR="00207BE6" w:rsidRPr="0091280D">
        <w:rPr>
          <w:caps w:val="0"/>
          <w:sz w:val="32"/>
          <w:szCs w:val="24"/>
        </w:rPr>
        <w:t xml:space="preserve"> 2021-2027</w:t>
      </w:r>
      <w:bookmarkEnd w:id="63"/>
    </w:p>
    <w:p w14:paraId="40A495EF" w14:textId="56C0096E" w:rsidR="00DF1A94" w:rsidRDefault="00263227" w:rsidP="00B33B36">
      <w:pPr>
        <w:pStyle w:val="Nagwek1"/>
        <w:numPr>
          <w:ilvl w:val="1"/>
          <w:numId w:val="1"/>
        </w:numPr>
        <w:ind w:left="1134" w:hanging="774"/>
        <w:rPr>
          <w:caps w:val="0"/>
          <w:sz w:val="32"/>
          <w:szCs w:val="24"/>
        </w:rPr>
      </w:pPr>
      <w:bookmarkStart w:id="64" w:name="_Toc104790644"/>
      <w:r w:rsidRPr="0091280D">
        <w:rPr>
          <w:caps w:val="0"/>
          <w:sz w:val="32"/>
          <w:szCs w:val="24"/>
        </w:rPr>
        <w:t>ANALIZA WARIANTU ZMIAN STANU ŚRODOWISKA W PRZYPADKU BRAKU REALIZACJI PROJEKTU FE</w:t>
      </w:r>
      <w:r w:rsidR="003D1C05">
        <w:rPr>
          <w:caps w:val="0"/>
          <w:sz w:val="32"/>
          <w:szCs w:val="24"/>
        </w:rPr>
        <w:t>PZ</w:t>
      </w:r>
      <w:r w:rsidRPr="0091280D">
        <w:rPr>
          <w:caps w:val="0"/>
          <w:sz w:val="32"/>
          <w:szCs w:val="24"/>
        </w:rPr>
        <w:t xml:space="preserve"> 2021-2027</w:t>
      </w:r>
      <w:bookmarkEnd w:id="64"/>
      <w:r w:rsidR="00A65366">
        <w:rPr>
          <w:caps w:val="0"/>
          <w:sz w:val="32"/>
          <w:szCs w:val="24"/>
        </w:rPr>
        <w:t xml:space="preserve"> </w:t>
      </w:r>
    </w:p>
    <w:p w14:paraId="168AC8BD" w14:textId="7070CDF7" w:rsidR="000958A9" w:rsidRDefault="000958A9" w:rsidP="000958A9">
      <w:pPr>
        <w:rPr>
          <w:rFonts w:cstheme="minorHAnsi"/>
          <w:szCs w:val="24"/>
        </w:rPr>
      </w:pPr>
      <w:r>
        <w:rPr>
          <w:rFonts w:cstheme="minorHAnsi"/>
          <w:szCs w:val="24"/>
        </w:rPr>
        <w:t>Zgodnie z art. 51 ust. 2 pkt. 2a</w:t>
      </w:r>
      <w:r w:rsidR="004F050E">
        <w:rPr>
          <w:rFonts w:cstheme="minorHAnsi"/>
          <w:szCs w:val="24"/>
        </w:rPr>
        <w:t>. usta</w:t>
      </w:r>
      <w:r w:rsidR="000B07CE">
        <w:rPr>
          <w:rFonts w:cstheme="minorHAnsi"/>
          <w:szCs w:val="24"/>
        </w:rPr>
        <w:t>wy OOŚ</w:t>
      </w:r>
      <w:r>
        <w:rPr>
          <w:rFonts w:cstheme="minorHAnsi"/>
          <w:szCs w:val="24"/>
        </w:rPr>
        <w:t xml:space="preserve">, jednym z elementów Prognozy oddziaływania na środowisko jest analiza i ocena potencjalny zmian istniejącego stanu środowiska w przypadku braku realizacji projektowanego dokumentu (dalej: wariant „zero”). Ocena wariantu „zero” pozwala określić, jaki wpływ będzie miało odstąpienie od realizacji Programu </w:t>
      </w:r>
      <w:r>
        <w:rPr>
          <w:rFonts w:cstheme="minorHAnsi"/>
          <w:color w:val="181716"/>
          <w:szCs w:val="24"/>
        </w:rPr>
        <w:t xml:space="preserve">Fundusze Europejskie dla Pomorza Zachodniego 2021 - 2027 (dalej: FEPZ 2021-2027) </w:t>
      </w:r>
      <w:r>
        <w:rPr>
          <w:rFonts w:cstheme="minorHAnsi"/>
          <w:szCs w:val="24"/>
        </w:rPr>
        <w:t>na zidentyfikowany (aktualny) stan środowiska.</w:t>
      </w:r>
    </w:p>
    <w:p w14:paraId="6543A538" w14:textId="77777777" w:rsidR="000958A9" w:rsidRDefault="000958A9" w:rsidP="000958A9">
      <w:pPr>
        <w:rPr>
          <w:rFonts w:cstheme="minorHAnsi"/>
          <w:szCs w:val="24"/>
        </w:rPr>
      </w:pPr>
      <w:r>
        <w:rPr>
          <w:rFonts w:cstheme="minorHAnsi"/>
          <w:szCs w:val="24"/>
        </w:rPr>
        <w:t xml:space="preserve">Jak przedstawiono we wcześniejszych rozdziałach, </w:t>
      </w:r>
      <w:r>
        <w:rPr>
          <w:szCs w:val="24"/>
        </w:rPr>
        <w:t>większość proponowanych do realizacji przedsięwzięć w ramach Programu FEPZ 2021-2027 ma pozytywny wpływ na środowisko</w:t>
      </w:r>
      <w:r>
        <w:rPr>
          <w:rFonts w:cstheme="minorHAnsi"/>
          <w:szCs w:val="24"/>
        </w:rPr>
        <w:t xml:space="preserve"> i generalnie nie powinna powodować nieodwracalnych zmian w środowisku. Do głównych, potencjalnie negatywnych oddziaływań można zaliczyć przedsięwzięcia techniczne o charakterze prac budowlanych, związanych z przebudową lub modernizacją obiektów. Przeważająca większość w/w oddziaływań ma charakter tymczasowy i powinna ustąpić w chwili ukończenia inwestycji. Dodatkowo, stosowane będą działania minimalizujące ewentualnie wyrządzone szkody lub ograniczające ryzyko wystąpienia tych szkód. Należy przede wszystkim spodziewać się długoterminowego i pozytywnego wpływu na środowisko. Można przypuszczać, że Projekt FEPZ 2021-2027 może istotnie przyczynić się do wdrażania polityki ochrony środowiska, a tym samym do osiągnięcia celów środowiskowych wynikających z planów i programów regionalnych, krajowych i unijnych. W związku z powyższym można stwierdzić, że brak realizacji Projektu FEPZ 2021-2027 może spowodować zaniechanie lub ograniczenie realizacji działań istotnych z punktu widzenia ochrony przyrody i ochrony środowiska, w tym w odniesieniu do różnorodności biologicznej, roślin, zwierząt, obszarów chronionych i obszarów Natura 2000. Niektóre z działań mogą być realizowane, ale w tempie, na jakie pozwalają dostępne środki. Ponieważ środki te są ograniczone, Program wpłynie na ich szybsze osiągniecie, a w niektórych przypadkach pozwoli na zrealizowanie działań, które nie zostałyby wykonane w przypadku braku realizacji Programu.</w:t>
      </w:r>
    </w:p>
    <w:p w14:paraId="6F2635C6" w14:textId="50535E16" w:rsidR="000958A9" w:rsidRDefault="00E27A91" w:rsidP="000958A9">
      <w:pPr>
        <w:rPr>
          <w:rFonts w:cstheme="minorHAnsi"/>
          <w:szCs w:val="24"/>
        </w:rPr>
      </w:pPr>
      <w:r>
        <w:rPr>
          <w:rFonts w:cstheme="minorHAnsi"/>
          <w:szCs w:val="24"/>
        </w:rPr>
        <w:t>P</w:t>
      </w:r>
      <w:r w:rsidR="000958A9">
        <w:rPr>
          <w:rFonts w:cstheme="minorHAnsi"/>
          <w:szCs w:val="24"/>
        </w:rPr>
        <w:t>oniżej (</w:t>
      </w:r>
      <w:r>
        <w:rPr>
          <w:rFonts w:cstheme="minorHAnsi"/>
          <w:szCs w:val="24"/>
        </w:rPr>
        <w:fldChar w:fldCharType="begin"/>
      </w:r>
      <w:r>
        <w:rPr>
          <w:rFonts w:cstheme="minorHAnsi"/>
          <w:szCs w:val="24"/>
        </w:rPr>
        <w:instrText xml:space="preserve"> REF _Ref104790430 \h </w:instrText>
      </w:r>
      <w:r>
        <w:rPr>
          <w:rFonts w:cstheme="minorHAnsi"/>
          <w:szCs w:val="24"/>
        </w:rPr>
      </w:r>
      <w:r>
        <w:rPr>
          <w:rFonts w:cstheme="minorHAnsi"/>
          <w:szCs w:val="24"/>
        </w:rPr>
        <w:fldChar w:fldCharType="separate"/>
      </w:r>
      <w:r w:rsidR="002B5007">
        <w:t xml:space="preserve">Rycina </w:t>
      </w:r>
      <w:r w:rsidR="002B5007">
        <w:rPr>
          <w:noProof/>
        </w:rPr>
        <w:t>2</w:t>
      </w:r>
      <w:r>
        <w:rPr>
          <w:rFonts w:cstheme="minorHAnsi"/>
          <w:szCs w:val="24"/>
        </w:rPr>
        <w:fldChar w:fldCharType="end"/>
      </w:r>
      <w:r w:rsidR="000958A9">
        <w:rPr>
          <w:rFonts w:cstheme="minorHAnsi"/>
          <w:szCs w:val="24"/>
        </w:rPr>
        <w:t xml:space="preserve">) przedstawiono w sposób graficzny potencjalne skutki braku realizacji Projektu FEPZ 2021-2027. Do oceny skutków „pozytywnych” i „negatywnych” braku realizacji </w:t>
      </w:r>
      <w:r w:rsidR="000958A9">
        <w:rPr>
          <w:rFonts w:cstheme="minorHAnsi"/>
          <w:i/>
          <w:iCs/>
          <w:szCs w:val="24"/>
        </w:rPr>
        <w:t>Projektu (…)</w:t>
      </w:r>
      <w:r w:rsidR="000958A9">
        <w:rPr>
          <w:rFonts w:cstheme="minorHAnsi"/>
          <w:szCs w:val="24"/>
        </w:rPr>
        <w:t xml:space="preserve"> zastosowano następującą skalę: 0 – skutki nieznaczące; 1 – skutki małe; 2 – skutki średnie; 3 – skutki duże.</w:t>
      </w:r>
    </w:p>
    <w:p w14:paraId="27E9E45E" w14:textId="79174F53" w:rsidR="000958A9" w:rsidRDefault="000958A9" w:rsidP="000958A9">
      <w:pPr>
        <w:jc w:val="center"/>
        <w:rPr>
          <w:sz w:val="22"/>
        </w:rPr>
      </w:pPr>
      <w:r>
        <w:rPr>
          <w:noProof/>
          <w:lang w:eastAsia="pl-PL"/>
        </w:rPr>
        <w:drawing>
          <wp:inline distT="0" distB="0" distL="0" distR="0" wp14:anchorId="3D62E8D3" wp14:editId="4BE05B31">
            <wp:extent cx="5173980" cy="6004560"/>
            <wp:effectExtent l="0" t="0" r="762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73980" cy="6004560"/>
                    </a:xfrm>
                    <a:prstGeom prst="rect">
                      <a:avLst/>
                    </a:prstGeom>
                    <a:noFill/>
                    <a:ln>
                      <a:noFill/>
                    </a:ln>
                  </pic:spPr>
                </pic:pic>
              </a:graphicData>
            </a:graphic>
          </wp:inline>
        </w:drawing>
      </w:r>
    </w:p>
    <w:p w14:paraId="52EAB24E" w14:textId="01E0DA91" w:rsidR="000958A9" w:rsidRDefault="00E27A91" w:rsidP="000958A9">
      <w:pPr>
        <w:pStyle w:val="Legenda"/>
        <w:rPr>
          <w:szCs w:val="24"/>
        </w:rPr>
      </w:pPr>
      <w:bookmarkStart w:id="65" w:name="_Ref104790430"/>
      <w:bookmarkStart w:id="66" w:name="_Toc103445825"/>
      <w:bookmarkStart w:id="67" w:name="_Toc104790102"/>
      <w:bookmarkStart w:id="68" w:name="_Toc104790671"/>
      <w:r>
        <w:t xml:space="preserve">Rycina </w:t>
      </w:r>
      <w:fldSimple w:instr=" SEQ Rycina \* ARABIC ">
        <w:r w:rsidR="002B5007">
          <w:rPr>
            <w:noProof/>
          </w:rPr>
          <w:t>2</w:t>
        </w:r>
      </w:fldSimple>
      <w:bookmarkEnd w:id="65"/>
      <w:r>
        <w:t xml:space="preserve"> </w:t>
      </w:r>
      <w:r w:rsidR="000958A9">
        <w:rPr>
          <w:szCs w:val="24"/>
        </w:rPr>
        <w:t>Wpływ braku realizacji Projektu Programu Fundusze Europejskie dla Pomorza Zachodniego 2021-2027 na stan poszczególnych komponentów środowiska</w:t>
      </w:r>
      <w:bookmarkEnd w:id="66"/>
      <w:bookmarkEnd w:id="67"/>
      <w:bookmarkEnd w:id="68"/>
    </w:p>
    <w:p w14:paraId="10C7311B" w14:textId="77777777" w:rsidR="000958A9" w:rsidRDefault="000958A9" w:rsidP="000958A9">
      <w:pPr>
        <w:pStyle w:val="rdo"/>
        <w:rPr>
          <w:szCs w:val="24"/>
        </w:rPr>
      </w:pPr>
      <w:r>
        <w:rPr>
          <w:szCs w:val="24"/>
        </w:rPr>
        <w:t>Źródło: opracowanie własne</w:t>
      </w:r>
    </w:p>
    <w:p w14:paraId="44B39952" w14:textId="77777777" w:rsidR="000958A9" w:rsidRDefault="000958A9" w:rsidP="000958A9">
      <w:pPr>
        <w:pStyle w:val="rdo"/>
        <w:rPr>
          <w:szCs w:val="24"/>
        </w:rPr>
      </w:pPr>
      <w:r>
        <w:rPr>
          <w:szCs w:val="24"/>
        </w:rPr>
        <w:t xml:space="preserve">Na podstawie analizy danych przedstawionych na rysunku można stwierdzić, że realizacja wariantu „zero”, w nielicznych przypadkach, może pozornie „pozytywnie” wpływać na środowisko. Natomiast przedstawione „pozytywne” efekty realizacji wariantu „zero” odnoszą się głównie do perspektywy krótkoterminowej. W perspektywie długoterminowej, brak realizacji </w:t>
      </w:r>
      <w:r>
        <w:rPr>
          <w:i/>
          <w:iCs/>
          <w:szCs w:val="24"/>
        </w:rPr>
        <w:t>Projektu (…)</w:t>
      </w:r>
      <w:r>
        <w:rPr>
          <w:szCs w:val="24"/>
        </w:rPr>
        <w:t xml:space="preserve"> może powodować dalsze pogłębianie negatywnych wpływów środowiskowych, wskutek braku realizacji nowych inwestycji. Istotne skutki braku realizacji </w:t>
      </w:r>
      <w:r>
        <w:rPr>
          <w:i/>
          <w:iCs/>
          <w:szCs w:val="24"/>
        </w:rPr>
        <w:t>Projektu (…)</w:t>
      </w:r>
      <w:r>
        <w:rPr>
          <w:szCs w:val="24"/>
        </w:rPr>
        <w:t xml:space="preserve"> mogą wystąpić w sferze środowiskowej, społecznej i gospodarczej, na przykład:</w:t>
      </w:r>
    </w:p>
    <w:p w14:paraId="390DC7B0"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rFonts w:eastAsia="Times New Roman" w:cs="Calibri"/>
          <w:color w:val="000000"/>
          <w:szCs w:val="24"/>
          <w:lang w:eastAsia="pl-PL"/>
        </w:rPr>
        <w:t>Tempo poprawy jakości powietrza może ulec istotnemu ograniczeniu, co wpłynie negatywnie na zdrowie mieszkańców i środowisko naturalne.</w:t>
      </w:r>
    </w:p>
    <w:p w14:paraId="60B2902A"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rFonts w:eastAsia="Times New Roman" w:cs="Calibri"/>
          <w:color w:val="000000"/>
          <w:szCs w:val="24"/>
          <w:lang w:eastAsia="pl-PL"/>
        </w:rPr>
        <w:t>Zjawisko rozprzestrzeniania zanieczyszczeń do powietrza pozostanie na pierwotnym poziomie, co pośrednio wpłynie negatywnie na zdrowie mieszkańców i stan środowiska.</w:t>
      </w:r>
    </w:p>
    <w:p w14:paraId="3D51844F"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rFonts w:eastAsia="Times New Roman" w:cs="Calibri"/>
          <w:color w:val="000000"/>
          <w:szCs w:val="24"/>
          <w:lang w:eastAsia="pl-PL"/>
        </w:rPr>
        <w:t>Ograniczenie tempa poprawy warunków mieszkaniowych.</w:t>
      </w:r>
    </w:p>
    <w:p w14:paraId="7B4D977F"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rFonts w:eastAsia="Times New Roman" w:cs="Calibri"/>
          <w:color w:val="000000"/>
          <w:szCs w:val="24"/>
          <w:lang w:eastAsia="pl-PL"/>
        </w:rPr>
        <w:t>Brak istotnego postępu w zakresie rozwiązania problemów gospodarki odpadami.</w:t>
      </w:r>
    </w:p>
    <w:p w14:paraId="6AB9EA4E"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rFonts w:eastAsia="Times New Roman" w:cs="Calibri"/>
          <w:color w:val="000000"/>
          <w:szCs w:val="24"/>
          <w:lang w:eastAsia="pl-PL"/>
        </w:rPr>
        <w:t>Brak poprawy jakości wód powierzchniowych i podziemnych.</w:t>
      </w:r>
    </w:p>
    <w:p w14:paraId="795EA63F"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rFonts w:eastAsia="Times New Roman" w:cs="Calibri"/>
          <w:color w:val="000000"/>
          <w:szCs w:val="24"/>
          <w:lang w:eastAsia="pl-PL"/>
        </w:rPr>
        <w:t>Brak skoordynowanych działań zmierzających do optymalizacji wykorzystania zasobów wodnych.</w:t>
      </w:r>
    </w:p>
    <w:p w14:paraId="3F1CBF04"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rFonts w:eastAsia="Times New Roman" w:cs="Calibri"/>
          <w:color w:val="000000"/>
          <w:szCs w:val="24"/>
          <w:lang w:eastAsia="pl-PL"/>
        </w:rPr>
        <w:t>Ryzyko bezpośrednich oraz pośrednich i skumulowanych negatywnych skutków związanych z falami powodziowymi i podtopieniami dla mieszkańców, przedsiębiorców i środowiska przyrodniczego.</w:t>
      </w:r>
    </w:p>
    <w:p w14:paraId="4CD8C74E"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rFonts w:eastAsia="Times New Roman" w:cs="Calibri"/>
          <w:color w:val="000000"/>
          <w:szCs w:val="24"/>
          <w:lang w:eastAsia="pl-PL"/>
        </w:rPr>
        <w:t>Brak poprawy jakości usług transportowych dla mieszkańców i związanego z tym komfortu mobilności.</w:t>
      </w:r>
    </w:p>
    <w:p w14:paraId="3362E6C9" w14:textId="77777777" w:rsidR="000958A9" w:rsidRDefault="000958A9" w:rsidP="000958A9">
      <w:pPr>
        <w:rPr>
          <w:szCs w:val="24"/>
        </w:rPr>
      </w:pPr>
      <w:r>
        <w:rPr>
          <w:szCs w:val="24"/>
        </w:rPr>
        <w:t xml:space="preserve">W związku z powyższym, zrezygnowanie z przyjęcia Projektu FEPZ 2021-2027 nie spowoduje poprawy lub zmniejszenia oddziaływania stanu obecnego na jakość środowiska. Negatywne skutki braku realizacji </w:t>
      </w:r>
      <w:r>
        <w:rPr>
          <w:i/>
          <w:iCs/>
          <w:szCs w:val="24"/>
        </w:rPr>
        <w:t>Projektu (…)</w:t>
      </w:r>
      <w:r>
        <w:rPr>
          <w:szCs w:val="24"/>
        </w:rPr>
        <w:t xml:space="preserve"> mogą nasuwać wniosek, że korzystnym z punktu środowiskowego, społecznego i gospodarczego jest wariant doprowadzenia do realizacji Projektu.</w:t>
      </w:r>
    </w:p>
    <w:p w14:paraId="743C72A0" w14:textId="77777777" w:rsidR="000958A9" w:rsidRDefault="000958A9" w:rsidP="000958A9">
      <w:pPr>
        <w:rPr>
          <w:szCs w:val="24"/>
        </w:rPr>
      </w:pPr>
      <w:r>
        <w:rPr>
          <w:szCs w:val="24"/>
        </w:rPr>
        <w:br w:type="page"/>
      </w:r>
    </w:p>
    <w:p w14:paraId="4E065A83" w14:textId="77777777" w:rsidR="000958A9" w:rsidRDefault="000958A9" w:rsidP="000958A9">
      <w:pPr>
        <w:pStyle w:val="Nagwek1"/>
        <w:numPr>
          <w:ilvl w:val="1"/>
          <w:numId w:val="4"/>
        </w:numPr>
        <w:ind w:left="1134" w:hanging="774"/>
        <w:rPr>
          <w:caps w:val="0"/>
          <w:sz w:val="32"/>
          <w:szCs w:val="24"/>
        </w:rPr>
      </w:pPr>
      <w:bookmarkStart w:id="69" w:name="_Toc103447159"/>
      <w:bookmarkStart w:id="70" w:name="_Toc104790645"/>
      <w:r>
        <w:rPr>
          <w:caps w:val="0"/>
          <w:sz w:val="32"/>
          <w:szCs w:val="24"/>
        </w:rPr>
        <w:t>ANALIZA MOŻLIWYCH ROZWIĄZAŃ ALTERNATYWNYCH W STOSUNKU DO CELÓW ZAPROPONOWANYCH W PROJEKCIE FEPZ 2021-2027</w:t>
      </w:r>
      <w:bookmarkEnd w:id="69"/>
      <w:bookmarkEnd w:id="70"/>
    </w:p>
    <w:p w14:paraId="64CB2D21" w14:textId="5B5B66AA" w:rsidR="000958A9" w:rsidRDefault="000958A9" w:rsidP="000958A9">
      <w:pPr>
        <w:rPr>
          <w:rFonts w:cstheme="minorHAnsi"/>
          <w:szCs w:val="24"/>
        </w:rPr>
      </w:pPr>
      <w:r>
        <w:rPr>
          <w:rFonts w:cstheme="minorHAnsi"/>
          <w:szCs w:val="24"/>
        </w:rPr>
        <w:t xml:space="preserve">Artykuł 51 ust. 2 pkt. 3b </w:t>
      </w:r>
      <w:r w:rsidR="008A74DE">
        <w:rPr>
          <w:rFonts w:cstheme="minorHAnsi"/>
          <w:szCs w:val="24"/>
        </w:rPr>
        <w:t>u</w:t>
      </w:r>
      <w:r>
        <w:rPr>
          <w:rFonts w:cstheme="minorHAnsi"/>
          <w:szCs w:val="24"/>
        </w:rPr>
        <w:t xml:space="preserve">stawy </w:t>
      </w:r>
      <w:r w:rsidR="008A74DE">
        <w:rPr>
          <w:rFonts w:cstheme="minorHAnsi"/>
          <w:szCs w:val="24"/>
        </w:rPr>
        <w:t xml:space="preserve">OOŚ </w:t>
      </w:r>
      <w:r>
        <w:rPr>
          <w:rFonts w:cstheme="minorHAnsi"/>
          <w:szCs w:val="24"/>
        </w:rPr>
        <w:t>wskazuje, że prognoza oddziaływania na środowisko powinna przedstawiać rozwiązania alternatywne do rozwiązań zawartych w projektowanym dokumencie, wraz z uzasadnieniem ich wyboru oraz opisem metod dokonania oceny prowadzącej do tego wyboru albo wyjaśnienie braku rozwiązań alternatywnych, w tym wskazania napotkanych trudności wynikających z niedostatków techniki lub luk we współczesnej wiedzy.</w:t>
      </w:r>
    </w:p>
    <w:p w14:paraId="618F2726" w14:textId="27DDD2DD" w:rsidR="000958A9" w:rsidRDefault="000958A9" w:rsidP="000958A9">
      <w:pPr>
        <w:rPr>
          <w:rFonts w:cstheme="minorHAnsi"/>
          <w:szCs w:val="24"/>
        </w:rPr>
      </w:pPr>
      <w:r>
        <w:rPr>
          <w:rFonts w:cstheme="minorHAnsi"/>
          <w:szCs w:val="24"/>
        </w:rPr>
        <w:t>Zgodnie z art. 52. ust. 1.</w:t>
      </w:r>
      <w:r w:rsidR="00311390">
        <w:rPr>
          <w:rFonts w:cstheme="minorHAnsi"/>
          <w:szCs w:val="24"/>
        </w:rPr>
        <w:t xml:space="preserve"> ustawy OOŚ</w:t>
      </w:r>
      <w:r>
        <w:rPr>
          <w:rFonts w:cstheme="minorHAnsi"/>
          <w:szCs w:val="24"/>
        </w:rPr>
        <w:t>, informacje zawarte w Prognozie oddziaływania na środowisko, o których mowa w art. 51 ust. 2, powinny być opracowane stosownie do stanu współczesnej wiedzy i metod oceny oraz dostosowane do zawartości i stopnia szczegółowości projektowanego dokumentu oraz etapu przyjęcia tego dokumentu w procesie opracowywania projektów dokumentów powiązanych z tym dokumentem.</w:t>
      </w:r>
    </w:p>
    <w:p w14:paraId="4BDDC6AE" w14:textId="77777777" w:rsidR="000958A9" w:rsidRDefault="000958A9" w:rsidP="000958A9">
      <w:pPr>
        <w:rPr>
          <w:rFonts w:cstheme="minorHAnsi"/>
          <w:szCs w:val="24"/>
        </w:rPr>
      </w:pPr>
      <w:r>
        <w:rPr>
          <w:rFonts w:cstheme="minorHAnsi"/>
          <w:color w:val="181716"/>
          <w:szCs w:val="24"/>
        </w:rPr>
        <w:t xml:space="preserve">Program Fundusze Europejskie dla Pomorza Zachodniego 2021 - 2027 stanowi </w:t>
      </w:r>
      <w:r>
        <w:rPr>
          <w:rFonts w:eastAsia="Calibri" w:cstheme="minorHAnsi"/>
          <w:color w:val="000000" w:themeColor="text1"/>
          <w:szCs w:val="24"/>
          <w:lang w:eastAsia="pl-PL"/>
        </w:rPr>
        <w:t>jedno z podstawowych narzędzi realizacji Strategii</w:t>
      </w:r>
      <w:r>
        <w:rPr>
          <w:rFonts w:cstheme="minorHAnsi"/>
          <w:color w:val="181716"/>
          <w:szCs w:val="24"/>
        </w:rPr>
        <w:t xml:space="preserve"> Rozwoju Województwa Zachodniopomorskiego do roku 2030, która stanowi podstawę kształtowania i prowadzenia przez samorząd województwa polityki regionalnej.</w:t>
      </w:r>
      <w:r>
        <w:rPr>
          <w:rFonts w:eastAsia="Calibri" w:cstheme="minorHAnsi"/>
          <w:color w:val="000000" w:themeColor="text1"/>
          <w:szCs w:val="24"/>
          <w:lang w:eastAsia="pl-PL"/>
        </w:rPr>
        <w:t xml:space="preserve"> Określenie kierunków i zakresu interwencji FEPZ 2021-2027 nastąpiło w oparciu o wskazania dokumentów strategicznych składających się na Zachodniopomorski Model Programowania Rozwoju. Tworzą go obok Strategii: Plan Zagospodarowania Przestrzennego Województwa Zachodniopomorskiego oraz sektorowe polityki rozwoju i programy realizujące te polityki. </w:t>
      </w:r>
      <w:r>
        <w:rPr>
          <w:rFonts w:cstheme="minorHAnsi"/>
          <w:szCs w:val="24"/>
        </w:rPr>
        <w:t xml:space="preserve">Projekt FEPZ 2021-2027 ma charakter dokumentu strategicznego. Dla przeważającej większości celów szczegółowych nie określono konkretnego wskazania lokalizacyjnego, technologicznego i organizacyjnego. W związku z powyższym, szczegółowe rozwiązania alternatywne powinny zostać uwzględnione na etapie realizacji inwestycji wynikających z dokumentu. Rozporządzenie Rady Ministrów z dnia 10 września 2019 r. w sprawie przedsięwzięć mogących znacząco oddziaływać na środowisko (tekst jednolity Dz. U. 2019 poz. 1839) określa rodzaje przedsięwzięć mogących zawsze znacząco oddziaływać na środowisko oraz rodzaje przedsięwzięć mogących potencjalnie znacząco oddziaływać na środowisko. W przypadku, gdy konkretna inwestycja zostanie zakwalifikowana do przedsięwzięć mogących zawsze znacząco lub potencjalnie znacząco oddziaływać na środowisko, dla takich przedsięwzięć wymagane jest uzyskanie decyzji o środowiskowych uwarunkowaniach i sporządzenie kart informacyjnej przedsięwzięcia. Dodatkowo, w przypadku przedsięwzięć mogących zawsze znacząco oddziaływać na środowisko, wymagane jest sporządzenie raportu o oddziaływaniu na środowisko. Elementem wymaganym w obu wymienionych przypadkach jest opracowanie, </w:t>
      </w:r>
      <w:r>
        <w:rPr>
          <w:rFonts w:eastAsia="Times New Roman" w:cstheme="minorHAnsi"/>
          <w:szCs w:val="24"/>
          <w:lang w:eastAsia="pl-PL"/>
        </w:rPr>
        <w:t xml:space="preserve">m.in. rozwiązań chroniących środowisko, opisu przewidywanych skutków </w:t>
      </w:r>
      <w:r>
        <w:rPr>
          <w:rFonts w:cstheme="minorHAnsi"/>
          <w:szCs w:val="24"/>
        </w:rPr>
        <w:t xml:space="preserve">dla środowiska w przypadku niepodejmowania </w:t>
      </w:r>
      <w:r>
        <w:rPr>
          <w:rFonts w:eastAsia="Times New Roman" w:cstheme="minorHAnsi"/>
          <w:szCs w:val="24"/>
          <w:lang w:eastAsia="pl-PL"/>
        </w:rPr>
        <w:t>przedsięwzięcia czy też opisu wariantów uwzględniających szczególne cechy przedsięwzięcia lub jego oddziaływania.</w:t>
      </w:r>
    </w:p>
    <w:p w14:paraId="161BCDF1" w14:textId="724605DE" w:rsidR="000958A9" w:rsidRDefault="000958A9" w:rsidP="000958A9">
      <w:pPr>
        <w:rPr>
          <w:rFonts w:eastAsia="Times New Roman" w:cstheme="minorHAnsi"/>
          <w:szCs w:val="24"/>
          <w:lang w:eastAsia="pl-PL"/>
        </w:rPr>
      </w:pPr>
      <w:r>
        <w:rPr>
          <w:rFonts w:eastAsia="Times New Roman" w:cstheme="minorHAnsi"/>
          <w:szCs w:val="24"/>
          <w:lang w:eastAsia="pl-PL"/>
        </w:rPr>
        <w:t xml:space="preserve">Zgodnie z </w:t>
      </w:r>
      <w:r w:rsidR="004F050E">
        <w:rPr>
          <w:rFonts w:eastAsia="Times New Roman" w:cstheme="minorHAnsi"/>
          <w:szCs w:val="24"/>
          <w:lang w:eastAsia="pl-PL"/>
        </w:rPr>
        <w:t>ustawą OOŚ</w:t>
      </w:r>
      <w:r>
        <w:rPr>
          <w:rFonts w:eastAsia="Times New Roman" w:cstheme="minorHAnsi"/>
          <w:szCs w:val="24"/>
          <w:lang w:eastAsia="pl-PL"/>
        </w:rPr>
        <w:t xml:space="preserve"> przedstawiono wybrane, możliwe rozwiązania alternatywne w stosunku do rozwiązań zaproponowanych w </w:t>
      </w:r>
      <w:r w:rsidR="004F050E">
        <w:rPr>
          <w:rFonts w:eastAsia="Times New Roman" w:cstheme="minorHAnsi"/>
          <w:szCs w:val="24"/>
          <w:lang w:eastAsia="pl-PL"/>
        </w:rPr>
        <w:t>p</w:t>
      </w:r>
      <w:r>
        <w:rPr>
          <w:rFonts w:eastAsia="Times New Roman" w:cstheme="minorHAnsi"/>
          <w:szCs w:val="24"/>
          <w:lang w:eastAsia="pl-PL"/>
        </w:rPr>
        <w:t>rojekcie FEPZ 2021-2027.</w:t>
      </w:r>
    </w:p>
    <w:p w14:paraId="43B84A07" w14:textId="77777777" w:rsidR="000958A9" w:rsidRDefault="000958A9" w:rsidP="000958A9">
      <w:pPr>
        <w:shd w:val="clear" w:color="auto" w:fill="B7DFA8" w:themeFill="accent1" w:themeFillTint="66"/>
        <w:rPr>
          <w:rFonts w:eastAsia="Times New Roman" w:cstheme="minorHAnsi"/>
          <w:szCs w:val="24"/>
          <w:lang w:eastAsia="pl-PL"/>
        </w:rPr>
      </w:pPr>
      <w:r>
        <w:rPr>
          <w:rFonts w:eastAsia="Times New Roman" w:cstheme="minorHAnsi"/>
          <w:szCs w:val="24"/>
          <w:lang w:eastAsia="pl-PL"/>
        </w:rPr>
        <w:t>Wariant lokalizacyjny</w:t>
      </w:r>
    </w:p>
    <w:p w14:paraId="0FFCC038" w14:textId="77777777" w:rsidR="000958A9" w:rsidRDefault="000958A9" w:rsidP="000958A9">
      <w:pPr>
        <w:rPr>
          <w:szCs w:val="24"/>
        </w:rPr>
      </w:pPr>
      <w:r>
        <w:rPr>
          <w:szCs w:val="24"/>
        </w:rPr>
        <w:t>Podczas analizy wariantów lokalizacyjnych powinny zostać uwzględnione takie kwestie jak:</w:t>
      </w:r>
    </w:p>
    <w:p w14:paraId="6E66D75E"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rFonts w:eastAsia="Times New Roman" w:cs="Calibri"/>
          <w:color w:val="000000"/>
          <w:szCs w:val="24"/>
          <w:lang w:eastAsia="pl-PL"/>
        </w:rPr>
        <w:t>Aktualny stan terenu, np. stan degradacji terenu.</w:t>
      </w:r>
    </w:p>
    <w:p w14:paraId="7A6125BC"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rFonts w:eastAsia="Times New Roman" w:cs="Calibri"/>
          <w:color w:val="000000"/>
          <w:szCs w:val="24"/>
          <w:lang w:eastAsia="pl-PL"/>
        </w:rPr>
        <w:t>L</w:t>
      </w:r>
      <w:r>
        <w:rPr>
          <w:szCs w:val="24"/>
        </w:rPr>
        <w:t>okalne uwarunkowania oraz walory przyrodnicze, w tym usytuowaniu obszarów podlegających ochronie na podstawie ustawy z dnia 16 kwietnia 2004 r. o ochronie przyrody oraz korytarzach ekologicznych (tekst jednolity Dz.U. 2022 poz. 916), znajdujących się w zasięgu znaczącego oddziaływania przedsięwzięcia.</w:t>
      </w:r>
    </w:p>
    <w:p w14:paraId="7BF18F69"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szCs w:val="24"/>
        </w:rPr>
        <w:t>Ewentualne działania skumulowane w przypadku inwestycji realizowanych wspólnie z planowanym przedsięwzięciem.</w:t>
      </w:r>
    </w:p>
    <w:p w14:paraId="7D17A18E"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szCs w:val="24"/>
        </w:rPr>
        <w:t>Wrażliwość i chłonność środowiska.</w:t>
      </w:r>
    </w:p>
    <w:p w14:paraId="0E9DD2E1"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szCs w:val="24"/>
        </w:rPr>
        <w:t>Potencjalne uciążliwości względem mieszkańców.</w:t>
      </w:r>
    </w:p>
    <w:p w14:paraId="57AFB2D1"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szCs w:val="24"/>
        </w:rPr>
        <w:t>Alternatywne trasy dojazdowe.</w:t>
      </w:r>
    </w:p>
    <w:p w14:paraId="0A6BD4CB"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szCs w:val="24"/>
        </w:rPr>
        <w:t>Usytuowanie infrastruktury.</w:t>
      </w:r>
    </w:p>
    <w:p w14:paraId="65CF338E" w14:textId="77777777" w:rsidR="000958A9" w:rsidRDefault="000958A9" w:rsidP="000958A9">
      <w:pPr>
        <w:shd w:val="clear" w:color="auto" w:fill="B7DFA8" w:themeFill="accent1" w:themeFillTint="66"/>
        <w:rPr>
          <w:rFonts w:eastAsia="Times New Roman" w:cstheme="minorHAnsi"/>
          <w:szCs w:val="24"/>
          <w:lang w:eastAsia="pl-PL"/>
        </w:rPr>
      </w:pPr>
      <w:r>
        <w:rPr>
          <w:rFonts w:eastAsia="Times New Roman" w:cstheme="minorHAnsi"/>
          <w:szCs w:val="24"/>
          <w:lang w:eastAsia="pl-PL"/>
        </w:rPr>
        <w:t>Wariant technologiczny</w:t>
      </w:r>
    </w:p>
    <w:p w14:paraId="58F9B72F" w14:textId="77777777" w:rsidR="000958A9" w:rsidRDefault="000958A9" w:rsidP="000958A9">
      <w:pPr>
        <w:rPr>
          <w:szCs w:val="24"/>
        </w:rPr>
      </w:pPr>
      <w:r>
        <w:rPr>
          <w:szCs w:val="24"/>
        </w:rPr>
        <w:t>Podczas analizy optymalnego wariantu technologicznego należałoby wziąć pod uwagę przede wszystkim realizację inwestycji zgodnie z najlepszymi dostępnymi technikami w danym obszarze (</w:t>
      </w:r>
      <w:r>
        <w:rPr>
          <w:i/>
          <w:iCs/>
          <w:szCs w:val="24"/>
        </w:rPr>
        <w:t>BAT – Best Available Technology</w:t>
      </w:r>
      <w:r>
        <w:rPr>
          <w:szCs w:val="24"/>
        </w:rPr>
        <w:t>) z uwzględnieniem rozwiązań minimalizujących potencjalne negatywne oddziaływanie na środowisko (np. uwzględniając potencjalne ryzyko wystąpienia poważnej awarii) na etapie realizacji, eksploatacji i zakończenia inwestycji. Na etapie analizy optymalnego wariantu technologicznego należałoby wziąć również pod uwagę między innymi:</w:t>
      </w:r>
    </w:p>
    <w:p w14:paraId="7EF575CA" w14:textId="77777777" w:rsidR="000958A9" w:rsidRDefault="000958A9" w:rsidP="00622DC9">
      <w:pPr>
        <w:pStyle w:val="Akapitzlist"/>
        <w:numPr>
          <w:ilvl w:val="0"/>
          <w:numId w:val="34"/>
        </w:numPr>
        <w:ind w:left="391" w:hanging="284"/>
        <w:rPr>
          <w:rFonts w:eastAsia="Times New Roman" w:cs="Calibri"/>
          <w:color w:val="000000"/>
          <w:szCs w:val="24"/>
          <w:lang w:eastAsia="pl-PL"/>
        </w:rPr>
      </w:pPr>
      <w:r>
        <w:rPr>
          <w:rFonts w:eastAsia="Times New Roman" w:cs="Calibri"/>
          <w:color w:val="000000"/>
          <w:szCs w:val="24"/>
          <w:lang w:eastAsia="pl-PL"/>
        </w:rPr>
        <w:t>Wybór technologii prowadzenia robót / inwestycji zgodnie z dokumentami referencyjnymi dotyczącymi najlepszych dostępnych technik (BREF) lub obowiązującymi normami ISO w danym sektorze.</w:t>
      </w:r>
    </w:p>
    <w:p w14:paraId="29B4BFEB" w14:textId="77777777" w:rsidR="000958A9" w:rsidRDefault="000958A9" w:rsidP="00622DC9">
      <w:pPr>
        <w:pStyle w:val="Akapitzlist"/>
        <w:numPr>
          <w:ilvl w:val="0"/>
          <w:numId w:val="34"/>
        </w:numPr>
        <w:ind w:left="391" w:hanging="284"/>
        <w:rPr>
          <w:szCs w:val="24"/>
        </w:rPr>
      </w:pPr>
      <w:r>
        <w:rPr>
          <w:rFonts w:eastAsia="Times New Roman" w:cs="Calibri"/>
          <w:color w:val="000000"/>
          <w:szCs w:val="24"/>
          <w:lang w:eastAsia="pl-PL"/>
        </w:rPr>
        <w:t>Stosowanie technologii ponownego wykorzystania materiałów / surowców lub jakiejkolwiek innej działalności, która przyczynia się do ochrony lub poprawy jakości wód w Unii zgodnie z dyrektywą 2000/60/WE (np. technologie o zminimalizowanym zużyciu wody lub wykorzystujące wodę wielokrotnie).</w:t>
      </w:r>
    </w:p>
    <w:p w14:paraId="163365D4" w14:textId="77777777" w:rsidR="000958A9" w:rsidRDefault="000958A9" w:rsidP="00622DC9">
      <w:pPr>
        <w:pStyle w:val="Akapitzlist"/>
        <w:numPr>
          <w:ilvl w:val="0"/>
          <w:numId w:val="34"/>
        </w:numPr>
        <w:ind w:left="391" w:hanging="284"/>
        <w:rPr>
          <w:szCs w:val="24"/>
        </w:rPr>
      </w:pPr>
      <w:r>
        <w:rPr>
          <w:rFonts w:eastAsia="Times New Roman" w:cs="Calibri"/>
          <w:color w:val="000000"/>
          <w:szCs w:val="24"/>
          <w:lang w:eastAsia="pl-PL"/>
        </w:rPr>
        <w:t>Respektowanie ogólnie obowiązujących przepisów prawa i zaleceń wynikających z dobrych praktyk w zakresie realizacji danej inwestycji.</w:t>
      </w:r>
    </w:p>
    <w:p w14:paraId="4CD6261E" w14:textId="77777777" w:rsidR="000958A9" w:rsidRDefault="000958A9" w:rsidP="000958A9">
      <w:pPr>
        <w:shd w:val="clear" w:color="auto" w:fill="B7DFA8" w:themeFill="accent1" w:themeFillTint="66"/>
        <w:rPr>
          <w:rFonts w:eastAsia="Times New Roman" w:cstheme="minorHAnsi"/>
          <w:szCs w:val="24"/>
          <w:lang w:eastAsia="pl-PL"/>
        </w:rPr>
      </w:pPr>
      <w:r>
        <w:rPr>
          <w:rFonts w:eastAsia="Times New Roman" w:cstheme="minorHAnsi"/>
          <w:szCs w:val="24"/>
          <w:lang w:eastAsia="pl-PL"/>
        </w:rPr>
        <w:t>Wariant organizacyjny</w:t>
      </w:r>
    </w:p>
    <w:p w14:paraId="4E813E44" w14:textId="77777777" w:rsidR="000958A9" w:rsidRDefault="000958A9" w:rsidP="000958A9">
      <w:pPr>
        <w:rPr>
          <w:szCs w:val="24"/>
        </w:rPr>
      </w:pPr>
      <w:r>
        <w:rPr>
          <w:szCs w:val="24"/>
        </w:rPr>
        <w:t>Na etapie analizy optymalnego wariantu organizacyjnego należałoby wziąć pod uwagę między innymi:</w:t>
      </w:r>
    </w:p>
    <w:p w14:paraId="4F3E89B9" w14:textId="77777777" w:rsidR="000958A9" w:rsidRDefault="000958A9" w:rsidP="00622DC9">
      <w:pPr>
        <w:pStyle w:val="Akapitzlist"/>
        <w:numPr>
          <w:ilvl w:val="0"/>
          <w:numId w:val="34"/>
        </w:numPr>
        <w:ind w:left="392" w:hanging="284"/>
        <w:rPr>
          <w:szCs w:val="24"/>
        </w:rPr>
      </w:pPr>
      <w:r>
        <w:rPr>
          <w:szCs w:val="24"/>
        </w:rPr>
        <w:t>Uwzględnienie zgodności z miejscowymi planami zagospodarowania przestrzennego (MPZP), a w przypadku braku obowiązujących MPZP uzyskanie decyzji o ustaleniu lokalizacji inwestycji celu publicznego.</w:t>
      </w:r>
    </w:p>
    <w:p w14:paraId="2D3661F0" w14:textId="77777777" w:rsidR="000958A9" w:rsidRDefault="000958A9" w:rsidP="00622DC9">
      <w:pPr>
        <w:pStyle w:val="Akapitzlist"/>
        <w:numPr>
          <w:ilvl w:val="0"/>
          <w:numId w:val="34"/>
        </w:numPr>
        <w:ind w:left="392" w:hanging="284"/>
        <w:rPr>
          <w:szCs w:val="24"/>
        </w:rPr>
      </w:pPr>
      <w:r>
        <w:rPr>
          <w:szCs w:val="24"/>
        </w:rPr>
        <w:t>Uzgodnienie z właściwym konserwatorem zabytków.</w:t>
      </w:r>
    </w:p>
    <w:p w14:paraId="1A5804F6" w14:textId="77777777" w:rsidR="000958A9" w:rsidRDefault="000958A9" w:rsidP="00622DC9">
      <w:pPr>
        <w:pStyle w:val="Akapitzlist"/>
        <w:numPr>
          <w:ilvl w:val="0"/>
          <w:numId w:val="34"/>
        </w:numPr>
        <w:ind w:left="392" w:hanging="284"/>
        <w:rPr>
          <w:szCs w:val="24"/>
        </w:rPr>
      </w:pPr>
      <w:r>
        <w:rPr>
          <w:szCs w:val="24"/>
        </w:rPr>
        <w:t>Uzyskania stosowanych zgód, decyzji i pozwoleń przed rozpoczęciem inwestycji.</w:t>
      </w:r>
    </w:p>
    <w:p w14:paraId="3DC323DD" w14:textId="77777777" w:rsidR="000958A9" w:rsidRDefault="000958A9" w:rsidP="00622DC9">
      <w:pPr>
        <w:pStyle w:val="Akapitzlist"/>
        <w:numPr>
          <w:ilvl w:val="0"/>
          <w:numId w:val="34"/>
        </w:numPr>
        <w:ind w:left="392" w:hanging="284"/>
        <w:rPr>
          <w:szCs w:val="24"/>
        </w:rPr>
      </w:pPr>
      <w:r>
        <w:rPr>
          <w:szCs w:val="24"/>
        </w:rPr>
        <w:t>Uwzględnienie zapisów w wydanych decyzji administracyjnych na etapie poprzedzającym rozpoczęcie inwestycji.</w:t>
      </w:r>
    </w:p>
    <w:p w14:paraId="0243AE9B" w14:textId="77777777" w:rsidR="000958A9" w:rsidRDefault="000958A9" w:rsidP="00622DC9">
      <w:pPr>
        <w:pStyle w:val="Akapitzlist"/>
        <w:numPr>
          <w:ilvl w:val="0"/>
          <w:numId w:val="34"/>
        </w:numPr>
        <w:ind w:left="392" w:hanging="284"/>
        <w:rPr>
          <w:szCs w:val="24"/>
        </w:rPr>
      </w:pPr>
      <w:r>
        <w:rPr>
          <w:rFonts w:eastAsia="Times New Roman" w:cs="Calibri"/>
          <w:color w:val="000000"/>
          <w:szCs w:val="24"/>
          <w:lang w:eastAsia="pl-PL"/>
        </w:rPr>
        <w:t>Unikanie sytuacji, w której wiele urządzeń pracuje równocześnie, szczególnie na małym obszarze.</w:t>
      </w:r>
    </w:p>
    <w:p w14:paraId="798E1133" w14:textId="77777777" w:rsidR="000958A9" w:rsidRDefault="000958A9" w:rsidP="00622DC9">
      <w:pPr>
        <w:pStyle w:val="Akapitzlist"/>
        <w:numPr>
          <w:ilvl w:val="0"/>
          <w:numId w:val="34"/>
        </w:numPr>
        <w:ind w:left="391" w:hanging="284"/>
        <w:rPr>
          <w:szCs w:val="24"/>
        </w:rPr>
      </w:pPr>
      <w:r>
        <w:rPr>
          <w:szCs w:val="24"/>
        </w:rPr>
        <w:t>Inwentaryzacja przyrodnicza na etapie planowania konkretnego przedsięwzięcia.</w:t>
      </w:r>
    </w:p>
    <w:p w14:paraId="5A36C7C4" w14:textId="77777777" w:rsidR="000958A9" w:rsidRDefault="000958A9" w:rsidP="00622DC9">
      <w:pPr>
        <w:pStyle w:val="Akapitzlist"/>
        <w:numPr>
          <w:ilvl w:val="0"/>
          <w:numId w:val="34"/>
        </w:numPr>
        <w:ind w:left="391" w:hanging="284"/>
        <w:rPr>
          <w:rFonts w:eastAsia="Times New Roman" w:cstheme="minorHAnsi"/>
          <w:bCs/>
          <w:color w:val="000000"/>
          <w:szCs w:val="24"/>
          <w:lang w:eastAsia="pl-PL"/>
        </w:rPr>
      </w:pPr>
      <w:r>
        <w:rPr>
          <w:szCs w:val="24"/>
        </w:rPr>
        <w:t>Analiza wrażliwości miejsc, np. terminy rozrodu, okresów lęgowych, hibernacji.</w:t>
      </w:r>
    </w:p>
    <w:p w14:paraId="029A8CE3" w14:textId="77777777" w:rsidR="000958A9" w:rsidRDefault="000958A9" w:rsidP="00622DC9">
      <w:pPr>
        <w:pStyle w:val="Akapitzlist"/>
        <w:numPr>
          <w:ilvl w:val="0"/>
          <w:numId w:val="34"/>
        </w:numPr>
        <w:ind w:left="391" w:hanging="284"/>
        <w:rPr>
          <w:rFonts w:eastAsia="Times New Roman" w:cstheme="minorHAnsi"/>
          <w:bCs/>
          <w:color w:val="000000"/>
          <w:szCs w:val="24"/>
          <w:lang w:eastAsia="pl-PL"/>
        </w:rPr>
      </w:pPr>
      <w:r>
        <w:rPr>
          <w:rFonts w:eastAsia="Times New Roman" w:cs="Calibri"/>
          <w:color w:val="000000"/>
          <w:szCs w:val="24"/>
          <w:lang w:eastAsia="pl-PL"/>
        </w:rPr>
        <w:t>Minimalizacja okresu wykonywania prac budowlanych.</w:t>
      </w:r>
    </w:p>
    <w:p w14:paraId="7E1B9C67" w14:textId="77777777" w:rsidR="000958A9" w:rsidRDefault="000958A9" w:rsidP="000958A9">
      <w:pPr>
        <w:pStyle w:val="rdo"/>
        <w:rPr>
          <w:szCs w:val="24"/>
        </w:rPr>
      </w:pPr>
      <w:r>
        <w:rPr>
          <w:szCs w:val="24"/>
        </w:rPr>
        <w:t>Biorąc pod uwagę strategiczny charakter dokumentu, dokładny wybór optymalnego wariantu powinien zostać uwzględniony na etapie projektowania danego przedsięwzięcia oraz w szczególności tych inwestycji, których realizacja może zawsze znacząco lub potencjalnie znacząco oddziaływać na środowisko. Analiza wariantów alternatywnych powinna odnosić się do tych projektowanych przedsięwzięć, których zakres planowanych działań umożliwia ich wariantowanie.</w:t>
      </w:r>
    </w:p>
    <w:p w14:paraId="044C279D" w14:textId="77777777" w:rsidR="000958A9" w:rsidRDefault="000958A9" w:rsidP="000958A9">
      <w:pPr>
        <w:rPr>
          <w:rFonts w:cstheme="minorHAnsi"/>
          <w:szCs w:val="24"/>
        </w:rPr>
      </w:pPr>
      <w:r>
        <w:rPr>
          <w:rFonts w:cstheme="minorHAnsi"/>
          <w:szCs w:val="24"/>
        </w:rPr>
        <w:t xml:space="preserve">Na etapie prognozy nie stwierdzono istotnych, znaczących i długotrwałych ryzyk mogących wyrządzić stałe i nieodwracalne szkody w środowisku. Realizacja </w:t>
      </w:r>
      <w:r>
        <w:rPr>
          <w:rFonts w:cstheme="minorHAnsi"/>
          <w:i/>
          <w:szCs w:val="24"/>
        </w:rPr>
        <w:t>Projektu (…)</w:t>
      </w:r>
      <w:r>
        <w:rPr>
          <w:rFonts w:cstheme="minorHAnsi"/>
          <w:szCs w:val="24"/>
        </w:rPr>
        <w:t xml:space="preserve"> będzie miała w przeważającej części pozytywny wpływ na środowisko. </w:t>
      </w:r>
      <w:r>
        <w:rPr>
          <w:i/>
          <w:iCs/>
          <w:szCs w:val="24"/>
        </w:rPr>
        <w:t>Projekt (…)</w:t>
      </w:r>
      <w:r>
        <w:rPr>
          <w:szCs w:val="24"/>
        </w:rPr>
        <w:t xml:space="preserve"> </w:t>
      </w:r>
      <w:r>
        <w:rPr>
          <w:rFonts w:cstheme="minorHAnsi"/>
          <w:szCs w:val="24"/>
        </w:rPr>
        <w:t>ma charakter strategiczny, wyznaczający kierunki działań, dla przeważającej większości celów operacyjnych bez określenia konkretnego wskazania lokalizacyjnego, technologicznego i organizacyjnego. Na chwile obecną nie ma możliwości określenia, czy przedstawione warianty są korzystniejsze środowiskowo, ekonomicznie i społecznie. Można jednak stwierdzić, że potencjalne skutki środowiskowe podejmowanych inwestycji będą uzależnione od chłonności środowiska oraz lokalizacji inwestycji w pobliżu miejsc szczególnie wrażliwych.</w:t>
      </w:r>
    </w:p>
    <w:p w14:paraId="5FB92330" w14:textId="77777777" w:rsidR="009E0BD8" w:rsidRPr="009E0BD8" w:rsidRDefault="00263227" w:rsidP="00B83214">
      <w:pPr>
        <w:pStyle w:val="Nagwek1"/>
        <w:numPr>
          <w:ilvl w:val="0"/>
          <w:numId w:val="1"/>
        </w:numPr>
        <w:rPr>
          <w:sz w:val="32"/>
          <w:szCs w:val="24"/>
        </w:rPr>
      </w:pPr>
      <w:bookmarkStart w:id="71" w:name="_Toc104790646"/>
      <w:r w:rsidRPr="000548D8">
        <w:rPr>
          <w:caps w:val="0"/>
          <w:sz w:val="32"/>
          <w:szCs w:val="24"/>
        </w:rPr>
        <w:t>PROPOZYCJE ZAPISÓW DOTYCZĄCYCH METOD WYBORU I REALIZACJI PROJEKTÓW, METOD I CZĘSTOTLIWOŚCI PRZEPROWADZANIA MONITORINGU SK</w:t>
      </w:r>
      <w:r w:rsidR="00A65366" w:rsidRPr="000548D8">
        <w:rPr>
          <w:caps w:val="0"/>
          <w:sz w:val="32"/>
          <w:szCs w:val="24"/>
        </w:rPr>
        <w:t>UTKÓW REALIZACJI POSTANOWIEŃ FE</w:t>
      </w:r>
      <w:r w:rsidR="003D1C05" w:rsidRPr="000548D8">
        <w:rPr>
          <w:caps w:val="0"/>
          <w:sz w:val="32"/>
          <w:szCs w:val="24"/>
        </w:rPr>
        <w:t>PZ</w:t>
      </w:r>
      <w:r w:rsidRPr="000548D8">
        <w:rPr>
          <w:caps w:val="0"/>
          <w:sz w:val="32"/>
          <w:szCs w:val="24"/>
        </w:rPr>
        <w:t xml:space="preserve"> 2021-2027</w:t>
      </w:r>
      <w:bookmarkEnd w:id="71"/>
    </w:p>
    <w:p w14:paraId="5F462EB0" w14:textId="77777777" w:rsidR="009E0BD8" w:rsidRPr="003248E7" w:rsidRDefault="009E0BD8" w:rsidP="009E0BD8">
      <w:pPr>
        <w:tabs>
          <w:tab w:val="left" w:pos="5572"/>
        </w:tabs>
        <w:jc w:val="both"/>
        <w:rPr>
          <w:rFonts w:ascii="Times New Roman" w:eastAsia="Times New Roman" w:hAnsi="Times New Roman" w:cs="Calibri"/>
          <w:sz w:val="28"/>
          <w:szCs w:val="28"/>
          <w:lang w:eastAsia="pl-PL"/>
        </w:rPr>
      </w:pPr>
      <w:r w:rsidRPr="003248E7">
        <w:rPr>
          <w:rFonts w:ascii="Calibri" w:eastAsia="Times New Roman" w:hAnsi="Calibri" w:cs="Calibri"/>
          <w:szCs w:val="22"/>
          <w:lang w:eastAsia="pl-PL"/>
        </w:rPr>
        <w:t xml:space="preserve">Rozstrzygnięcia strategiczne FEPZ 2021-2027 wykazują zgodność z celami wspierania zrównoważonego rozwoju oraz z uwzględnieniem celów ONZ dotyczących zrównoważonego rozwoju, a także porozumienia paryskiego i zasady „nie czyń poważnych szkód”. </w:t>
      </w:r>
      <w:r>
        <w:rPr>
          <w:rFonts w:ascii="Calibri" w:eastAsia="Times New Roman" w:hAnsi="Calibri" w:cs="Calibri"/>
          <w:szCs w:val="22"/>
          <w:lang w:eastAsia="pl-PL"/>
        </w:rPr>
        <w:t>W</w:t>
      </w:r>
      <w:r w:rsidRPr="003248E7">
        <w:rPr>
          <w:rFonts w:ascii="Calibri" w:eastAsia="Times New Roman" w:hAnsi="Calibri" w:cs="Calibri"/>
          <w:szCs w:val="22"/>
          <w:lang w:eastAsia="pl-PL"/>
        </w:rPr>
        <w:t xml:space="preserve">drażanie </w:t>
      </w:r>
      <w:r>
        <w:rPr>
          <w:rFonts w:ascii="Calibri" w:eastAsia="Times New Roman" w:hAnsi="Calibri" w:cs="Calibri"/>
          <w:szCs w:val="22"/>
          <w:lang w:eastAsia="pl-PL"/>
        </w:rPr>
        <w:t xml:space="preserve">ich </w:t>
      </w:r>
      <w:r w:rsidRPr="003248E7">
        <w:rPr>
          <w:rFonts w:ascii="Calibri" w:eastAsia="Times New Roman" w:hAnsi="Calibri" w:cs="Calibri"/>
          <w:szCs w:val="22"/>
          <w:lang w:eastAsia="pl-PL"/>
        </w:rPr>
        <w:t>z założenia ma się odbywać z pełnym poszanowaniem dorobku prawnego Unii w dziedzinie środowiska. W perspektywie finansowej 2021-2027 szczególnego znaczenia nabierają działania związane z wdrażaniem Europejskiego Zielonego Ładu i respektowania taksonomii UE jak i założeń Nowego Europejskiego Bauhausu. Istotnym jest również stosowanie podejścia całościowego, czyli udziału wszystkich działań i polityk UE dla osiągnięcia celów związanych z osiągnięciem neutralności klimatycznej, co w kontekście wdrażania FEPZ 2021-2027 przekładać się będzie na stosowaniu zasady „nie czyń poważnej szkody”, tzw. zasady DNSH w rozumieniu art. 17 rozporządzenia (UE) 2020/852</w:t>
      </w:r>
      <w:r w:rsidRPr="003248E7">
        <w:rPr>
          <w:rFonts w:ascii="Calibri" w:eastAsia="Times New Roman" w:hAnsi="Calibri" w:cs="Calibri"/>
          <w:szCs w:val="22"/>
          <w:vertAlign w:val="superscript"/>
          <w:lang w:eastAsia="pl-PL"/>
        </w:rPr>
        <w:footnoteReference w:id="41"/>
      </w:r>
      <w:r w:rsidRPr="003248E7">
        <w:rPr>
          <w:rFonts w:ascii="Calibri" w:eastAsia="Times New Roman" w:hAnsi="Calibri" w:cs="Calibri"/>
          <w:szCs w:val="22"/>
          <w:lang w:eastAsia="pl-PL"/>
        </w:rPr>
        <w:t>. Pod pojęciem „poważnej szkody” uznaje się działalności skutkujące:</w:t>
      </w:r>
    </w:p>
    <w:p w14:paraId="2279FCF7" w14:textId="77777777" w:rsidR="009E0BD8" w:rsidRPr="003248E7" w:rsidRDefault="009E0BD8" w:rsidP="009E0BD8">
      <w:pPr>
        <w:numPr>
          <w:ilvl w:val="0"/>
          <w:numId w:val="48"/>
        </w:numPr>
        <w:contextualSpacing/>
        <w:jc w:val="both"/>
        <w:rPr>
          <w:rFonts w:ascii="Calibri" w:eastAsia="Times New Roman" w:hAnsi="Calibri" w:cs="Calibri"/>
          <w:szCs w:val="22"/>
          <w:lang w:eastAsia="pl-PL"/>
        </w:rPr>
      </w:pPr>
      <w:r w:rsidRPr="003248E7">
        <w:rPr>
          <w:rFonts w:ascii="Calibri" w:eastAsia="Times New Roman" w:hAnsi="Calibri" w:cs="Calibri"/>
          <w:szCs w:val="22"/>
          <w:lang w:eastAsia="pl-PL"/>
        </w:rPr>
        <w:t>znaczącą emisją gazów cieplarnianych,</w:t>
      </w:r>
    </w:p>
    <w:p w14:paraId="3CEA6034" w14:textId="77777777" w:rsidR="009E0BD8" w:rsidRPr="003248E7" w:rsidRDefault="009E0BD8" w:rsidP="009E0BD8">
      <w:pPr>
        <w:numPr>
          <w:ilvl w:val="0"/>
          <w:numId w:val="48"/>
        </w:numPr>
        <w:contextualSpacing/>
        <w:jc w:val="both"/>
        <w:rPr>
          <w:rFonts w:ascii="Calibri" w:eastAsia="Times New Roman" w:hAnsi="Calibri" w:cs="Calibri"/>
          <w:szCs w:val="22"/>
          <w:lang w:eastAsia="pl-PL"/>
        </w:rPr>
      </w:pPr>
      <w:r w:rsidRPr="003248E7">
        <w:rPr>
          <w:rFonts w:ascii="Calibri" w:eastAsia="Times New Roman" w:hAnsi="Calibri" w:cs="Calibri"/>
          <w:szCs w:val="22"/>
          <w:lang w:eastAsia="pl-PL"/>
        </w:rPr>
        <w:t>nasileniem niekorzystnych skutków obecnych i oczekiwanych, przyszłych warunków klimatycznych,</w:t>
      </w:r>
    </w:p>
    <w:p w14:paraId="067987E1" w14:textId="77777777" w:rsidR="009E0BD8" w:rsidRPr="003248E7" w:rsidRDefault="009E0BD8" w:rsidP="009E0BD8">
      <w:pPr>
        <w:numPr>
          <w:ilvl w:val="0"/>
          <w:numId w:val="48"/>
        </w:numPr>
        <w:contextualSpacing/>
        <w:jc w:val="both"/>
        <w:rPr>
          <w:rFonts w:ascii="Calibri" w:eastAsia="Times New Roman" w:hAnsi="Calibri" w:cs="Calibri"/>
          <w:szCs w:val="22"/>
          <w:lang w:eastAsia="pl-PL"/>
        </w:rPr>
      </w:pPr>
      <w:r w:rsidRPr="003248E7">
        <w:rPr>
          <w:rFonts w:ascii="Calibri" w:eastAsia="Times New Roman" w:hAnsi="Calibri" w:cs="Calibri"/>
          <w:szCs w:val="22"/>
          <w:lang w:eastAsia="pl-PL"/>
        </w:rPr>
        <w:t>poważnymi szkodami dobrego stanu lub dobrego potencjałowi ekologicznemu jednolitych części wód, w tym wód powierzchniowych i wód podziemnych; lub dobrego stanu środowiska wód morskich,</w:t>
      </w:r>
    </w:p>
    <w:p w14:paraId="7F5E862C" w14:textId="77777777" w:rsidR="009E0BD8" w:rsidRPr="003248E7" w:rsidRDefault="009E0BD8" w:rsidP="009E0BD8">
      <w:pPr>
        <w:numPr>
          <w:ilvl w:val="0"/>
          <w:numId w:val="48"/>
        </w:numPr>
        <w:contextualSpacing/>
        <w:jc w:val="both"/>
        <w:rPr>
          <w:rFonts w:ascii="Calibri" w:eastAsia="Times New Roman" w:hAnsi="Calibri" w:cs="Calibri"/>
          <w:szCs w:val="22"/>
          <w:lang w:eastAsia="pl-PL"/>
        </w:rPr>
      </w:pPr>
      <w:r w:rsidRPr="003248E7">
        <w:rPr>
          <w:rFonts w:ascii="Calibri" w:eastAsia="Times New Roman" w:hAnsi="Calibri" w:cs="Calibri"/>
          <w:szCs w:val="22"/>
          <w:lang w:eastAsia="pl-PL"/>
        </w:rPr>
        <w:t>znaczącym brakiem efektywności w wykorzystywaniu materiałów lub w bezpośrednim lub pośrednim wykorzystywaniu zasobów naturalnych, lub do znacznego zwiększenia wytwarzania, spalania lub unieszkodliwiania odpadów, lub jeżeli długotrwałe składowanie odpadów może wyrządzać poważne i długoterminowe szkody dla środowiska,</w:t>
      </w:r>
    </w:p>
    <w:p w14:paraId="684E321B" w14:textId="77777777" w:rsidR="009E0BD8" w:rsidRPr="003248E7" w:rsidRDefault="009E0BD8" w:rsidP="009E0BD8">
      <w:pPr>
        <w:numPr>
          <w:ilvl w:val="0"/>
          <w:numId w:val="48"/>
        </w:numPr>
        <w:contextualSpacing/>
        <w:jc w:val="both"/>
        <w:rPr>
          <w:rFonts w:ascii="Calibri" w:eastAsia="Times New Roman" w:hAnsi="Calibri" w:cs="Calibri"/>
          <w:szCs w:val="22"/>
          <w:lang w:eastAsia="pl-PL"/>
        </w:rPr>
      </w:pPr>
      <w:r w:rsidRPr="003248E7">
        <w:rPr>
          <w:rFonts w:ascii="Calibri" w:eastAsia="Times New Roman" w:hAnsi="Calibri" w:cs="Calibri"/>
          <w:szCs w:val="22"/>
          <w:lang w:eastAsia="pl-PL"/>
        </w:rPr>
        <w:t>znaczącym wzrostem emisji zanieczyszczeń do powietrza, wody lub ziemi,</w:t>
      </w:r>
    </w:p>
    <w:p w14:paraId="1AE513D9" w14:textId="77777777" w:rsidR="009E0BD8" w:rsidRPr="001E3242" w:rsidRDefault="009E0BD8" w:rsidP="009E0BD8">
      <w:pPr>
        <w:numPr>
          <w:ilvl w:val="0"/>
          <w:numId w:val="48"/>
        </w:numPr>
        <w:contextualSpacing/>
        <w:jc w:val="both"/>
        <w:rPr>
          <w:rFonts w:ascii="Calibri" w:eastAsia="Times New Roman" w:hAnsi="Calibri" w:cs="Calibri"/>
          <w:szCs w:val="22"/>
          <w:lang w:eastAsia="pl-PL"/>
        </w:rPr>
      </w:pPr>
      <w:r w:rsidRPr="003248E7">
        <w:rPr>
          <w:rFonts w:ascii="Calibri" w:eastAsia="Times New Roman" w:hAnsi="Calibri" w:cs="Calibri"/>
          <w:szCs w:val="22"/>
          <w:lang w:eastAsia="pl-PL"/>
        </w:rPr>
        <w:t xml:space="preserve">znacznymi szkodami dobrego stanu i odporności ekosystemów lub jest szkodliwa dla stanu zachowania siedlisk i gatunków, w tym siedlisk i gatunków objętych zakresem </w:t>
      </w:r>
      <w:r w:rsidRPr="001E3242">
        <w:rPr>
          <w:rFonts w:ascii="Calibri" w:eastAsia="Times New Roman" w:hAnsi="Calibri" w:cs="Calibri"/>
          <w:szCs w:val="22"/>
          <w:lang w:eastAsia="pl-PL"/>
        </w:rPr>
        <w:t>zainteresowania Unii.</w:t>
      </w:r>
    </w:p>
    <w:p w14:paraId="61371DBC" w14:textId="77777777" w:rsidR="009E0BD8" w:rsidRPr="001E3242" w:rsidRDefault="009E0BD8" w:rsidP="009E0BD8">
      <w:pPr>
        <w:jc w:val="both"/>
        <w:rPr>
          <w:rFonts w:ascii="Calibri" w:eastAsia="Times New Roman" w:hAnsi="Calibri" w:cs="Calibri"/>
          <w:szCs w:val="22"/>
          <w:lang w:eastAsia="pl-PL"/>
        </w:rPr>
      </w:pPr>
      <w:r w:rsidRPr="001E3242">
        <w:rPr>
          <w:rFonts w:ascii="Calibri" w:eastAsia="Times New Roman" w:hAnsi="Calibri" w:cs="Calibri"/>
          <w:b/>
          <w:szCs w:val="22"/>
          <w:lang w:eastAsia="pl-PL"/>
        </w:rPr>
        <w:t>Logika interwencji FEPZ 2021-2027 została oparta m.in. na wyzwaniach na perspektywę 2021-2027 określonych przez KE i przyjętych przez Radę UE w Zaleceniach do Raportów rocznych dla Polski (CSR) z 2019 i 2020 roku, zatem wsparciem powinny zostać objęte wyłącznie projekty zgodne z zasadą DNSH. Proponuje się monitorować intensywność wkładu w realizacji celów środowiskowych określonych rozporządzeniem (UE) 2020/852 dla możliwości zmaksymalizowania efektu środowiskowego zgodnie z Europejskim Zielonym Ładem dla osiągnięci</w:t>
      </w:r>
      <w:r>
        <w:rPr>
          <w:rFonts w:ascii="Calibri" w:eastAsia="Times New Roman" w:hAnsi="Calibri" w:cs="Calibri"/>
          <w:b/>
          <w:szCs w:val="22"/>
          <w:lang w:eastAsia="pl-PL"/>
        </w:rPr>
        <w:t>a</w:t>
      </w:r>
      <w:r w:rsidRPr="001E3242">
        <w:rPr>
          <w:rFonts w:ascii="Calibri" w:eastAsia="Times New Roman" w:hAnsi="Calibri" w:cs="Calibri"/>
          <w:b/>
          <w:szCs w:val="22"/>
          <w:lang w:eastAsia="pl-PL"/>
        </w:rPr>
        <w:t xml:space="preserve"> neutralności klimatycznej Unii do 2050 r. </w:t>
      </w:r>
      <w:r w:rsidRPr="001E3242">
        <w:rPr>
          <w:rFonts w:ascii="Calibri" w:eastAsia="Times New Roman" w:hAnsi="Calibri" w:cs="Calibri"/>
          <w:szCs w:val="22"/>
          <w:lang w:eastAsia="pl-PL"/>
        </w:rPr>
        <w:t>Ocena projektów powinna zatem przebiegać pod kątem wkładu w realizację polityki zrównoważonego rozwoju w odniesieniu do sześciu celów środowiskowych wymienionych w ww. rozporządzeniu:</w:t>
      </w:r>
    </w:p>
    <w:p w14:paraId="1A7C8E17" w14:textId="77777777" w:rsidR="009E0BD8" w:rsidRPr="001E3242" w:rsidRDefault="009E0BD8" w:rsidP="009E0BD8">
      <w:pPr>
        <w:numPr>
          <w:ilvl w:val="0"/>
          <w:numId w:val="47"/>
        </w:numPr>
        <w:contextualSpacing/>
        <w:jc w:val="both"/>
        <w:rPr>
          <w:rFonts w:ascii="Calibri" w:eastAsia="Times New Roman" w:hAnsi="Calibri" w:cs="Calibri"/>
          <w:szCs w:val="22"/>
          <w:lang w:eastAsia="pl-PL"/>
        </w:rPr>
      </w:pPr>
      <w:r w:rsidRPr="001E3242">
        <w:rPr>
          <w:rFonts w:ascii="Calibri" w:eastAsia="Times New Roman" w:hAnsi="Calibri" w:cs="Calibri"/>
          <w:szCs w:val="22"/>
          <w:lang w:eastAsia="pl-PL"/>
        </w:rPr>
        <w:t>łagodzenie zmian klimatu;</w:t>
      </w:r>
    </w:p>
    <w:p w14:paraId="3763C533" w14:textId="77777777" w:rsidR="009E0BD8" w:rsidRPr="001E3242" w:rsidRDefault="009E0BD8" w:rsidP="009E0BD8">
      <w:pPr>
        <w:numPr>
          <w:ilvl w:val="0"/>
          <w:numId w:val="47"/>
        </w:numPr>
        <w:contextualSpacing/>
        <w:jc w:val="both"/>
        <w:rPr>
          <w:rFonts w:ascii="Calibri" w:eastAsia="Times New Roman" w:hAnsi="Calibri" w:cs="Calibri"/>
          <w:szCs w:val="22"/>
          <w:lang w:eastAsia="pl-PL"/>
        </w:rPr>
      </w:pPr>
      <w:r w:rsidRPr="001E3242">
        <w:rPr>
          <w:rFonts w:ascii="Calibri" w:eastAsia="Times New Roman" w:hAnsi="Calibri" w:cs="Calibri"/>
          <w:szCs w:val="22"/>
          <w:lang w:eastAsia="pl-PL"/>
        </w:rPr>
        <w:t>adaptacja do zmian klimatu;</w:t>
      </w:r>
    </w:p>
    <w:p w14:paraId="0990FBE3" w14:textId="77777777" w:rsidR="009E0BD8" w:rsidRPr="001E3242" w:rsidRDefault="009E0BD8" w:rsidP="009E0BD8">
      <w:pPr>
        <w:numPr>
          <w:ilvl w:val="0"/>
          <w:numId w:val="47"/>
        </w:numPr>
        <w:contextualSpacing/>
        <w:jc w:val="both"/>
        <w:rPr>
          <w:rFonts w:ascii="Calibri" w:eastAsia="Times New Roman" w:hAnsi="Calibri" w:cs="Calibri"/>
          <w:szCs w:val="22"/>
          <w:lang w:eastAsia="pl-PL"/>
        </w:rPr>
      </w:pPr>
      <w:r w:rsidRPr="001E3242">
        <w:rPr>
          <w:rFonts w:ascii="Calibri" w:eastAsia="Times New Roman" w:hAnsi="Calibri" w:cs="Calibri"/>
          <w:szCs w:val="22"/>
          <w:lang w:eastAsia="pl-PL"/>
        </w:rPr>
        <w:t>zrównoważone wykorzystywanie i ochrona zasobów wodnych i morskich;</w:t>
      </w:r>
    </w:p>
    <w:p w14:paraId="1A1BFC73" w14:textId="77777777" w:rsidR="009E0BD8" w:rsidRPr="001E3242" w:rsidRDefault="009E0BD8" w:rsidP="009E0BD8">
      <w:pPr>
        <w:numPr>
          <w:ilvl w:val="0"/>
          <w:numId w:val="47"/>
        </w:numPr>
        <w:contextualSpacing/>
        <w:jc w:val="both"/>
        <w:rPr>
          <w:rFonts w:ascii="Calibri" w:eastAsia="Times New Roman" w:hAnsi="Calibri" w:cs="Calibri"/>
          <w:szCs w:val="22"/>
          <w:lang w:eastAsia="pl-PL"/>
        </w:rPr>
      </w:pPr>
      <w:r w:rsidRPr="001E3242">
        <w:rPr>
          <w:rFonts w:ascii="Calibri" w:eastAsia="Times New Roman" w:hAnsi="Calibri" w:cs="Calibri"/>
          <w:szCs w:val="22"/>
          <w:lang w:eastAsia="pl-PL"/>
        </w:rPr>
        <w:t>przejście na gospodarkę o obiegu zamkniętym;</w:t>
      </w:r>
    </w:p>
    <w:p w14:paraId="3EB0781B" w14:textId="77777777" w:rsidR="009E0BD8" w:rsidRPr="001E3242" w:rsidRDefault="009E0BD8" w:rsidP="009E0BD8">
      <w:pPr>
        <w:numPr>
          <w:ilvl w:val="0"/>
          <w:numId w:val="47"/>
        </w:numPr>
        <w:contextualSpacing/>
        <w:jc w:val="both"/>
        <w:rPr>
          <w:rFonts w:ascii="Calibri" w:eastAsia="Times New Roman" w:hAnsi="Calibri" w:cs="Calibri"/>
          <w:szCs w:val="22"/>
          <w:lang w:eastAsia="pl-PL"/>
        </w:rPr>
      </w:pPr>
      <w:r w:rsidRPr="001E3242">
        <w:rPr>
          <w:rFonts w:ascii="Calibri" w:eastAsia="Times New Roman" w:hAnsi="Calibri" w:cs="Calibri"/>
          <w:szCs w:val="22"/>
          <w:lang w:eastAsia="pl-PL"/>
        </w:rPr>
        <w:t>zapobieganie zanieczyszczeniu i jego kontrola;</w:t>
      </w:r>
    </w:p>
    <w:p w14:paraId="12FC83B8" w14:textId="77777777" w:rsidR="009E0BD8" w:rsidRPr="001E3242" w:rsidRDefault="009E0BD8" w:rsidP="009E0BD8">
      <w:pPr>
        <w:numPr>
          <w:ilvl w:val="0"/>
          <w:numId w:val="47"/>
        </w:numPr>
        <w:contextualSpacing/>
        <w:jc w:val="both"/>
        <w:rPr>
          <w:rFonts w:ascii="Calibri" w:eastAsia="Times New Roman" w:hAnsi="Calibri" w:cs="Calibri"/>
          <w:szCs w:val="22"/>
          <w:lang w:eastAsia="pl-PL"/>
        </w:rPr>
      </w:pPr>
      <w:r w:rsidRPr="001E3242">
        <w:rPr>
          <w:rFonts w:ascii="Calibri" w:eastAsia="Times New Roman" w:hAnsi="Calibri" w:cs="Calibri"/>
          <w:szCs w:val="22"/>
          <w:lang w:eastAsia="pl-PL"/>
        </w:rPr>
        <w:t>ochrona i odbudowa bioróżnorodności i ekosystemów.</w:t>
      </w:r>
    </w:p>
    <w:p w14:paraId="7C55F07F" w14:textId="77777777" w:rsidR="009E0BD8" w:rsidRPr="001E3242" w:rsidRDefault="009E0BD8" w:rsidP="009E0BD8">
      <w:pPr>
        <w:jc w:val="both"/>
        <w:rPr>
          <w:rFonts w:ascii="Calibri" w:eastAsia="Times New Roman" w:hAnsi="Calibri" w:cs="Calibri"/>
          <w:szCs w:val="22"/>
          <w:lang w:eastAsia="pl-PL"/>
        </w:rPr>
      </w:pPr>
      <w:r w:rsidRPr="001E3242">
        <w:rPr>
          <w:rFonts w:ascii="Calibri" w:eastAsia="Times New Roman" w:hAnsi="Calibri" w:cs="Calibri"/>
          <w:szCs w:val="22"/>
          <w:lang w:eastAsia="pl-PL"/>
        </w:rPr>
        <w:t>Kryterium to jest zgodne z rozporządzeniem (UE) 2020/852 i brzmi: kryterium istotnego wkładu danej działalności gospodarczej w realizację co najmniej jednego z celów środowiskowych.</w:t>
      </w:r>
    </w:p>
    <w:p w14:paraId="07F8435B" w14:textId="77777777" w:rsidR="009E0BD8" w:rsidRPr="001E3242" w:rsidRDefault="009E0BD8" w:rsidP="009E0BD8">
      <w:pPr>
        <w:jc w:val="both"/>
        <w:rPr>
          <w:rFonts w:ascii="Calibri" w:eastAsia="Calibri" w:hAnsi="Calibri" w:cs="Calibri"/>
          <w:szCs w:val="22"/>
          <w:lang w:eastAsia="pl-PL"/>
        </w:rPr>
      </w:pPr>
      <w:r w:rsidRPr="001E3242">
        <w:rPr>
          <w:rFonts w:ascii="Calibri" w:eastAsia="Calibri" w:hAnsi="Calibri" w:cs="Calibri"/>
          <w:b/>
          <w:szCs w:val="22"/>
          <w:lang w:eastAsia="pl-PL"/>
        </w:rPr>
        <w:t>Beneficjent powinien zatem odnieść się do powyższych kryteriów środowiskowych na etapie aplikowania wykazując, że wnioskowany projekt nie powinien powodować poważnych szkód dla celów środowiskowych i jednocześnie określić intensywność wkładu projektu w realizację celów środowiskowych z wykorzystaniem uregulowań odnoszących się do taksonomii UE, w szczególności w odniesieniu do spełnienia technicznych kryteriów klasyfikacji.</w:t>
      </w:r>
      <w:r w:rsidRPr="001E3242">
        <w:rPr>
          <w:rFonts w:ascii="Calibri" w:eastAsia="Calibri" w:hAnsi="Calibri" w:cs="Calibri"/>
          <w:szCs w:val="22"/>
          <w:lang w:eastAsia="pl-PL"/>
        </w:rPr>
        <w:t xml:space="preserve"> Kryteria te, są puntem odniesienia dla podmiotów przygotowujących przedsięwzięcia, jak i osób oceniających projekty dla różnych przedsięwzięć celem jednoznacznego przesądzenia o zgodności z zasadą </w:t>
      </w:r>
      <w:r w:rsidRPr="001E3242">
        <w:rPr>
          <w:rFonts w:ascii="Calibri" w:eastAsia="Times New Roman" w:hAnsi="Calibri" w:cs="Calibri"/>
          <w:szCs w:val="22"/>
          <w:lang w:eastAsia="pl-PL"/>
        </w:rPr>
        <w:t>„nie czyń poważnej szkody”</w:t>
      </w:r>
      <w:r w:rsidRPr="001E3242">
        <w:rPr>
          <w:rFonts w:ascii="Calibri" w:eastAsia="Calibri" w:hAnsi="Calibri" w:cs="Calibri"/>
          <w:szCs w:val="22"/>
          <w:lang w:eastAsia="pl-PL"/>
        </w:rPr>
        <w:t xml:space="preserve">. </w:t>
      </w:r>
    </w:p>
    <w:p w14:paraId="5A3CC044" w14:textId="77777777" w:rsidR="009E0BD8" w:rsidRPr="001E3242" w:rsidRDefault="009E0BD8" w:rsidP="009E0BD8">
      <w:pPr>
        <w:jc w:val="both"/>
        <w:rPr>
          <w:rFonts w:ascii="Calibri" w:eastAsia="Calibri" w:hAnsi="Calibri" w:cs="Calibri"/>
          <w:szCs w:val="22"/>
          <w:lang w:eastAsia="pl-PL"/>
        </w:rPr>
      </w:pPr>
      <w:r w:rsidRPr="001E3242">
        <w:rPr>
          <w:rFonts w:ascii="Calibri" w:eastAsia="Calibri" w:hAnsi="Calibri" w:cs="Calibri"/>
          <w:szCs w:val="22"/>
          <w:lang w:eastAsia="pl-PL"/>
        </w:rPr>
        <w:t>W w/w rozporządzeniu ustanowiono również kryterium związane z minimalnymi gwarancjami dla prowadzonej działalności.</w:t>
      </w:r>
    </w:p>
    <w:p w14:paraId="67A8D21C" w14:textId="77777777" w:rsidR="009E0BD8" w:rsidRPr="001E3242" w:rsidRDefault="009E0BD8" w:rsidP="009E0BD8">
      <w:pPr>
        <w:jc w:val="both"/>
        <w:rPr>
          <w:rFonts w:ascii="Calibri" w:eastAsia="Calibri" w:hAnsi="Calibri" w:cs="Calibri"/>
          <w:szCs w:val="22"/>
          <w:lang w:eastAsia="pl-PL"/>
        </w:rPr>
      </w:pPr>
      <w:r w:rsidRPr="001E3242">
        <w:rPr>
          <w:rFonts w:ascii="Calibri" w:eastAsia="Calibri" w:hAnsi="Calibri" w:cs="Calibri"/>
          <w:szCs w:val="22"/>
          <w:lang w:eastAsia="pl-PL"/>
        </w:rPr>
        <w:t>Dla nowej perspektywy sugeruje się zatem uzupełnienie dotychczas stosowanych oświadczeń związanych z ochroną środowiska o deklarację zgodności projektu z kryteriami w rozumieniu art. 17 rozporządzenia w sprawie taksonomii (UE) nr 2020/852.</w:t>
      </w:r>
    </w:p>
    <w:p w14:paraId="52915B1B" w14:textId="190B6791" w:rsidR="009E0BD8" w:rsidRPr="001E3242" w:rsidRDefault="009E0BD8" w:rsidP="009E0BD8">
      <w:pPr>
        <w:jc w:val="both"/>
        <w:rPr>
          <w:rFonts w:ascii="Calibri" w:eastAsia="Calibri" w:hAnsi="Calibri" w:cs="Calibri"/>
          <w:szCs w:val="22"/>
          <w:lang w:eastAsia="pl-PL"/>
        </w:rPr>
      </w:pPr>
      <w:r w:rsidRPr="001E3242">
        <w:rPr>
          <w:rFonts w:ascii="Calibri" w:eastAsia="Calibri" w:hAnsi="Calibri" w:cs="Calibri"/>
          <w:szCs w:val="22"/>
          <w:lang w:eastAsia="pl-PL"/>
        </w:rPr>
        <w:t>Zasadę maksymalizacji efektywności realizacji celów środowiskowych i klimatycznych Unii Europejskiej w ramach FEPZ 2021-2027 proponuj</w:t>
      </w:r>
      <w:r w:rsidR="00817B74">
        <w:rPr>
          <w:rFonts w:ascii="Calibri" w:eastAsia="Calibri" w:hAnsi="Calibri" w:cs="Calibri"/>
          <w:szCs w:val="22"/>
          <w:lang w:eastAsia="pl-PL"/>
        </w:rPr>
        <w:t>e</w:t>
      </w:r>
      <w:r w:rsidRPr="001E3242">
        <w:rPr>
          <w:rFonts w:ascii="Calibri" w:eastAsia="Calibri" w:hAnsi="Calibri" w:cs="Calibri"/>
          <w:szCs w:val="22"/>
          <w:lang w:eastAsia="pl-PL"/>
        </w:rPr>
        <w:t xml:space="preserve"> się zastosować fakultatywne, w oparciu o dodatkowe kryteria oceny merytorycznej</w:t>
      </w:r>
      <w:r>
        <w:rPr>
          <w:rFonts w:ascii="Calibri" w:eastAsia="Calibri" w:hAnsi="Calibri" w:cs="Calibri"/>
          <w:szCs w:val="22"/>
          <w:lang w:eastAsia="pl-PL"/>
        </w:rPr>
        <w:t>.</w:t>
      </w:r>
      <w:r w:rsidRPr="001E3242">
        <w:rPr>
          <w:rFonts w:ascii="Calibri" w:eastAsia="Calibri" w:hAnsi="Calibri" w:cs="Calibri"/>
          <w:szCs w:val="22"/>
          <w:lang w:eastAsia="pl-PL"/>
        </w:rPr>
        <w:t xml:space="preserve"> </w:t>
      </w:r>
      <w:r>
        <w:rPr>
          <w:rFonts w:ascii="Calibri" w:eastAsia="Calibri" w:hAnsi="Calibri" w:cs="Calibri"/>
          <w:szCs w:val="22"/>
          <w:lang w:eastAsia="pl-PL"/>
        </w:rPr>
        <w:t>Kryteria</w:t>
      </w:r>
      <w:r w:rsidRPr="001E3242">
        <w:rPr>
          <w:rFonts w:ascii="Calibri" w:eastAsia="Calibri" w:hAnsi="Calibri" w:cs="Calibri"/>
          <w:szCs w:val="22"/>
          <w:lang w:eastAsia="pl-PL"/>
        </w:rPr>
        <w:t xml:space="preserve"> w założeniach </w:t>
      </w:r>
      <w:r>
        <w:rPr>
          <w:rFonts w:ascii="Calibri" w:eastAsia="Calibri" w:hAnsi="Calibri" w:cs="Calibri"/>
          <w:szCs w:val="22"/>
          <w:lang w:eastAsia="pl-PL"/>
        </w:rPr>
        <w:t>mają beneficjentów motywować do</w:t>
      </w:r>
      <w:r w:rsidRPr="001E3242">
        <w:rPr>
          <w:rFonts w:ascii="Calibri" w:eastAsia="Calibri" w:hAnsi="Calibri" w:cs="Calibri"/>
          <w:szCs w:val="22"/>
          <w:lang w:eastAsia="pl-PL"/>
        </w:rPr>
        <w:t xml:space="preserve"> formułowania projekt</w:t>
      </w:r>
      <w:r>
        <w:rPr>
          <w:rFonts w:ascii="Calibri" w:eastAsia="Calibri" w:hAnsi="Calibri" w:cs="Calibri"/>
          <w:szCs w:val="22"/>
          <w:lang w:eastAsia="pl-PL"/>
        </w:rPr>
        <w:t>ów wnoszących wkład w realizację</w:t>
      </w:r>
      <w:r w:rsidRPr="001E3242">
        <w:rPr>
          <w:rFonts w:ascii="Calibri" w:eastAsia="Calibri" w:hAnsi="Calibri" w:cs="Calibri"/>
          <w:szCs w:val="22"/>
          <w:lang w:eastAsia="pl-PL"/>
        </w:rPr>
        <w:t xml:space="preserve"> celów środowiskowych</w:t>
      </w:r>
      <w:r w:rsidRPr="001E3242">
        <w:rPr>
          <w:rFonts w:ascii="Calibri" w:eastAsia="Times New Roman" w:hAnsi="Calibri" w:cs="Times New Roman"/>
          <w:color w:val="000000"/>
          <w:szCs w:val="24"/>
          <w:lang w:eastAsia="pl-PL"/>
        </w:rPr>
        <w:t xml:space="preserve"> ale jednocześnie nie powinny stanowić bariery dla realizacji innych niezbędnych projektów</w:t>
      </w:r>
      <w:r>
        <w:rPr>
          <w:rFonts w:ascii="Calibri" w:eastAsia="Times New Roman" w:hAnsi="Calibri" w:cs="Times New Roman"/>
          <w:color w:val="000000"/>
          <w:szCs w:val="24"/>
          <w:lang w:eastAsia="pl-PL"/>
        </w:rPr>
        <w:t xml:space="preserve"> istotnych z punktu widzenia</w:t>
      </w:r>
      <w:r w:rsidRPr="001E3242">
        <w:rPr>
          <w:rFonts w:ascii="Calibri" w:eastAsia="Times New Roman" w:hAnsi="Calibri" w:cs="Times New Roman"/>
          <w:color w:val="000000"/>
          <w:szCs w:val="24"/>
          <w:lang w:eastAsia="pl-PL"/>
        </w:rPr>
        <w:t xml:space="preserve"> celów FEPZ 2021-2027.</w:t>
      </w:r>
      <w:r w:rsidRPr="001E3242">
        <w:rPr>
          <w:rFonts w:ascii="Calibri" w:eastAsia="Calibri" w:hAnsi="Calibri" w:cs="Calibri"/>
          <w:szCs w:val="22"/>
          <w:lang w:eastAsia="pl-PL"/>
        </w:rPr>
        <w:t xml:space="preserve"> </w:t>
      </w:r>
      <w:r>
        <w:rPr>
          <w:rFonts w:ascii="Calibri" w:eastAsia="Calibri" w:hAnsi="Calibri" w:cs="Calibri"/>
          <w:szCs w:val="22"/>
          <w:lang w:eastAsia="pl-PL"/>
        </w:rPr>
        <w:t>Tym samym projekty powinny wnosić istotny wkład w realizację celów środowiskowych określonych w rozporządzeniu (UE) 2020/852.</w:t>
      </w:r>
    </w:p>
    <w:p w14:paraId="2D60F9F8" w14:textId="77777777" w:rsidR="009E0BD8" w:rsidRPr="005B7450" w:rsidRDefault="009E0BD8" w:rsidP="009E0BD8">
      <w:pPr>
        <w:jc w:val="both"/>
        <w:rPr>
          <w:rFonts w:ascii="Calibri" w:eastAsia="Calibri" w:hAnsi="Calibri" w:cs="Calibri"/>
          <w:b/>
          <w:szCs w:val="22"/>
          <w:lang w:eastAsia="pl-PL"/>
        </w:rPr>
      </w:pPr>
      <w:r>
        <w:rPr>
          <w:rFonts w:ascii="Calibri" w:eastAsia="Calibri" w:hAnsi="Calibri" w:cs="Calibri"/>
          <w:szCs w:val="22"/>
          <w:lang w:eastAsia="pl-PL"/>
        </w:rPr>
        <w:t>Powinna</w:t>
      </w:r>
      <w:r w:rsidRPr="001E3242">
        <w:rPr>
          <w:rFonts w:ascii="Calibri" w:eastAsia="Calibri" w:hAnsi="Calibri" w:cs="Calibri"/>
          <w:szCs w:val="22"/>
          <w:lang w:eastAsia="pl-PL"/>
        </w:rPr>
        <w:t xml:space="preserve"> również zostać uwzględniona </w:t>
      </w:r>
      <w:r>
        <w:rPr>
          <w:rFonts w:ascii="Calibri" w:eastAsia="Calibri" w:hAnsi="Calibri" w:cs="Calibri"/>
          <w:szCs w:val="22"/>
          <w:lang w:eastAsia="pl-PL"/>
        </w:rPr>
        <w:t>z</w:t>
      </w:r>
      <w:r w:rsidRPr="001E3242">
        <w:rPr>
          <w:rFonts w:ascii="Calibri" w:eastAsia="Calibri" w:hAnsi="Calibri" w:cs="Calibri"/>
          <w:szCs w:val="22"/>
          <w:lang w:eastAsia="pl-PL"/>
        </w:rPr>
        <w:t>miana podejścia oceny projektów i ich rezultatów w kontekście cyklu ich życia. Zasadna jest promocja w projektach wspieranych w ramach FEPZ 2021-2027 ekoprojektowania oraz innych rozwiązań związanych z minimalizowaniem negatywnego wpływu na środowisko i klimat, zrównoważonych środowiskowo modeli biznesowych. Proponuje się na etapie oceny projektów</w:t>
      </w:r>
      <w:r w:rsidRPr="005B7450">
        <w:rPr>
          <w:rFonts w:ascii="Calibri" w:eastAsia="Calibri" w:hAnsi="Calibri" w:cs="Calibri"/>
          <w:szCs w:val="22"/>
          <w:lang w:eastAsia="pl-PL"/>
        </w:rPr>
        <w:t xml:space="preserve"> </w:t>
      </w:r>
      <w:r w:rsidRPr="001E3242">
        <w:rPr>
          <w:rFonts w:ascii="Calibri" w:eastAsia="Calibri" w:hAnsi="Calibri" w:cs="Calibri"/>
          <w:szCs w:val="22"/>
          <w:lang w:eastAsia="pl-PL"/>
        </w:rPr>
        <w:t>uwzględnić kryterium:</w:t>
      </w:r>
      <w:r>
        <w:rPr>
          <w:rFonts w:ascii="Calibri" w:eastAsia="Calibri" w:hAnsi="Calibri" w:cs="Calibri"/>
          <w:szCs w:val="22"/>
          <w:lang w:eastAsia="pl-PL"/>
        </w:rPr>
        <w:t xml:space="preserve"> </w:t>
      </w:r>
      <w:r w:rsidRPr="005B7450">
        <w:rPr>
          <w:rFonts w:ascii="Calibri" w:eastAsia="Calibri" w:hAnsi="Calibri" w:cs="Calibri"/>
          <w:b/>
          <w:szCs w:val="22"/>
          <w:lang w:eastAsia="pl-PL"/>
        </w:rPr>
        <w:t xml:space="preserve">Projekt uwzględnia </w:t>
      </w:r>
      <w:r>
        <w:rPr>
          <w:rFonts w:ascii="Calibri" w:eastAsia="Calibri" w:hAnsi="Calibri" w:cs="Calibri"/>
          <w:b/>
          <w:szCs w:val="22"/>
          <w:lang w:eastAsia="pl-PL"/>
        </w:rPr>
        <w:t>zasady ekoprojektowania</w:t>
      </w:r>
      <w:r w:rsidRPr="005B7450">
        <w:rPr>
          <w:rFonts w:ascii="Calibri" w:eastAsia="Calibri" w:hAnsi="Calibri" w:cs="Calibri"/>
          <w:b/>
          <w:szCs w:val="22"/>
          <w:lang w:eastAsia="pl-PL"/>
        </w:rPr>
        <w:t xml:space="preserve"> lub inne rozwiązania związane z optymalizacją zużycia surowców, materiałów, energii i ograniczeniem ilości odpadów, stosowaniem zrównoważonych środowiskowo modeli biznesowych.</w:t>
      </w:r>
    </w:p>
    <w:p w14:paraId="7C626CCB" w14:textId="77777777" w:rsidR="009E0BD8" w:rsidRPr="001E3242" w:rsidRDefault="009E0BD8" w:rsidP="009E0BD8">
      <w:pPr>
        <w:jc w:val="both"/>
        <w:rPr>
          <w:rFonts w:ascii="Calibri" w:eastAsia="Calibri" w:hAnsi="Calibri" w:cs="Calibri"/>
          <w:szCs w:val="22"/>
          <w:lang w:eastAsia="pl-PL"/>
        </w:rPr>
      </w:pPr>
      <w:r w:rsidRPr="001E3242">
        <w:rPr>
          <w:rFonts w:ascii="Calibri" w:eastAsia="Calibri" w:hAnsi="Calibri" w:cs="Calibri"/>
          <w:szCs w:val="22"/>
          <w:lang w:eastAsia="pl-PL"/>
        </w:rPr>
        <w:t>Proponowane zasady monitoringu skutków realizacji postanowień Programu wynikają bezpośrednio z zapisów art. 55 ust. 3 pkt. 5 ustawy</w:t>
      </w:r>
      <w:r>
        <w:rPr>
          <w:rFonts w:ascii="Calibri" w:eastAsia="Calibri" w:hAnsi="Calibri" w:cs="Calibri"/>
          <w:szCs w:val="22"/>
          <w:lang w:eastAsia="pl-PL"/>
        </w:rPr>
        <w:t xml:space="preserve"> OO</w:t>
      </w:r>
      <w:r w:rsidRPr="001E3242">
        <w:rPr>
          <w:rFonts w:ascii="Calibri" w:eastAsia="Calibri" w:hAnsi="Calibri" w:cs="Calibri"/>
          <w:szCs w:val="22"/>
          <w:lang w:eastAsia="pl-PL"/>
        </w:rPr>
        <w:t>Ś</w:t>
      </w:r>
      <w:r>
        <w:rPr>
          <w:rFonts w:ascii="Calibri" w:eastAsia="Calibri" w:hAnsi="Calibri" w:cs="Calibri"/>
          <w:szCs w:val="22"/>
          <w:lang w:eastAsia="pl-PL"/>
        </w:rPr>
        <w:t xml:space="preserve"> i o</w:t>
      </w:r>
      <w:r w:rsidRPr="001E3242">
        <w:rPr>
          <w:rFonts w:ascii="Calibri" w:eastAsia="Calibri" w:hAnsi="Calibri" w:cs="Calibri"/>
          <w:szCs w:val="22"/>
          <w:lang w:eastAsia="pl-PL"/>
        </w:rPr>
        <w:t>blig</w:t>
      </w:r>
      <w:r>
        <w:rPr>
          <w:rFonts w:ascii="Calibri" w:eastAsia="Calibri" w:hAnsi="Calibri" w:cs="Calibri"/>
          <w:szCs w:val="22"/>
          <w:lang w:eastAsia="pl-PL"/>
        </w:rPr>
        <w:t>ują Zarząd Województwa Zachodniopomorskiego</w:t>
      </w:r>
      <w:r w:rsidRPr="001E3242">
        <w:rPr>
          <w:rFonts w:ascii="Calibri" w:eastAsia="Calibri" w:hAnsi="Calibri" w:cs="Calibri"/>
          <w:szCs w:val="22"/>
          <w:lang w:eastAsia="pl-PL"/>
        </w:rPr>
        <w:t xml:space="preserve"> do </w:t>
      </w:r>
      <w:r>
        <w:rPr>
          <w:rFonts w:ascii="Calibri" w:eastAsia="Calibri" w:hAnsi="Calibri" w:cs="Calibri"/>
          <w:szCs w:val="22"/>
          <w:lang w:eastAsia="pl-PL"/>
        </w:rPr>
        <w:t xml:space="preserve">jego realizacji. Proponowane </w:t>
      </w:r>
      <w:r w:rsidRPr="001E3242">
        <w:rPr>
          <w:rFonts w:ascii="Calibri" w:eastAsia="Calibri" w:hAnsi="Calibri" w:cs="Calibri"/>
          <w:szCs w:val="22"/>
          <w:lang w:eastAsia="pl-PL"/>
        </w:rPr>
        <w:t xml:space="preserve">zasady </w:t>
      </w:r>
      <w:r>
        <w:rPr>
          <w:rFonts w:ascii="Calibri" w:eastAsia="Calibri" w:hAnsi="Calibri" w:cs="Calibri"/>
          <w:szCs w:val="22"/>
          <w:lang w:eastAsia="pl-PL"/>
        </w:rPr>
        <w:t xml:space="preserve">monitoringu </w:t>
      </w:r>
      <w:r w:rsidRPr="001E3242">
        <w:rPr>
          <w:rFonts w:ascii="Calibri" w:eastAsia="Calibri" w:hAnsi="Calibri" w:cs="Calibri"/>
          <w:szCs w:val="22"/>
          <w:lang w:eastAsia="pl-PL"/>
        </w:rPr>
        <w:t>oparto o dotychczasowe doświadczenia związane z opracowaniem prognoz oddziaływania na środowisko planów i programów.</w:t>
      </w:r>
    </w:p>
    <w:p w14:paraId="66F48F72" w14:textId="77777777" w:rsidR="009E0BD8" w:rsidRPr="001E3242" w:rsidRDefault="009E0BD8" w:rsidP="009E0BD8">
      <w:pPr>
        <w:jc w:val="both"/>
        <w:rPr>
          <w:rFonts w:ascii="Calibri" w:eastAsia="Calibri" w:hAnsi="Calibri" w:cs="Calibri"/>
          <w:szCs w:val="22"/>
          <w:lang w:eastAsia="pl-PL"/>
        </w:rPr>
      </w:pPr>
      <w:r w:rsidRPr="001E3242">
        <w:rPr>
          <w:rFonts w:ascii="Calibri" w:eastAsia="Calibri" w:hAnsi="Calibri" w:cs="Calibri"/>
          <w:szCs w:val="22"/>
          <w:lang w:eastAsia="pl-PL"/>
        </w:rPr>
        <w:t>Wskazane jest, aby ocenę wpływu Programu na kwestie zrównoważonego rozwoju dokonać w trybie ex-ante, on-going i ex-post dla zobrazowania tendencji zmian:</w:t>
      </w:r>
    </w:p>
    <w:p w14:paraId="4F2FF13D" w14:textId="77777777" w:rsidR="009E0BD8" w:rsidRPr="001E3242" w:rsidRDefault="009E0BD8" w:rsidP="009E0BD8">
      <w:pPr>
        <w:numPr>
          <w:ilvl w:val="0"/>
          <w:numId w:val="49"/>
        </w:numPr>
        <w:contextualSpacing/>
        <w:jc w:val="both"/>
        <w:rPr>
          <w:rFonts w:ascii="Calibri" w:eastAsia="Calibri" w:hAnsi="Calibri" w:cs="Calibri"/>
          <w:szCs w:val="22"/>
          <w:lang w:eastAsia="pl-PL"/>
        </w:rPr>
      </w:pPr>
      <w:r w:rsidRPr="001E3242">
        <w:rPr>
          <w:rFonts w:ascii="Calibri" w:eastAsia="Calibri" w:hAnsi="Calibri" w:cs="Calibri"/>
          <w:szCs w:val="22"/>
          <w:lang w:eastAsia="pl-PL"/>
        </w:rPr>
        <w:t>badanie ex-ante przeprowadzane przed rozpoczęciem interwencji dla dokonania oceny programu pod względem trafności, spójności oraz przewidywanej skuteczności i efektywność planowanych działań na kwestie zrównoważonego rozwoju, w tym klimatyczne,</w:t>
      </w:r>
    </w:p>
    <w:p w14:paraId="7D468F6B" w14:textId="77777777" w:rsidR="009E0BD8" w:rsidRPr="001E3242" w:rsidRDefault="009E0BD8" w:rsidP="009E0BD8">
      <w:pPr>
        <w:numPr>
          <w:ilvl w:val="0"/>
          <w:numId w:val="49"/>
        </w:numPr>
        <w:contextualSpacing/>
        <w:jc w:val="both"/>
        <w:rPr>
          <w:rFonts w:ascii="Calibri" w:eastAsia="Calibri" w:hAnsi="Calibri" w:cs="Calibri"/>
          <w:szCs w:val="22"/>
          <w:lang w:eastAsia="pl-PL"/>
        </w:rPr>
      </w:pPr>
      <w:r w:rsidRPr="001E3242">
        <w:rPr>
          <w:rFonts w:ascii="Calibri" w:eastAsia="Calibri" w:hAnsi="Calibri" w:cs="Calibri"/>
          <w:szCs w:val="22"/>
          <w:lang w:eastAsia="pl-PL"/>
        </w:rPr>
        <w:t>badanie on-going, realizowane na etapie wdrażania programu dla identyfikacji czynników zagrażających prawidłowej realizacji programu operacyjnego oraz wprowadzenie korekt dla osiągnięcia zamierzonych efektów programów w obszarze środowiskowym, w tym klimatycznym,</w:t>
      </w:r>
    </w:p>
    <w:p w14:paraId="16F8E90B" w14:textId="77777777" w:rsidR="009E0BD8" w:rsidRPr="001E3242" w:rsidRDefault="009E0BD8" w:rsidP="009E0BD8">
      <w:pPr>
        <w:numPr>
          <w:ilvl w:val="0"/>
          <w:numId w:val="49"/>
        </w:numPr>
        <w:contextualSpacing/>
        <w:jc w:val="both"/>
        <w:rPr>
          <w:rFonts w:ascii="Calibri" w:eastAsia="Calibri" w:hAnsi="Calibri" w:cs="Calibri"/>
          <w:szCs w:val="22"/>
          <w:lang w:eastAsia="pl-PL"/>
        </w:rPr>
      </w:pPr>
      <w:r>
        <w:rPr>
          <w:rFonts w:ascii="Calibri" w:eastAsia="Calibri" w:hAnsi="Calibri" w:cs="Calibri"/>
          <w:szCs w:val="22"/>
          <w:lang w:eastAsia="pl-PL"/>
        </w:rPr>
        <w:t>badanie ex-</w:t>
      </w:r>
      <w:r w:rsidRPr="001E3242">
        <w:rPr>
          <w:rFonts w:ascii="Calibri" w:eastAsia="Calibri" w:hAnsi="Calibri" w:cs="Calibri"/>
          <w:szCs w:val="22"/>
          <w:lang w:eastAsia="pl-PL"/>
        </w:rPr>
        <w:t>post, przeprowadzane po zakończeniu realizacji programu dla oceny efektów działań podejmowanych w interwencji na kwestie środowiskowe, w tym klimatyczne.</w:t>
      </w:r>
    </w:p>
    <w:p w14:paraId="6611177F" w14:textId="77777777" w:rsidR="009E0BD8" w:rsidRPr="001E3242" w:rsidRDefault="009E0BD8" w:rsidP="009E0BD8">
      <w:pPr>
        <w:jc w:val="both"/>
        <w:rPr>
          <w:rFonts w:ascii="Calibri" w:eastAsia="Calibri" w:hAnsi="Calibri" w:cs="Calibri"/>
          <w:szCs w:val="22"/>
          <w:lang w:eastAsia="pl-PL"/>
        </w:rPr>
      </w:pPr>
      <w:r w:rsidRPr="001E3242">
        <w:rPr>
          <w:rFonts w:ascii="Calibri" w:eastAsia="Calibri" w:hAnsi="Calibri" w:cs="Calibri"/>
          <w:szCs w:val="22"/>
          <w:lang w:eastAsia="pl-PL"/>
        </w:rPr>
        <w:t>Rekomenduje się, aby proces ewaluacji umożliwiał rozpoznanie efektywności i trwałości interwencji publicznej w zakresie wdrażania strategii Zielony Ład, a w szczególności w zakresie obszarów tematycznych:</w:t>
      </w:r>
    </w:p>
    <w:p w14:paraId="38BF4E6F" w14:textId="77777777" w:rsidR="009E0BD8" w:rsidRPr="001E3242" w:rsidRDefault="009E0BD8" w:rsidP="009E0BD8">
      <w:pPr>
        <w:numPr>
          <w:ilvl w:val="0"/>
          <w:numId w:val="49"/>
        </w:numPr>
        <w:contextualSpacing/>
        <w:jc w:val="both"/>
        <w:rPr>
          <w:rFonts w:ascii="Calibri" w:eastAsia="Calibri" w:hAnsi="Calibri" w:cs="Calibri"/>
          <w:szCs w:val="22"/>
          <w:lang w:eastAsia="pl-PL"/>
        </w:rPr>
      </w:pPr>
      <w:r w:rsidRPr="001E3242">
        <w:rPr>
          <w:rFonts w:ascii="Calibri" w:eastAsia="Calibri" w:hAnsi="Calibri" w:cs="Calibri"/>
          <w:szCs w:val="22"/>
          <w:lang w:eastAsia="pl-PL"/>
        </w:rPr>
        <w:t>zarządzanie zasobami naturalnymi w sposób zrównoważony,</w:t>
      </w:r>
    </w:p>
    <w:p w14:paraId="1E30D65D" w14:textId="77777777" w:rsidR="009E0BD8" w:rsidRPr="001E3242" w:rsidRDefault="009E0BD8" w:rsidP="009E0BD8">
      <w:pPr>
        <w:numPr>
          <w:ilvl w:val="0"/>
          <w:numId w:val="49"/>
        </w:numPr>
        <w:contextualSpacing/>
        <w:jc w:val="both"/>
        <w:rPr>
          <w:rFonts w:ascii="Calibri" w:eastAsia="Calibri" w:hAnsi="Calibri" w:cs="Calibri"/>
          <w:szCs w:val="22"/>
          <w:lang w:eastAsia="pl-PL"/>
        </w:rPr>
      </w:pPr>
      <w:r w:rsidRPr="001E3242">
        <w:rPr>
          <w:rFonts w:ascii="Calibri" w:eastAsia="Calibri" w:hAnsi="Calibri" w:cs="Calibri"/>
          <w:szCs w:val="22"/>
          <w:lang w:eastAsia="pl-PL"/>
        </w:rPr>
        <w:t>zmniejszenie zależność od nieodnawialnych, niezrównoważonych zasobów,</w:t>
      </w:r>
    </w:p>
    <w:p w14:paraId="529C5FB0" w14:textId="77777777" w:rsidR="009E0BD8" w:rsidRPr="001E3242" w:rsidRDefault="009E0BD8" w:rsidP="009E0BD8">
      <w:pPr>
        <w:numPr>
          <w:ilvl w:val="0"/>
          <w:numId w:val="49"/>
        </w:numPr>
        <w:contextualSpacing/>
        <w:jc w:val="both"/>
        <w:rPr>
          <w:rFonts w:ascii="Calibri" w:eastAsia="Calibri" w:hAnsi="Calibri" w:cs="Calibri"/>
          <w:szCs w:val="22"/>
          <w:lang w:eastAsia="pl-PL"/>
        </w:rPr>
      </w:pPr>
      <w:r w:rsidRPr="001E3242">
        <w:rPr>
          <w:rFonts w:ascii="Calibri" w:eastAsia="Calibri" w:hAnsi="Calibri" w:cs="Calibri"/>
          <w:szCs w:val="22"/>
          <w:lang w:eastAsia="pl-PL"/>
        </w:rPr>
        <w:t>ograniczenie zmian klimatu i dostosowanie się do nich,</w:t>
      </w:r>
    </w:p>
    <w:p w14:paraId="540FBBBA" w14:textId="77777777" w:rsidR="009E0BD8" w:rsidRPr="001E3242" w:rsidRDefault="009E0BD8" w:rsidP="009E0BD8">
      <w:pPr>
        <w:numPr>
          <w:ilvl w:val="0"/>
          <w:numId w:val="49"/>
        </w:numPr>
        <w:contextualSpacing/>
        <w:jc w:val="both"/>
        <w:rPr>
          <w:rFonts w:ascii="Calibri" w:eastAsia="Calibri" w:hAnsi="Calibri" w:cs="Calibri"/>
          <w:szCs w:val="22"/>
          <w:lang w:eastAsia="pl-PL"/>
        </w:rPr>
      </w:pPr>
      <w:r w:rsidRPr="001E3242">
        <w:rPr>
          <w:rFonts w:ascii="Calibri" w:eastAsia="Calibri" w:hAnsi="Calibri" w:cs="Calibri"/>
          <w:szCs w:val="22"/>
          <w:lang w:eastAsia="pl-PL"/>
        </w:rPr>
        <w:t>wzmocnienie konkurencyjności Europy i tworzenie zielonych miejsc pracy,</w:t>
      </w:r>
    </w:p>
    <w:p w14:paraId="7AA1B1C6" w14:textId="77777777" w:rsidR="009E0BD8" w:rsidRPr="001E3242" w:rsidRDefault="009E0BD8" w:rsidP="009E0BD8">
      <w:pPr>
        <w:jc w:val="both"/>
        <w:rPr>
          <w:rFonts w:ascii="Calibri" w:eastAsia="Calibri" w:hAnsi="Calibri" w:cs="Calibri"/>
          <w:szCs w:val="22"/>
          <w:lang w:eastAsia="pl-PL"/>
        </w:rPr>
      </w:pPr>
      <w:r w:rsidRPr="001E3242">
        <w:rPr>
          <w:rFonts w:ascii="Calibri" w:eastAsia="Calibri" w:hAnsi="Calibri" w:cs="Calibri"/>
          <w:szCs w:val="22"/>
          <w:lang w:eastAsia="pl-PL"/>
        </w:rPr>
        <w:t>oraz stanu realizacji w ramach Programu celów środowiskowych określonych w rozporządzeniu (UE) 2020/852.</w:t>
      </w:r>
    </w:p>
    <w:p w14:paraId="282DE5A7" w14:textId="77777777" w:rsidR="009E0BD8" w:rsidRPr="001E3242" w:rsidRDefault="009E0BD8" w:rsidP="009E0BD8">
      <w:pPr>
        <w:jc w:val="both"/>
        <w:rPr>
          <w:rFonts w:ascii="Calibri" w:eastAsia="Calibri" w:hAnsi="Calibri" w:cs="Calibri"/>
          <w:szCs w:val="22"/>
          <w:lang w:eastAsia="pl-PL"/>
        </w:rPr>
      </w:pPr>
      <w:r w:rsidRPr="001E3242">
        <w:rPr>
          <w:rFonts w:ascii="Calibri" w:eastAsia="Calibri" w:hAnsi="Calibri" w:cs="Calibri"/>
          <w:szCs w:val="22"/>
          <w:lang w:eastAsia="pl-PL"/>
        </w:rPr>
        <w:t xml:space="preserve">Skutki realizacji </w:t>
      </w:r>
      <w:r w:rsidRPr="001E3242">
        <w:rPr>
          <w:rFonts w:ascii="Calibri" w:eastAsia="Times New Roman" w:hAnsi="Calibri" w:cs="Times New Roman"/>
          <w:color w:val="000000"/>
          <w:szCs w:val="24"/>
          <w:lang w:eastAsia="pl-PL"/>
        </w:rPr>
        <w:t xml:space="preserve">Programu </w:t>
      </w:r>
      <w:r w:rsidRPr="001E3242">
        <w:rPr>
          <w:rFonts w:ascii="Calibri" w:eastAsia="Calibri" w:hAnsi="Calibri" w:cs="Calibri"/>
          <w:szCs w:val="22"/>
          <w:lang w:eastAsia="pl-PL"/>
        </w:rPr>
        <w:t xml:space="preserve">wymagają systematycznego monitorowania i przeprowadzania okresowych przeglądów, które pozwalają na ocenę stopnia wdrożenia założeń dokumentu </w:t>
      </w:r>
      <w:r w:rsidRPr="001E3242">
        <w:rPr>
          <w:rFonts w:ascii="Calibri" w:eastAsia="Calibri" w:hAnsi="Calibri" w:cs="Calibri"/>
          <w:szCs w:val="22"/>
          <w:lang w:eastAsia="pl-PL"/>
        </w:rPr>
        <w:br/>
        <w:t xml:space="preserve">i zidentyfikowania obszarów o mniejszej intensywności działań i efektów oraz weryfikację przyjętych założeń i wprowadzania odpowiednich korekt w odniesieniu do zmieniających się w czasie uwarunkowań </w:t>
      </w:r>
      <w:r w:rsidRPr="001E3242">
        <w:rPr>
          <w:rFonts w:ascii="Calibri" w:eastAsia="Times New Roman" w:hAnsi="Calibri" w:cs="Times New Roman"/>
          <w:color w:val="000000"/>
          <w:szCs w:val="24"/>
          <w:lang w:eastAsia="pl-PL"/>
        </w:rPr>
        <w:t>FEPZ 2021-2027</w:t>
      </w:r>
      <w:r w:rsidRPr="001E3242">
        <w:rPr>
          <w:rFonts w:ascii="Calibri" w:eastAsia="Calibri" w:hAnsi="Calibri" w:cs="Calibri"/>
          <w:szCs w:val="22"/>
          <w:lang w:eastAsia="pl-PL"/>
        </w:rPr>
        <w:t xml:space="preserve">. </w:t>
      </w:r>
      <w:r>
        <w:rPr>
          <w:rFonts w:ascii="Calibri" w:eastAsia="Calibri" w:hAnsi="Calibri" w:cs="Calibri"/>
          <w:szCs w:val="22"/>
          <w:lang w:eastAsia="pl-PL"/>
        </w:rPr>
        <w:t>M</w:t>
      </w:r>
      <w:r w:rsidRPr="001E3242">
        <w:rPr>
          <w:rFonts w:ascii="Calibri" w:eastAsia="Calibri" w:hAnsi="Calibri" w:cs="Calibri"/>
          <w:szCs w:val="22"/>
          <w:lang w:eastAsia="pl-PL"/>
        </w:rPr>
        <w:t>onitorowanie Programu</w:t>
      </w:r>
      <w:r>
        <w:rPr>
          <w:rFonts w:ascii="Calibri" w:eastAsia="Calibri" w:hAnsi="Calibri" w:cs="Calibri"/>
          <w:szCs w:val="22"/>
          <w:lang w:eastAsia="pl-PL"/>
        </w:rPr>
        <w:t xml:space="preserve"> prowadzone powinno być </w:t>
      </w:r>
      <w:r w:rsidRPr="001E3242">
        <w:rPr>
          <w:rFonts w:ascii="Calibri" w:eastAsia="Calibri" w:hAnsi="Calibri" w:cs="Calibri"/>
          <w:szCs w:val="22"/>
          <w:lang w:eastAsia="pl-PL"/>
        </w:rPr>
        <w:t>w oparciu</w:t>
      </w:r>
      <w:r>
        <w:rPr>
          <w:rFonts w:ascii="Calibri" w:eastAsia="Calibri" w:hAnsi="Calibri" w:cs="Calibri"/>
          <w:szCs w:val="22"/>
          <w:lang w:eastAsia="pl-PL"/>
        </w:rPr>
        <w:t xml:space="preserve"> o metodę wskaźnikową, obejmującą</w:t>
      </w:r>
      <w:r w:rsidRPr="001E3242">
        <w:rPr>
          <w:rFonts w:ascii="Calibri" w:eastAsia="Calibri" w:hAnsi="Calibri" w:cs="Calibri"/>
          <w:szCs w:val="22"/>
          <w:lang w:eastAsia="pl-PL"/>
        </w:rPr>
        <w:t xml:space="preserve"> wskaźniki odnoszące się do aspektu wkładu w realizację celów środowiskowych oraz aspektów zrównoważonego podejścia do realizacji projektów. Poniżej w tabeli przedstawiono propozycję dodatkowych wskaźników odnoszących się do realizacji celów środowiskowych i klimatycznych UE w ramach FEPZ 2021-2027 .</w:t>
      </w:r>
    </w:p>
    <w:p w14:paraId="03D000BA" w14:textId="11ECF6A9" w:rsidR="009E0BD8" w:rsidRPr="00E27A91" w:rsidRDefault="00E27A91" w:rsidP="00E27A91">
      <w:pPr>
        <w:pStyle w:val="Legenda"/>
      </w:pPr>
      <w:bookmarkStart w:id="72" w:name="_Toc104790068"/>
      <w:bookmarkStart w:id="73" w:name="_Toc104790667"/>
      <w:bookmarkStart w:id="74" w:name="_Toc88137548"/>
      <w:bookmarkStart w:id="75" w:name="_Toc98580900"/>
      <w:r>
        <w:t xml:space="preserve">Tablica </w:t>
      </w:r>
      <w:fldSimple w:instr=" SEQ Tablica \* ARABIC ">
        <w:r w:rsidR="002B5007">
          <w:rPr>
            <w:noProof/>
          </w:rPr>
          <w:t>2</w:t>
        </w:r>
      </w:fldSimple>
      <w:r w:rsidR="009E0BD8" w:rsidRPr="00E27A91">
        <w:t xml:space="preserve"> Propozycja wskaźników odnoszących się do realizacji celów środowiskowych i klimatycznych UE w ramach FEPZ 2021-2027</w:t>
      </w:r>
      <w:bookmarkEnd w:id="72"/>
      <w:bookmarkEnd w:id="73"/>
      <w:r w:rsidR="009E0BD8" w:rsidRPr="00E27A91">
        <w:t xml:space="preserve"> </w:t>
      </w:r>
      <w:bookmarkEnd w:id="74"/>
      <w:bookmarkEnd w:id="75"/>
    </w:p>
    <w:tbl>
      <w:tblPr>
        <w:tblStyle w:val="Tabelasiatki4akcent111"/>
        <w:tblW w:w="0" w:type="auto"/>
        <w:tblLayout w:type="fixed"/>
        <w:tblLook w:val="04A0" w:firstRow="1" w:lastRow="0" w:firstColumn="1" w:lastColumn="0" w:noHBand="0" w:noVBand="1"/>
      </w:tblPr>
      <w:tblGrid>
        <w:gridCol w:w="623"/>
        <w:gridCol w:w="2482"/>
        <w:gridCol w:w="1716"/>
        <w:gridCol w:w="2079"/>
        <w:gridCol w:w="2079"/>
      </w:tblGrid>
      <w:tr w:rsidR="009E0BD8" w:rsidRPr="001E3242" w14:paraId="17C03B58" w14:textId="77777777" w:rsidTr="00B83214">
        <w:trPr>
          <w:cnfStyle w:val="100000000000" w:firstRow="1" w:lastRow="0" w:firstColumn="0" w:lastColumn="0" w:oddVBand="0" w:evenVBand="0" w:oddHBand="0" w:evenHBand="0" w:firstRowFirstColumn="0" w:firstRowLastColumn="0" w:lastRowFirstColumn="0" w:lastRowLastColumn="0"/>
          <w:trHeight w:val="120"/>
          <w:tblHeader/>
        </w:trPr>
        <w:tc>
          <w:tcPr>
            <w:cnfStyle w:val="001000000000" w:firstRow="0" w:lastRow="0" w:firstColumn="1" w:lastColumn="0" w:oddVBand="0" w:evenVBand="0" w:oddHBand="0" w:evenHBand="0" w:firstRowFirstColumn="0" w:firstRowLastColumn="0" w:lastRowFirstColumn="0" w:lastRowLastColumn="0"/>
            <w:tcW w:w="623" w:type="dxa"/>
            <w:hideMark/>
          </w:tcPr>
          <w:p w14:paraId="5DB896DE" w14:textId="77777777" w:rsidR="009E0BD8" w:rsidRPr="001E3242" w:rsidRDefault="009E0BD8" w:rsidP="00B83214">
            <w:r w:rsidRPr="001E3242">
              <w:t>Lp.</w:t>
            </w:r>
          </w:p>
        </w:tc>
        <w:tc>
          <w:tcPr>
            <w:tcW w:w="2482" w:type="dxa"/>
            <w:hideMark/>
          </w:tcPr>
          <w:p w14:paraId="0D809E70" w14:textId="77777777" w:rsidR="009E0BD8" w:rsidRPr="001E3242" w:rsidRDefault="009E0BD8" w:rsidP="00B83214">
            <w:pPr>
              <w:cnfStyle w:val="100000000000" w:firstRow="1" w:lastRow="0" w:firstColumn="0" w:lastColumn="0" w:oddVBand="0" w:evenVBand="0" w:oddHBand="0" w:evenHBand="0" w:firstRowFirstColumn="0" w:firstRowLastColumn="0" w:lastRowFirstColumn="0" w:lastRowLastColumn="0"/>
            </w:pPr>
            <w:r w:rsidRPr="001E3242">
              <w:t>Wskaźniki środowiskowe</w:t>
            </w:r>
          </w:p>
        </w:tc>
        <w:tc>
          <w:tcPr>
            <w:tcW w:w="1716" w:type="dxa"/>
            <w:hideMark/>
          </w:tcPr>
          <w:p w14:paraId="1A4AF5B9" w14:textId="77777777" w:rsidR="009E0BD8" w:rsidRPr="001E3242" w:rsidRDefault="009E0BD8" w:rsidP="00B83214">
            <w:pPr>
              <w:cnfStyle w:val="100000000000" w:firstRow="1" w:lastRow="0" w:firstColumn="0" w:lastColumn="0" w:oddVBand="0" w:evenVBand="0" w:oddHBand="0" w:evenHBand="0" w:firstRowFirstColumn="0" w:firstRowLastColumn="0" w:lastRowFirstColumn="0" w:lastRowLastColumn="0"/>
            </w:pPr>
            <w:r w:rsidRPr="001E3242">
              <w:t>Jednostka miary</w:t>
            </w:r>
          </w:p>
        </w:tc>
        <w:tc>
          <w:tcPr>
            <w:tcW w:w="2079" w:type="dxa"/>
            <w:hideMark/>
          </w:tcPr>
          <w:p w14:paraId="48C1752D" w14:textId="77777777" w:rsidR="009E0BD8" w:rsidRPr="001E3242" w:rsidRDefault="009E0BD8" w:rsidP="00B83214">
            <w:pPr>
              <w:cnfStyle w:val="100000000000" w:firstRow="1" w:lastRow="0" w:firstColumn="0" w:lastColumn="0" w:oddVBand="0" w:evenVBand="0" w:oddHBand="0" w:evenHBand="0" w:firstRowFirstColumn="0" w:firstRowLastColumn="0" w:lastRowFirstColumn="0" w:lastRowLastColumn="0"/>
            </w:pPr>
            <w:r w:rsidRPr="001E3242">
              <w:t>Opis dostępności</w:t>
            </w:r>
          </w:p>
        </w:tc>
        <w:tc>
          <w:tcPr>
            <w:tcW w:w="2079" w:type="dxa"/>
            <w:hideMark/>
          </w:tcPr>
          <w:p w14:paraId="40B91750" w14:textId="77777777" w:rsidR="009E0BD8" w:rsidRPr="001E3242" w:rsidRDefault="009E0BD8" w:rsidP="00B83214">
            <w:pPr>
              <w:cnfStyle w:val="100000000000" w:firstRow="1" w:lastRow="0" w:firstColumn="0" w:lastColumn="0" w:oddVBand="0" w:evenVBand="0" w:oddHBand="0" w:evenHBand="0" w:firstRowFirstColumn="0" w:firstRowLastColumn="0" w:lastRowFirstColumn="0" w:lastRowLastColumn="0"/>
            </w:pPr>
            <w:r w:rsidRPr="001E3242">
              <w:t>Metody ustalania wartości</w:t>
            </w:r>
          </w:p>
        </w:tc>
      </w:tr>
      <w:tr w:rsidR="009E0BD8" w:rsidRPr="001E3242" w14:paraId="3B5D2B44" w14:textId="77777777" w:rsidTr="00B83214">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623"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44B16C4B" w14:textId="77777777" w:rsidR="009E0BD8" w:rsidRPr="001E3242" w:rsidRDefault="009E0BD8" w:rsidP="00B83214">
            <w:r w:rsidRPr="001E3242">
              <w:t>1</w:t>
            </w:r>
          </w:p>
        </w:tc>
        <w:tc>
          <w:tcPr>
            <w:tcW w:w="2482"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65946477" w14:textId="77777777" w:rsidR="009E0BD8" w:rsidRPr="001E3242" w:rsidRDefault="009E0BD8" w:rsidP="00B83214">
            <w:pPr>
              <w:cnfStyle w:val="000000100000" w:firstRow="0" w:lastRow="0" w:firstColumn="0" w:lastColumn="0" w:oddVBand="0" w:evenVBand="0" w:oddHBand="1" w:evenHBand="0" w:firstRowFirstColumn="0" w:firstRowLastColumn="0" w:lastRowFirstColumn="0" w:lastRowLastColumn="0"/>
            </w:pPr>
            <w:r w:rsidRPr="001E3242">
              <w:t xml:space="preserve">Udział </w:t>
            </w:r>
            <w:r>
              <w:t xml:space="preserve">liczby </w:t>
            </w:r>
            <w:r w:rsidRPr="001E3242">
              <w:t>projektów zrównoważonych środowiskowo w FEPZ 2021-2027 wnoszących wkład w realizację celów środowiskowych określonych w art. 9 rozporządzenia (UE) nr 2020/852</w:t>
            </w:r>
          </w:p>
        </w:tc>
        <w:tc>
          <w:tcPr>
            <w:tcW w:w="1716"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08DF26AA" w14:textId="77777777" w:rsidR="009E0BD8" w:rsidRPr="001E3242" w:rsidRDefault="009E0BD8" w:rsidP="00B83214">
            <w:pPr>
              <w:cnfStyle w:val="000000100000" w:firstRow="0" w:lastRow="0" w:firstColumn="0" w:lastColumn="0" w:oddVBand="0" w:evenVBand="0" w:oddHBand="1" w:evenHBand="0" w:firstRowFirstColumn="0" w:firstRowLastColumn="0" w:lastRowFirstColumn="0" w:lastRowLastColumn="0"/>
            </w:pPr>
            <w:r w:rsidRPr="001E3242">
              <w:t>%</w:t>
            </w:r>
          </w:p>
        </w:tc>
        <w:tc>
          <w:tcPr>
            <w:tcW w:w="2079"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73DAFDC7" w14:textId="77777777" w:rsidR="009E0BD8" w:rsidRPr="001E3242" w:rsidRDefault="009E0BD8" w:rsidP="00B83214">
            <w:pPr>
              <w:cnfStyle w:val="000000100000" w:firstRow="0" w:lastRow="0" w:firstColumn="0" w:lastColumn="0" w:oddVBand="0" w:evenVBand="0" w:oddHBand="1" w:evenHBand="0" w:firstRowFirstColumn="0" w:firstRowLastColumn="0" w:lastRowFirstColumn="0" w:lastRowLastColumn="0"/>
            </w:pPr>
            <w:r w:rsidRPr="001E3242">
              <w:t>Dane z systemu</w:t>
            </w:r>
            <w:r>
              <w:t xml:space="preserve"> monitorowania i sprawozdawczośc</w:t>
            </w:r>
            <w:r w:rsidRPr="001E3242">
              <w:t>i Programu</w:t>
            </w:r>
          </w:p>
        </w:tc>
        <w:tc>
          <w:tcPr>
            <w:tcW w:w="2079" w:type="dxa"/>
            <w:vMerge w:val="restart"/>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3346BA13" w14:textId="5CF543F2" w:rsidR="009E0BD8" w:rsidRPr="001E3242" w:rsidRDefault="009E0BD8" w:rsidP="00B83214">
            <w:pPr>
              <w:cnfStyle w:val="000000100000" w:firstRow="0" w:lastRow="0" w:firstColumn="0" w:lastColumn="0" w:oddVBand="0" w:evenVBand="0" w:oddHBand="1" w:evenHBand="0" w:firstRowFirstColumn="0" w:firstRowLastColumn="0" w:lastRowFirstColumn="0" w:lastRowLastColumn="0"/>
            </w:pPr>
            <w:r w:rsidRPr="001E3242">
              <w:t>Wartość wskaźnika powinna obejmować projekty realizowane w ramach FEPZ 2021-2027</w:t>
            </w:r>
            <w:r w:rsidR="00D4052B">
              <w:t xml:space="preserve"> </w:t>
            </w:r>
            <w:r w:rsidRPr="001E3242">
              <w:t xml:space="preserve">spełniające co najmniej jeden warunek określony w art. 10-15 rozporządzenia (UE) 2020/852 i zostać odniesiona do wszystkich projektów realizowanych w ramach FEPZ 2021-2027 </w:t>
            </w:r>
          </w:p>
        </w:tc>
      </w:tr>
      <w:tr w:rsidR="009E0BD8" w:rsidRPr="001E3242" w14:paraId="1BBF554B" w14:textId="77777777" w:rsidTr="00B83214">
        <w:trPr>
          <w:trHeight w:val="120"/>
        </w:trPr>
        <w:tc>
          <w:tcPr>
            <w:cnfStyle w:val="001000000000" w:firstRow="0" w:lastRow="0" w:firstColumn="1" w:lastColumn="0" w:oddVBand="0" w:evenVBand="0" w:oddHBand="0" w:evenHBand="0" w:firstRowFirstColumn="0" w:firstRowLastColumn="0" w:lastRowFirstColumn="0" w:lastRowLastColumn="0"/>
            <w:tcW w:w="623"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0051AAAC" w14:textId="77777777" w:rsidR="009E0BD8" w:rsidRPr="001E3242" w:rsidRDefault="009E0BD8" w:rsidP="00B83214">
            <w:r w:rsidRPr="001E3242">
              <w:t>2</w:t>
            </w:r>
          </w:p>
        </w:tc>
        <w:tc>
          <w:tcPr>
            <w:tcW w:w="2482"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580D293A" w14:textId="77777777" w:rsidR="009E0BD8" w:rsidRPr="001E3242" w:rsidRDefault="009E0BD8" w:rsidP="00B83214">
            <w:pPr>
              <w:cnfStyle w:val="000000000000" w:firstRow="0" w:lastRow="0" w:firstColumn="0" w:lastColumn="0" w:oddVBand="0" w:evenVBand="0" w:oddHBand="0" w:evenHBand="0" w:firstRowFirstColumn="0" w:firstRowLastColumn="0" w:lastRowFirstColumn="0" w:lastRowLastColumn="0"/>
            </w:pPr>
            <w:r w:rsidRPr="001E3242">
              <w:t>Udział wartości projektów zrównoważonych środowiskowo w FEPZ 2021-2027 wnoszących wkład w realizację celów środowiskowych określonych w art. 9 rozporządzenia (UE) nr 2020/852</w:t>
            </w:r>
          </w:p>
        </w:tc>
        <w:tc>
          <w:tcPr>
            <w:tcW w:w="1716"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0BF37E60" w14:textId="77777777" w:rsidR="009E0BD8" w:rsidRPr="001E3242" w:rsidRDefault="009E0BD8" w:rsidP="00B83214">
            <w:pPr>
              <w:cnfStyle w:val="000000000000" w:firstRow="0" w:lastRow="0" w:firstColumn="0" w:lastColumn="0" w:oddVBand="0" w:evenVBand="0" w:oddHBand="0" w:evenHBand="0" w:firstRowFirstColumn="0" w:firstRowLastColumn="0" w:lastRowFirstColumn="0" w:lastRowLastColumn="0"/>
            </w:pPr>
            <w:r w:rsidRPr="001E3242">
              <w:t>%</w:t>
            </w:r>
          </w:p>
        </w:tc>
        <w:tc>
          <w:tcPr>
            <w:tcW w:w="2079"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1743E4BF" w14:textId="77777777" w:rsidR="009E0BD8" w:rsidRPr="001E3242" w:rsidRDefault="009E0BD8" w:rsidP="00B83214">
            <w:pPr>
              <w:cnfStyle w:val="000000000000" w:firstRow="0" w:lastRow="0" w:firstColumn="0" w:lastColumn="0" w:oddVBand="0" w:evenVBand="0" w:oddHBand="0" w:evenHBand="0" w:firstRowFirstColumn="0" w:firstRowLastColumn="0" w:lastRowFirstColumn="0" w:lastRowLastColumn="0"/>
            </w:pPr>
            <w:r w:rsidRPr="001E3242">
              <w:t>Dane z systemu monitorowania i sprawozdawczości Programu</w:t>
            </w:r>
          </w:p>
        </w:tc>
        <w:tc>
          <w:tcPr>
            <w:tcW w:w="2079" w:type="dxa"/>
            <w:vMerge/>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vAlign w:val="center"/>
            <w:hideMark/>
          </w:tcPr>
          <w:p w14:paraId="22AB2BE3" w14:textId="77777777" w:rsidR="009E0BD8" w:rsidRPr="001E3242" w:rsidRDefault="009E0BD8" w:rsidP="00B83214">
            <w:pPr>
              <w:cnfStyle w:val="000000000000" w:firstRow="0" w:lastRow="0" w:firstColumn="0" w:lastColumn="0" w:oddVBand="0" w:evenVBand="0" w:oddHBand="0" w:evenHBand="0" w:firstRowFirstColumn="0" w:firstRowLastColumn="0" w:lastRowFirstColumn="0" w:lastRowLastColumn="0"/>
            </w:pPr>
          </w:p>
        </w:tc>
      </w:tr>
      <w:tr w:rsidR="009E0BD8" w:rsidRPr="001E3242" w14:paraId="7B92D261" w14:textId="77777777" w:rsidTr="00B83214">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623"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1637F012" w14:textId="77777777" w:rsidR="009E0BD8" w:rsidRPr="001E3242" w:rsidRDefault="009E0BD8" w:rsidP="00B83214">
            <w:r w:rsidRPr="001E3242">
              <w:t>3</w:t>
            </w:r>
          </w:p>
        </w:tc>
        <w:tc>
          <w:tcPr>
            <w:tcW w:w="2482"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7B01A380" w14:textId="77777777" w:rsidR="009E0BD8" w:rsidRPr="001E3242" w:rsidRDefault="009E0BD8" w:rsidP="00B83214">
            <w:pPr>
              <w:cnfStyle w:val="000000100000" w:firstRow="0" w:lastRow="0" w:firstColumn="0" w:lastColumn="0" w:oddVBand="0" w:evenVBand="0" w:oddHBand="1" w:evenHBand="0" w:firstRowFirstColumn="0" w:firstRowLastColumn="0" w:lastRowFirstColumn="0" w:lastRowLastColumn="0"/>
            </w:pPr>
            <w:r w:rsidRPr="001E3242">
              <w:t xml:space="preserve">Udział liczby projektów w FEPZ 2021-2027, które w wyniku ekoprojektowania osiągnęły wymierny efekt środowiskowy w postaci mniejszego zużycia surowców, materiałów, energii lub ograniczenia ilości odpadów </w:t>
            </w:r>
          </w:p>
        </w:tc>
        <w:tc>
          <w:tcPr>
            <w:tcW w:w="1716"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08EA51DA" w14:textId="77777777" w:rsidR="009E0BD8" w:rsidRPr="001E3242" w:rsidRDefault="009E0BD8" w:rsidP="00B83214">
            <w:pPr>
              <w:cnfStyle w:val="000000100000" w:firstRow="0" w:lastRow="0" w:firstColumn="0" w:lastColumn="0" w:oddVBand="0" w:evenVBand="0" w:oddHBand="1" w:evenHBand="0" w:firstRowFirstColumn="0" w:firstRowLastColumn="0" w:lastRowFirstColumn="0" w:lastRowLastColumn="0"/>
            </w:pPr>
            <w:r w:rsidRPr="001E3242">
              <w:t>%</w:t>
            </w:r>
          </w:p>
        </w:tc>
        <w:tc>
          <w:tcPr>
            <w:tcW w:w="2079"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2052BE56" w14:textId="77777777" w:rsidR="009E0BD8" w:rsidRPr="001E3242" w:rsidRDefault="009E0BD8" w:rsidP="00B83214">
            <w:pPr>
              <w:cnfStyle w:val="000000100000" w:firstRow="0" w:lastRow="0" w:firstColumn="0" w:lastColumn="0" w:oddVBand="0" w:evenVBand="0" w:oddHBand="1" w:evenHBand="0" w:firstRowFirstColumn="0" w:firstRowLastColumn="0" w:lastRowFirstColumn="0" w:lastRowLastColumn="0"/>
            </w:pPr>
            <w:r w:rsidRPr="001E3242">
              <w:t>Dane z systemu monitorowania i sprawozdawczości Programu</w:t>
            </w:r>
          </w:p>
        </w:tc>
        <w:tc>
          <w:tcPr>
            <w:tcW w:w="2079" w:type="dxa"/>
            <w:vMerge w:val="restart"/>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215CAE2E" w14:textId="5676D252" w:rsidR="009E0BD8" w:rsidRPr="001E3242" w:rsidRDefault="009E0BD8" w:rsidP="00B83214">
            <w:pPr>
              <w:cnfStyle w:val="000000100000" w:firstRow="0" w:lastRow="0" w:firstColumn="0" w:lastColumn="0" w:oddVBand="0" w:evenVBand="0" w:oddHBand="1" w:evenHBand="0" w:firstRowFirstColumn="0" w:firstRowLastColumn="0" w:lastRowFirstColumn="0" w:lastRowLastColumn="0"/>
            </w:pPr>
            <w:r w:rsidRPr="001E3242">
              <w:t>Wartość wskaźnika powinna obejmować projekty realizowane w ramach FEPZ 2021-2027</w:t>
            </w:r>
            <w:r w:rsidR="00D4052B">
              <w:t xml:space="preserve"> </w:t>
            </w:r>
            <w:r w:rsidRPr="001E3242">
              <w:t xml:space="preserve">zaprojektowane z wykorzystaniem zasad ekoprojektowania, koncepcji zarządzania cyklem i pozytywnie wpływające na środowisko, klimat i zostać odniesiona do wszystkich projektów realizowanych w ramach FEPZ 2021-2027 </w:t>
            </w:r>
          </w:p>
        </w:tc>
      </w:tr>
      <w:tr w:rsidR="009E0BD8" w:rsidRPr="00F629AA" w14:paraId="502A3395" w14:textId="77777777" w:rsidTr="00B83214">
        <w:trPr>
          <w:trHeight w:val="120"/>
        </w:trPr>
        <w:tc>
          <w:tcPr>
            <w:cnfStyle w:val="001000000000" w:firstRow="0" w:lastRow="0" w:firstColumn="1" w:lastColumn="0" w:oddVBand="0" w:evenVBand="0" w:oddHBand="0" w:evenHBand="0" w:firstRowFirstColumn="0" w:firstRowLastColumn="0" w:lastRowFirstColumn="0" w:lastRowLastColumn="0"/>
            <w:tcW w:w="623"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4A9DD1DE" w14:textId="77777777" w:rsidR="009E0BD8" w:rsidRPr="001E3242" w:rsidRDefault="009E0BD8" w:rsidP="00B83214">
            <w:r w:rsidRPr="001E3242">
              <w:t>4</w:t>
            </w:r>
          </w:p>
        </w:tc>
        <w:tc>
          <w:tcPr>
            <w:tcW w:w="2482"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23890A71" w14:textId="77777777" w:rsidR="009E0BD8" w:rsidRPr="001E3242" w:rsidRDefault="009E0BD8" w:rsidP="00B83214">
            <w:pPr>
              <w:cnfStyle w:val="000000000000" w:firstRow="0" w:lastRow="0" w:firstColumn="0" w:lastColumn="0" w:oddVBand="0" w:evenVBand="0" w:oddHBand="0" w:evenHBand="0" w:firstRowFirstColumn="0" w:firstRowLastColumn="0" w:lastRowFirstColumn="0" w:lastRowLastColumn="0"/>
            </w:pPr>
            <w:r w:rsidRPr="001E3242">
              <w:t xml:space="preserve">Udział wartości projektów w FEPZ 2021-2027, które w wyniku ekoprojektowania osiągnęły wymierny efekt środowiskowy w postaci mniejszego zużycia surowców, materiałów, energii lub ograniczenia ilości odpadów </w:t>
            </w:r>
          </w:p>
        </w:tc>
        <w:tc>
          <w:tcPr>
            <w:tcW w:w="1716"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5B624DE4" w14:textId="77777777" w:rsidR="009E0BD8" w:rsidRPr="001E3242" w:rsidRDefault="009E0BD8" w:rsidP="00B83214">
            <w:pPr>
              <w:cnfStyle w:val="000000000000" w:firstRow="0" w:lastRow="0" w:firstColumn="0" w:lastColumn="0" w:oddVBand="0" w:evenVBand="0" w:oddHBand="0" w:evenHBand="0" w:firstRowFirstColumn="0" w:firstRowLastColumn="0" w:lastRowFirstColumn="0" w:lastRowLastColumn="0"/>
            </w:pPr>
            <w:r w:rsidRPr="001E3242">
              <w:t>%</w:t>
            </w:r>
          </w:p>
        </w:tc>
        <w:tc>
          <w:tcPr>
            <w:tcW w:w="2079" w:type="dxa"/>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hideMark/>
          </w:tcPr>
          <w:p w14:paraId="6553108C" w14:textId="77777777" w:rsidR="009E0BD8" w:rsidRPr="001E3242" w:rsidRDefault="009E0BD8" w:rsidP="00B83214">
            <w:pPr>
              <w:cnfStyle w:val="000000000000" w:firstRow="0" w:lastRow="0" w:firstColumn="0" w:lastColumn="0" w:oddVBand="0" w:evenVBand="0" w:oddHBand="0" w:evenHBand="0" w:firstRowFirstColumn="0" w:firstRowLastColumn="0" w:lastRowFirstColumn="0" w:lastRowLastColumn="0"/>
            </w:pPr>
            <w:r w:rsidRPr="001E3242">
              <w:t>Dane z systemu monitorowania i sprawozdawczości Programu</w:t>
            </w:r>
          </w:p>
        </w:tc>
        <w:tc>
          <w:tcPr>
            <w:tcW w:w="2079" w:type="dxa"/>
            <w:vMerge/>
            <w:tc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tcBorders>
            <w:vAlign w:val="center"/>
            <w:hideMark/>
          </w:tcPr>
          <w:p w14:paraId="3EAEBA34" w14:textId="77777777" w:rsidR="009E0BD8" w:rsidRPr="001E3242" w:rsidRDefault="009E0BD8" w:rsidP="00B83214">
            <w:pPr>
              <w:cnfStyle w:val="000000000000" w:firstRow="0" w:lastRow="0" w:firstColumn="0" w:lastColumn="0" w:oddVBand="0" w:evenVBand="0" w:oddHBand="0" w:evenHBand="0" w:firstRowFirstColumn="0" w:firstRowLastColumn="0" w:lastRowFirstColumn="0" w:lastRowLastColumn="0"/>
            </w:pPr>
          </w:p>
        </w:tc>
      </w:tr>
    </w:tbl>
    <w:p w14:paraId="7E09BB09" w14:textId="77777777" w:rsidR="009E0BD8" w:rsidRPr="00541D9F" w:rsidRDefault="009E0BD8" w:rsidP="009E0BD8">
      <w:pPr>
        <w:rPr>
          <w:rFonts w:ascii="Calibri" w:eastAsia="Calibri" w:hAnsi="Calibri" w:cs="Calibri"/>
          <w:szCs w:val="22"/>
          <w:lang w:eastAsia="pl-PL"/>
        </w:rPr>
      </w:pPr>
      <w:r w:rsidRPr="00541D9F">
        <w:rPr>
          <w:rFonts w:ascii="Calibri" w:eastAsia="Calibri" w:hAnsi="Calibri" w:cs="Calibri"/>
          <w:szCs w:val="22"/>
          <w:lang w:eastAsia="pl-PL"/>
        </w:rPr>
        <w:t>Źródło: opracowanie własne</w:t>
      </w:r>
    </w:p>
    <w:p w14:paraId="5659354A" w14:textId="77777777" w:rsidR="009E0BD8" w:rsidRDefault="009E0BD8" w:rsidP="009E0BD8">
      <w:pPr>
        <w:jc w:val="both"/>
        <w:rPr>
          <w:spacing w:val="15"/>
          <w:sz w:val="32"/>
          <w:szCs w:val="24"/>
        </w:rPr>
      </w:pPr>
      <w:r w:rsidRPr="00541D9F">
        <w:rPr>
          <w:rFonts w:ascii="Calibri" w:eastAsia="Calibri" w:hAnsi="Calibri" w:cs="Calibri"/>
          <w:szCs w:val="22"/>
          <w:lang w:eastAsia="pl-PL"/>
        </w:rPr>
        <w:t>Premiowanie projektów w ramach Programu, w oparciu o zaproponowane kryteria powinno przyczynić się do stymulowania i zwiększenia pozytywnego wkładu w realizację kluczowych celów środowiskowych i klimatycznych UE.</w:t>
      </w:r>
    </w:p>
    <w:p w14:paraId="1345B92F" w14:textId="5143353B" w:rsidR="00DF1A94" w:rsidRPr="0091280D" w:rsidRDefault="7C3AC5E5" w:rsidP="7C3AC5E5">
      <w:pPr>
        <w:pStyle w:val="Nagwek1"/>
        <w:numPr>
          <w:ilvl w:val="0"/>
          <w:numId w:val="1"/>
        </w:numPr>
        <w:rPr>
          <w:caps w:val="0"/>
          <w:sz w:val="32"/>
          <w:szCs w:val="32"/>
        </w:rPr>
      </w:pPr>
      <w:bookmarkStart w:id="76" w:name="_Toc104790647"/>
      <w:r w:rsidRPr="7C3AC5E5">
        <w:rPr>
          <w:caps w:val="0"/>
          <w:sz w:val="32"/>
          <w:szCs w:val="32"/>
        </w:rPr>
        <w:t>WNIOSKI I REKOMENDACJE</w:t>
      </w:r>
      <w:bookmarkEnd w:id="76"/>
    </w:p>
    <w:p w14:paraId="6A30F261" w14:textId="69482985" w:rsidR="7C3AC5E5" w:rsidRDefault="7C3AC5E5" w:rsidP="7C3AC5E5">
      <w:r w:rsidRPr="7C3AC5E5">
        <w:rPr>
          <w:rFonts w:ascii="Calibri" w:eastAsia="Calibri" w:hAnsi="Calibri" w:cs="Calibri"/>
          <w:szCs w:val="24"/>
        </w:rPr>
        <w:t>Przedmiotem przeprowadzonej w niniejszej dokumentacji prognozy była ocena potencjalnych oraz rzeczywistych skutków oddziaływania realizacji projektu Programu Fundusze Europejskie dla Pomorza Zachodniego 2021-2027 (FEPZ 2021-2027) na środowisko z</w:t>
      </w:r>
      <w:r w:rsidRPr="7C3AC5E5">
        <w:rPr>
          <w:rFonts w:ascii="Calibri" w:eastAsia="Calibri" w:hAnsi="Calibri" w:cs="Calibri"/>
          <w:i/>
          <w:iCs/>
          <w:szCs w:val="24"/>
        </w:rPr>
        <w:t xml:space="preserve"> </w:t>
      </w:r>
      <w:r w:rsidRPr="7C3AC5E5">
        <w:rPr>
          <w:rFonts w:ascii="Calibri" w:eastAsia="Calibri" w:hAnsi="Calibri" w:cs="Calibri"/>
          <w:szCs w:val="24"/>
        </w:rPr>
        <w:t xml:space="preserve">uwzględnieniem możliwych wariantów projektu Programu FEPZ 2021-2027. Prognoza przeprowadzona została zgodnie z wymogami ustawy </w:t>
      </w:r>
      <w:r w:rsidR="00552B4C">
        <w:rPr>
          <w:rFonts w:ascii="Calibri" w:eastAsia="Calibri" w:hAnsi="Calibri" w:cs="Calibri"/>
          <w:szCs w:val="24"/>
        </w:rPr>
        <w:t>OO</w:t>
      </w:r>
      <w:r w:rsidR="00552B4C" w:rsidRPr="001E3242">
        <w:rPr>
          <w:rFonts w:ascii="Calibri" w:eastAsia="Calibri" w:hAnsi="Calibri" w:cs="Calibri"/>
          <w:szCs w:val="22"/>
          <w:lang w:eastAsia="pl-PL"/>
        </w:rPr>
        <w:t>Ś</w:t>
      </w:r>
      <w:r w:rsidRPr="7C3AC5E5">
        <w:rPr>
          <w:rFonts w:ascii="Calibri" w:eastAsia="Calibri" w:hAnsi="Calibri" w:cs="Calibri"/>
          <w:szCs w:val="24"/>
        </w:rPr>
        <w:t xml:space="preserve">. </w:t>
      </w:r>
      <w:r w:rsidR="00431AC6">
        <w:rPr>
          <w:rFonts w:ascii="Calibri" w:eastAsia="Calibri" w:hAnsi="Calibri" w:cs="Calibri"/>
          <w:szCs w:val="24"/>
        </w:rPr>
        <w:t>P</w:t>
      </w:r>
      <w:r w:rsidRPr="7C3AC5E5">
        <w:rPr>
          <w:rFonts w:ascii="Calibri" w:eastAsia="Calibri" w:hAnsi="Calibri" w:cs="Calibri"/>
          <w:szCs w:val="24"/>
        </w:rPr>
        <w:t>oniżej przedstawiono syntetyczne wnioski (</w:t>
      </w:r>
      <w:r w:rsidR="00E27A91">
        <w:rPr>
          <w:rFonts w:ascii="Calibri" w:eastAsia="Calibri" w:hAnsi="Calibri" w:cs="Calibri"/>
          <w:szCs w:val="24"/>
        </w:rPr>
        <w:fldChar w:fldCharType="begin"/>
      </w:r>
      <w:r w:rsidR="00E27A91">
        <w:rPr>
          <w:rFonts w:ascii="Calibri" w:eastAsia="Calibri" w:hAnsi="Calibri" w:cs="Calibri"/>
          <w:szCs w:val="24"/>
        </w:rPr>
        <w:instrText xml:space="preserve"> REF _Ref104790469 \h </w:instrText>
      </w:r>
      <w:r w:rsidR="00E27A91">
        <w:rPr>
          <w:rFonts w:ascii="Calibri" w:eastAsia="Calibri" w:hAnsi="Calibri" w:cs="Calibri"/>
          <w:szCs w:val="24"/>
        </w:rPr>
      </w:r>
      <w:r w:rsidR="00E27A91">
        <w:rPr>
          <w:rFonts w:ascii="Calibri" w:eastAsia="Calibri" w:hAnsi="Calibri" w:cs="Calibri"/>
          <w:szCs w:val="24"/>
        </w:rPr>
        <w:fldChar w:fldCharType="separate"/>
      </w:r>
      <w:r w:rsidR="002B5007">
        <w:t xml:space="preserve">Tablica </w:t>
      </w:r>
      <w:r w:rsidR="002B5007">
        <w:rPr>
          <w:noProof/>
        </w:rPr>
        <w:t>3</w:t>
      </w:r>
      <w:r w:rsidR="00E27A91">
        <w:rPr>
          <w:rFonts w:ascii="Calibri" w:eastAsia="Calibri" w:hAnsi="Calibri" w:cs="Calibri"/>
          <w:szCs w:val="24"/>
        </w:rPr>
        <w:fldChar w:fldCharType="end"/>
      </w:r>
      <w:r w:rsidRPr="7C3AC5E5">
        <w:rPr>
          <w:rFonts w:ascii="Calibri" w:eastAsia="Calibri" w:hAnsi="Calibri" w:cs="Calibri"/>
          <w:szCs w:val="24"/>
        </w:rPr>
        <w:t>) oraz rekomendacje (</w:t>
      </w:r>
      <w:r w:rsidR="00E27A91">
        <w:rPr>
          <w:rFonts w:ascii="Calibri" w:eastAsia="Calibri" w:hAnsi="Calibri" w:cs="Calibri"/>
          <w:szCs w:val="24"/>
        </w:rPr>
        <w:fldChar w:fldCharType="begin"/>
      </w:r>
      <w:r w:rsidR="00E27A91">
        <w:rPr>
          <w:rFonts w:ascii="Calibri" w:eastAsia="Calibri" w:hAnsi="Calibri" w:cs="Calibri"/>
          <w:szCs w:val="24"/>
        </w:rPr>
        <w:instrText xml:space="preserve"> REF _Ref104790476 \h </w:instrText>
      </w:r>
      <w:r w:rsidR="00E27A91">
        <w:rPr>
          <w:rFonts w:ascii="Calibri" w:eastAsia="Calibri" w:hAnsi="Calibri" w:cs="Calibri"/>
          <w:szCs w:val="24"/>
        </w:rPr>
      </w:r>
      <w:r w:rsidR="00E27A91">
        <w:rPr>
          <w:rFonts w:ascii="Calibri" w:eastAsia="Calibri" w:hAnsi="Calibri" w:cs="Calibri"/>
          <w:szCs w:val="24"/>
        </w:rPr>
        <w:fldChar w:fldCharType="separate"/>
      </w:r>
      <w:r w:rsidR="002B5007">
        <w:t xml:space="preserve">Tablica </w:t>
      </w:r>
      <w:r w:rsidR="002B5007">
        <w:rPr>
          <w:noProof/>
        </w:rPr>
        <w:t>4</w:t>
      </w:r>
      <w:r w:rsidR="00E27A91">
        <w:rPr>
          <w:rFonts w:ascii="Calibri" w:eastAsia="Calibri" w:hAnsi="Calibri" w:cs="Calibri"/>
          <w:szCs w:val="24"/>
        </w:rPr>
        <w:fldChar w:fldCharType="end"/>
      </w:r>
      <w:r w:rsidRPr="7C3AC5E5">
        <w:rPr>
          <w:rFonts w:ascii="Calibri" w:eastAsia="Calibri" w:hAnsi="Calibri" w:cs="Calibri"/>
          <w:szCs w:val="24"/>
        </w:rPr>
        <w:t>) z przeprowadzonych analiz.</w:t>
      </w:r>
    </w:p>
    <w:p w14:paraId="12F8F5D4" w14:textId="2EF48980" w:rsidR="7C3AC5E5" w:rsidRDefault="00E27A91" w:rsidP="00E27A91">
      <w:pPr>
        <w:pStyle w:val="Legenda"/>
      </w:pPr>
      <w:bookmarkStart w:id="77" w:name="_Ref104790469"/>
      <w:bookmarkStart w:id="78" w:name="_Toc104790069"/>
      <w:bookmarkStart w:id="79" w:name="_Toc104790668"/>
      <w:r>
        <w:t xml:space="preserve">Tablica </w:t>
      </w:r>
      <w:fldSimple w:instr=" SEQ Tablica \* ARABIC ">
        <w:r w:rsidR="002B5007">
          <w:rPr>
            <w:noProof/>
          </w:rPr>
          <w:t>3</w:t>
        </w:r>
      </w:fldSimple>
      <w:bookmarkEnd w:id="77"/>
      <w:r w:rsidR="7C3AC5E5" w:rsidRPr="00E27A91">
        <w:t xml:space="preserve"> Wnioski wynikające z realizacji prognozy oddziaływania na środowisko projektu Programu Fundusze Europejskie dla Pomorza Zachodniego 2021-2027 (FEPZ 2021-2027)</w:t>
      </w:r>
      <w:bookmarkEnd w:id="78"/>
      <w:bookmarkEnd w:id="79"/>
    </w:p>
    <w:tbl>
      <w:tblPr>
        <w:tblStyle w:val="Tabela-Siatka"/>
        <w:tblW w:w="0" w:type="auto"/>
        <w:tblLayout w:type="fixed"/>
        <w:tblLook w:val="0420" w:firstRow="1" w:lastRow="0" w:firstColumn="0" w:lastColumn="0" w:noHBand="0" w:noVBand="1"/>
      </w:tblPr>
      <w:tblGrid>
        <w:gridCol w:w="1526"/>
        <w:gridCol w:w="7534"/>
      </w:tblGrid>
      <w:tr w:rsidR="7C3AC5E5" w14:paraId="39EF313B" w14:textId="77777777" w:rsidTr="00552B4C">
        <w:tc>
          <w:tcPr>
            <w:tcW w:w="1526" w:type="dxa"/>
            <w:tcBorders>
              <w:top w:val="single" w:sz="8" w:space="0" w:color="549E39" w:themeColor="accent1"/>
              <w:left w:val="single" w:sz="8" w:space="0" w:color="549E39" w:themeColor="accent1"/>
              <w:bottom w:val="single" w:sz="8" w:space="0" w:color="549E39" w:themeColor="accent1"/>
              <w:right w:val="nil"/>
            </w:tcBorders>
            <w:shd w:val="clear" w:color="auto" w:fill="549E39" w:themeFill="accent1"/>
          </w:tcPr>
          <w:p w14:paraId="17CB2AF5" w14:textId="1D36EDD7" w:rsidR="7C3AC5E5" w:rsidRDefault="7C3AC5E5" w:rsidP="7C3AC5E5">
            <w:pPr>
              <w:jc w:val="center"/>
            </w:pPr>
            <w:r w:rsidRPr="7C3AC5E5">
              <w:rPr>
                <w:rFonts w:ascii="Calibri" w:eastAsia="Calibri" w:hAnsi="Calibri" w:cs="Calibri"/>
                <w:b/>
                <w:bCs/>
                <w:color w:val="FFFFFF" w:themeColor="background1"/>
                <w:szCs w:val="24"/>
              </w:rPr>
              <w:t>Wskazanie w dokumencie</w:t>
            </w:r>
          </w:p>
        </w:tc>
        <w:tc>
          <w:tcPr>
            <w:tcW w:w="7534" w:type="dxa"/>
            <w:tcBorders>
              <w:top w:val="single" w:sz="8" w:space="0" w:color="549E39" w:themeColor="accent1"/>
              <w:left w:val="nil"/>
              <w:bottom w:val="single" w:sz="8" w:space="0" w:color="549E39" w:themeColor="accent1"/>
              <w:right w:val="single" w:sz="8" w:space="0" w:color="549E39" w:themeColor="accent1"/>
            </w:tcBorders>
            <w:shd w:val="clear" w:color="auto" w:fill="549E39" w:themeFill="accent1"/>
          </w:tcPr>
          <w:p w14:paraId="0AEDBA65" w14:textId="2D69751D" w:rsidR="7C3AC5E5" w:rsidRDefault="7C3AC5E5" w:rsidP="7C3AC5E5">
            <w:pPr>
              <w:jc w:val="center"/>
            </w:pPr>
            <w:r w:rsidRPr="7C3AC5E5">
              <w:rPr>
                <w:rFonts w:ascii="Calibri" w:eastAsia="Calibri" w:hAnsi="Calibri" w:cs="Calibri"/>
                <w:b/>
                <w:bCs/>
                <w:color w:val="FFFFFF" w:themeColor="background1"/>
                <w:szCs w:val="24"/>
              </w:rPr>
              <w:t>WNIOSKI</w:t>
            </w:r>
          </w:p>
        </w:tc>
      </w:tr>
      <w:tr w:rsidR="7C3AC5E5" w14:paraId="5F134836" w14:textId="77777777" w:rsidTr="00552B4C">
        <w:tc>
          <w:tcPr>
            <w:tcW w:w="1526" w:type="dxa"/>
            <w:tcBorders>
              <w:top w:val="single" w:sz="8" w:space="0" w:color="549E39" w:themeColor="accent1"/>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3766FE5A" w14:textId="10B62ADA" w:rsidR="7C3AC5E5" w:rsidRDefault="7C3AC5E5" w:rsidP="7C3AC5E5">
            <w:r w:rsidRPr="7C3AC5E5">
              <w:rPr>
                <w:rFonts w:ascii="Calibri" w:eastAsia="Calibri" w:hAnsi="Calibri" w:cs="Calibri"/>
                <w:color w:val="000000" w:themeColor="text1"/>
                <w:szCs w:val="24"/>
              </w:rPr>
              <w:t>Rozdział 3</w:t>
            </w:r>
          </w:p>
        </w:tc>
        <w:tc>
          <w:tcPr>
            <w:tcW w:w="7534" w:type="dxa"/>
            <w:tcBorders>
              <w:top w:val="single" w:sz="8" w:space="0" w:color="549E39" w:themeColor="accent1"/>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77ACBD5F" w14:textId="70F5C71A" w:rsidR="7C3AC5E5" w:rsidRDefault="7C3AC5E5" w:rsidP="7C3AC5E5">
            <w:r w:rsidRPr="7C3AC5E5">
              <w:rPr>
                <w:rFonts w:ascii="Calibri" w:eastAsia="Calibri" w:hAnsi="Calibri" w:cs="Calibri"/>
                <w:color w:val="000000" w:themeColor="text1"/>
                <w:szCs w:val="24"/>
              </w:rPr>
              <w:t xml:space="preserve">Przedstawione w projekcie Programu FEPZ 2021-2027 </w:t>
            </w:r>
            <w:r w:rsidRPr="7C3AC5E5">
              <w:rPr>
                <w:rFonts w:ascii="Calibri" w:eastAsia="Calibri" w:hAnsi="Calibri" w:cs="Calibri"/>
                <w:i/>
                <w:iCs/>
                <w:color w:val="000000" w:themeColor="text1"/>
                <w:szCs w:val="24"/>
              </w:rPr>
              <w:t>Priorytety</w:t>
            </w:r>
            <w:r w:rsidRPr="7C3AC5E5">
              <w:rPr>
                <w:rFonts w:ascii="Calibri" w:eastAsia="Calibri" w:hAnsi="Calibri" w:cs="Calibri"/>
                <w:color w:val="000000" w:themeColor="text1"/>
                <w:szCs w:val="24"/>
              </w:rPr>
              <w:t xml:space="preserve"> i cele szczegółowe wpisują się w cele oraz priorytety wskazane w programach i strategiach międzynarodowych, uwzględniając w sposób szczególny dokumenty unijne oraz obowiązujące akty szczebla krajowego. W szczególności istotne są powiązania projektu Programu FEPZ 2021-2027 z priorytetami i celami wskazanymi w Strategii na rzecz odpowiedzialnego rozwoju do roku 2020 (z perspektywą do 2030r.), Krajowej strategii rozwoju regionalnego 2030 oraz Strategii Rozwoju Województwa Zachodniopomorskiego do roku 2030.</w:t>
            </w:r>
          </w:p>
        </w:tc>
      </w:tr>
      <w:tr w:rsidR="7C3AC5E5" w14:paraId="695AD01F"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4B764DFB" w14:textId="5D0F29A5" w:rsidR="7C3AC5E5" w:rsidRDefault="7C3AC5E5" w:rsidP="7C3AC5E5">
            <w:r w:rsidRPr="7C3AC5E5">
              <w:rPr>
                <w:rFonts w:ascii="Calibri" w:eastAsia="Calibri" w:hAnsi="Calibri" w:cs="Calibri"/>
                <w:szCs w:val="24"/>
              </w:rPr>
              <w:t>Rozdział 3</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5BB5022D" w14:textId="24552EA9" w:rsidR="7C3AC5E5" w:rsidRDefault="7C3AC5E5" w:rsidP="7C3AC5E5">
            <w:r w:rsidRPr="7C3AC5E5">
              <w:rPr>
                <w:rFonts w:ascii="Calibri" w:eastAsia="Calibri" w:hAnsi="Calibri" w:cs="Calibri"/>
                <w:szCs w:val="24"/>
              </w:rPr>
              <w:t xml:space="preserve">W projekcie Programu FEPZ 2021-2027 przewidziano priorytety pomocy technicznej: </w:t>
            </w:r>
            <w:r w:rsidRPr="7C3AC5E5">
              <w:rPr>
                <w:rFonts w:ascii="Calibri" w:eastAsia="Calibri" w:hAnsi="Calibri" w:cs="Calibri"/>
                <w:i/>
                <w:iCs/>
                <w:szCs w:val="24"/>
              </w:rPr>
              <w:t>pomoc techniczna (EFRR) oraz pomoc techniczna (EFS+)</w:t>
            </w:r>
            <w:r w:rsidRPr="7C3AC5E5">
              <w:rPr>
                <w:rFonts w:ascii="Calibri" w:eastAsia="Calibri" w:hAnsi="Calibri" w:cs="Calibri"/>
                <w:szCs w:val="24"/>
              </w:rPr>
              <w:t>, zapewnią one przygotowanie do perspektywy finansowej po roku 2027 oraz wzmocnią potencjał instytucjonalny, poprzez szeroki wachlarz wsparcia dla pracowników administracyjnych i poprawę jakości świadczonych usług, tym samym stanowić będą gwarant płynnego przejścia z okresu 2014-2020 do okresu 2021-2027.</w:t>
            </w:r>
          </w:p>
        </w:tc>
      </w:tr>
      <w:tr w:rsidR="7C3AC5E5" w14:paraId="4A007AF8"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457CAC7C" w14:textId="617B3A9B" w:rsidR="7C3AC5E5" w:rsidRDefault="7C3AC5E5" w:rsidP="7C3AC5E5">
            <w:r w:rsidRPr="7C3AC5E5">
              <w:rPr>
                <w:rFonts w:ascii="Calibri" w:eastAsia="Calibri" w:hAnsi="Calibri" w:cs="Calibri"/>
                <w:color w:val="000000" w:themeColor="text1"/>
                <w:szCs w:val="24"/>
              </w:rPr>
              <w:t>Rozdział 3</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0A088276" w14:textId="0AB981E1" w:rsidR="7C3AC5E5" w:rsidRDefault="7C3AC5E5" w:rsidP="7C3AC5E5">
            <w:r w:rsidRPr="7C3AC5E5">
              <w:rPr>
                <w:rFonts w:ascii="Calibri" w:eastAsia="Calibri" w:hAnsi="Calibri" w:cs="Calibri"/>
                <w:color w:val="000000" w:themeColor="text1"/>
                <w:szCs w:val="24"/>
              </w:rPr>
              <w:t>W odniesieniu do polityki zrównoważonego rozwoju UE projekt Programu FEPZ 2021-2027 obejmuje aspekty związane z poprawą jakości życia poprzez łączenie różnorodnych aspektów rozwojowych woj. zachodniopomorskiego, zwłaszcza związanych z zachowaniem przyrody i ochroną bioróżnorodności (</w:t>
            </w:r>
            <w:r w:rsidRPr="7C3AC5E5">
              <w:rPr>
                <w:rFonts w:ascii="Calibri" w:eastAsia="Calibri" w:hAnsi="Calibri" w:cs="Calibri"/>
                <w:i/>
                <w:iCs/>
                <w:color w:val="000000" w:themeColor="text1"/>
                <w:szCs w:val="24"/>
              </w:rPr>
              <w:t>Priorytet</w:t>
            </w:r>
            <w:r w:rsidRPr="7C3AC5E5">
              <w:rPr>
                <w:rFonts w:ascii="Calibri" w:eastAsia="Calibri" w:hAnsi="Calibri" w:cs="Calibri"/>
                <w:color w:val="000000" w:themeColor="text1"/>
                <w:szCs w:val="24"/>
              </w:rPr>
              <w:t xml:space="preserve">: </w:t>
            </w:r>
            <w:r w:rsidRPr="7C3AC5E5">
              <w:rPr>
                <w:rFonts w:ascii="Calibri" w:eastAsia="Calibri" w:hAnsi="Calibri" w:cs="Calibri"/>
                <w:i/>
                <w:iCs/>
                <w:color w:val="000000" w:themeColor="text1"/>
                <w:szCs w:val="24"/>
              </w:rPr>
              <w:t>Fundusze Europejskie na rzecz zielonego Pomorza Zachodniego</w:t>
            </w:r>
            <w:r w:rsidRPr="7C3AC5E5">
              <w:rPr>
                <w:rFonts w:ascii="Calibri" w:eastAsia="Calibri" w:hAnsi="Calibri" w:cs="Calibri"/>
                <w:color w:val="000000" w:themeColor="text1"/>
                <w:szCs w:val="24"/>
              </w:rPr>
              <w:t xml:space="preserve">). Deklarowane w ramach </w:t>
            </w:r>
            <w:r w:rsidRPr="7C3AC5E5">
              <w:rPr>
                <w:rFonts w:ascii="Calibri" w:eastAsia="Calibri" w:hAnsi="Calibri" w:cs="Calibri"/>
                <w:i/>
                <w:iCs/>
                <w:color w:val="000000" w:themeColor="text1"/>
                <w:szCs w:val="24"/>
              </w:rPr>
              <w:t>Priorytetu: Fundusze Europejskie na rzecz przedsiębiorczego Pomorza Zachodniego</w:t>
            </w:r>
            <w:r w:rsidRPr="7C3AC5E5">
              <w:rPr>
                <w:rFonts w:ascii="Calibri" w:eastAsia="Calibri" w:hAnsi="Calibri" w:cs="Calibri"/>
                <w:color w:val="000000" w:themeColor="text1"/>
                <w:szCs w:val="24"/>
              </w:rPr>
              <w:t xml:space="preserve"> wsparcie sektora gospodarczego zgodne jest z polityką zrównoważonego rozwoju ukierunkowaną na poprawę warunków do rozwoju regionu oraz wzrost konkurencyjności gospodarczej przedsiębiorstw w województwie zachodniopomorskim.</w:t>
            </w:r>
          </w:p>
        </w:tc>
      </w:tr>
      <w:tr w:rsidR="7C3AC5E5" w14:paraId="6A290193"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7918BF05" w14:textId="1C3A0784" w:rsidR="7C3AC5E5" w:rsidRDefault="7C3AC5E5" w:rsidP="7C3AC5E5">
            <w:r w:rsidRPr="7C3AC5E5">
              <w:rPr>
                <w:rFonts w:ascii="Calibri" w:eastAsia="Calibri" w:hAnsi="Calibri" w:cs="Calibri"/>
                <w:szCs w:val="24"/>
              </w:rPr>
              <w:t>Rozdział 3</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0D7EF8B2" w14:textId="09E1C0C0" w:rsidR="7C3AC5E5" w:rsidRDefault="7C3AC5E5" w:rsidP="7C3AC5E5">
            <w:r w:rsidRPr="7C3AC5E5">
              <w:rPr>
                <w:rFonts w:ascii="Calibri" w:eastAsia="Calibri" w:hAnsi="Calibri" w:cs="Calibri"/>
                <w:szCs w:val="24"/>
              </w:rPr>
              <w:t xml:space="preserve">Szczegółowa analiza zgodności projektu Programu FEPZ 2021-2027 z innymi dokumentami wskazała, że wskazane w ramach </w:t>
            </w:r>
            <w:r w:rsidRPr="7C3AC5E5">
              <w:rPr>
                <w:rFonts w:ascii="Calibri" w:eastAsia="Calibri" w:hAnsi="Calibri" w:cs="Calibri"/>
                <w:i/>
                <w:iCs/>
                <w:szCs w:val="24"/>
              </w:rPr>
              <w:t>Priorytetu: Fundusze Europejskie na rzecz zielonego Pomorza Zachodniego</w:t>
            </w:r>
            <w:r w:rsidRPr="7C3AC5E5">
              <w:rPr>
                <w:rFonts w:ascii="Calibri" w:eastAsia="Calibri" w:hAnsi="Calibri" w:cs="Calibri"/>
                <w:szCs w:val="24"/>
              </w:rPr>
              <w:t xml:space="preserve"> cele środowiskowe, zmierzające w kierunku zwiększenia efektywności energetycznej oraz ograniczenia emisji gazów cieplarnianych i osiągnięcia neutralności klimatycznej, a także zapewnienia racjonalnej gospodarki zasobami wodnymi oraz wspierające transformację w kierunku gospodarki obiegu zamkniętego i gospodarki zasobooszczędnej są zgodne z celami środowiskowymi sformułowanymi w krajowych politykach i strategiach, oraz spójne co do przekazu ze strategicznymi dokumentami szczebla międzynarodowego.</w:t>
            </w:r>
          </w:p>
        </w:tc>
      </w:tr>
      <w:tr w:rsidR="7C3AC5E5" w14:paraId="10C37162"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544264A0" w14:textId="24A218E5" w:rsidR="7C3AC5E5" w:rsidRDefault="7C3AC5E5" w:rsidP="7C3AC5E5">
            <w:r w:rsidRPr="7C3AC5E5">
              <w:rPr>
                <w:rFonts w:ascii="Calibri" w:eastAsia="Calibri" w:hAnsi="Calibri" w:cs="Calibri"/>
                <w:color w:val="000000" w:themeColor="text1"/>
                <w:szCs w:val="24"/>
              </w:rPr>
              <w:t>Rozdział 3</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394AC3CD" w14:textId="114C3FB6" w:rsidR="7C3AC5E5" w:rsidRDefault="7C3AC5E5" w:rsidP="7C3AC5E5">
            <w:r w:rsidRPr="7C3AC5E5">
              <w:rPr>
                <w:rFonts w:ascii="Calibri" w:eastAsia="Calibri" w:hAnsi="Calibri" w:cs="Calibri"/>
                <w:color w:val="000000" w:themeColor="text1"/>
                <w:szCs w:val="24"/>
              </w:rPr>
              <w:t xml:space="preserve">Realizacja celów szczegółowych, w ramach </w:t>
            </w:r>
            <w:r w:rsidRPr="7C3AC5E5">
              <w:rPr>
                <w:rFonts w:ascii="Calibri" w:eastAsia="Calibri" w:hAnsi="Calibri" w:cs="Calibri"/>
                <w:i/>
                <w:iCs/>
                <w:color w:val="000000" w:themeColor="text1"/>
                <w:szCs w:val="24"/>
              </w:rPr>
              <w:t>Priorytetów:</w:t>
            </w:r>
            <w:r w:rsidRPr="7C3AC5E5">
              <w:rPr>
                <w:rFonts w:ascii="Calibri" w:eastAsia="Calibri" w:hAnsi="Calibri" w:cs="Calibri"/>
                <w:color w:val="000000" w:themeColor="text1"/>
                <w:szCs w:val="24"/>
              </w:rPr>
              <w:t xml:space="preserve"> </w:t>
            </w:r>
            <w:r w:rsidRPr="7C3AC5E5">
              <w:rPr>
                <w:rFonts w:ascii="Calibri" w:eastAsia="Calibri" w:hAnsi="Calibri" w:cs="Calibri"/>
                <w:i/>
                <w:iCs/>
                <w:color w:val="000000" w:themeColor="text1"/>
                <w:szCs w:val="24"/>
              </w:rPr>
              <w:t>Fundusze Europejskie na rzecz przedsiębiorczego Pomorza Zachodniego</w:t>
            </w:r>
            <w:r w:rsidRPr="7C3AC5E5">
              <w:rPr>
                <w:rFonts w:ascii="Calibri" w:eastAsia="Calibri" w:hAnsi="Calibri" w:cs="Calibri"/>
                <w:color w:val="000000" w:themeColor="text1"/>
                <w:szCs w:val="24"/>
              </w:rPr>
              <w:t xml:space="preserve"> oraz </w:t>
            </w:r>
            <w:r w:rsidRPr="7C3AC5E5">
              <w:rPr>
                <w:rFonts w:ascii="Calibri" w:eastAsia="Calibri" w:hAnsi="Calibri" w:cs="Calibri"/>
                <w:i/>
                <w:iCs/>
                <w:color w:val="000000" w:themeColor="text1"/>
                <w:szCs w:val="24"/>
              </w:rPr>
              <w:t>Fundusze Europejskie na rzecz aktywnego Pomorza Zachodniego</w:t>
            </w:r>
            <w:r w:rsidRPr="7C3AC5E5">
              <w:rPr>
                <w:rFonts w:ascii="Calibri" w:eastAsia="Calibri" w:hAnsi="Calibri" w:cs="Calibri"/>
                <w:color w:val="000000" w:themeColor="text1"/>
                <w:szCs w:val="24"/>
              </w:rPr>
              <w:t>, poprzez: trwałe podnoszenie konkurencyjności MŚP, tworzenie nowych i utrzymywanie istniejących miejsc pracy, poprawę dostępu do zatrudnienia oraz podejmowanie działań aktywizujących dla osób poszukujących zatrudnienia (podnoszenie kompetencji, zmiana kwalifikacji poprzez nabywanie nowych umiejętności itd.), będzie miało bezpośredni wpływ na spadek bezrobocia i zmniejszenie wskaźnika migracji mieszkańców, ponadto przyczyni się do podniesienia poziomu życia mieszkańców regionu, co z kolei wpłynie pozytywnie na rozwój społeczno-gospodarczy województwa.</w:t>
            </w:r>
          </w:p>
        </w:tc>
      </w:tr>
      <w:tr w:rsidR="7C3AC5E5" w14:paraId="0EF383E9"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1508080C" w14:textId="04A5F9DD" w:rsidR="7C3AC5E5" w:rsidRDefault="7C3AC5E5" w:rsidP="7C3AC5E5">
            <w:r w:rsidRPr="7C3AC5E5">
              <w:rPr>
                <w:rFonts w:ascii="Calibri" w:eastAsia="Calibri" w:hAnsi="Calibri" w:cs="Calibri"/>
                <w:szCs w:val="24"/>
              </w:rPr>
              <w:t>Rozdział 3</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780C5550" w14:textId="184CCCD6" w:rsidR="7C3AC5E5" w:rsidRDefault="7C3AC5E5" w:rsidP="7C3AC5E5">
            <w:r w:rsidRPr="7C3AC5E5">
              <w:rPr>
                <w:rFonts w:ascii="Calibri" w:eastAsia="Calibri" w:hAnsi="Calibri" w:cs="Calibri"/>
                <w:szCs w:val="24"/>
              </w:rPr>
              <w:t xml:space="preserve">W ramach </w:t>
            </w:r>
            <w:r w:rsidRPr="7C3AC5E5">
              <w:rPr>
                <w:rFonts w:ascii="Calibri" w:eastAsia="Calibri" w:hAnsi="Calibri" w:cs="Calibri"/>
                <w:i/>
                <w:iCs/>
                <w:szCs w:val="24"/>
              </w:rPr>
              <w:t>Priorytetu: Fundusze Europejskie na rzecz aktywnego Pomorza Zachodniego</w:t>
            </w:r>
            <w:r w:rsidRPr="7C3AC5E5">
              <w:rPr>
                <w:rFonts w:ascii="Calibri" w:eastAsia="Calibri" w:hAnsi="Calibri" w:cs="Calibri"/>
                <w:szCs w:val="24"/>
              </w:rPr>
              <w:t>, uwzględniono unijne cele skoncentrowane na transformacji i rozwoju społeczno-gospodarczym regionu w aspekcie wyrównania szans mieszkańców, poprzez wspieranie integracji społeczno-gospodarczej społeczności marginalizowanych, obywateli państw trzecich (w tym migrantów), osób zagrożonych ubóstwem i wykluczeniem społecznym, oraz poprawę dostępu do szerokiego wachlarza usług wspierających aktywne włączenie społeczne.</w:t>
            </w:r>
          </w:p>
        </w:tc>
      </w:tr>
      <w:tr w:rsidR="7C3AC5E5" w14:paraId="1AD5FD0A"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415E2864" w14:textId="56F30D14" w:rsidR="7C3AC5E5" w:rsidRDefault="7C3AC5E5"/>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44921186" w14:textId="1668CE08" w:rsidR="7C3AC5E5" w:rsidRDefault="7C3AC5E5"/>
        </w:tc>
      </w:tr>
      <w:tr w:rsidR="7C3AC5E5" w14:paraId="48AE38B9" w14:textId="77777777" w:rsidTr="00552B4C">
        <w:trPr>
          <w:trHeight w:val="540"/>
        </w:trPr>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00C79D1E" w14:textId="3A41A185" w:rsidR="7C3AC5E5" w:rsidRDefault="7C3AC5E5" w:rsidP="00431AC6">
            <w:r w:rsidRPr="7C3AC5E5">
              <w:rPr>
                <w:rFonts w:ascii="Calibri" w:eastAsia="Calibri" w:hAnsi="Calibri" w:cs="Calibri"/>
                <w:szCs w:val="24"/>
              </w:rPr>
              <w:t xml:space="preserve">Rozdział 3 i </w:t>
            </w:r>
            <w:r w:rsidR="00431AC6">
              <w:rPr>
                <w:rFonts w:ascii="Calibri" w:eastAsia="Calibri" w:hAnsi="Calibri" w:cs="Calibri"/>
                <w:szCs w:val="24"/>
              </w:rPr>
              <w:t>załącznik 3</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7A5C9DEF" w14:textId="7D0B6420" w:rsidR="7C3AC5E5" w:rsidRDefault="7C3AC5E5" w:rsidP="7C3AC5E5">
            <w:r w:rsidRPr="7C3AC5E5">
              <w:rPr>
                <w:rFonts w:ascii="Calibri" w:eastAsia="Calibri" w:hAnsi="Calibri" w:cs="Calibri"/>
                <w:szCs w:val="24"/>
              </w:rPr>
              <w:t xml:space="preserve">Zdefiniowane w ramach </w:t>
            </w:r>
            <w:r w:rsidRPr="7C3AC5E5">
              <w:rPr>
                <w:rFonts w:ascii="Calibri" w:eastAsia="Calibri" w:hAnsi="Calibri" w:cs="Calibri"/>
                <w:i/>
                <w:iCs/>
                <w:szCs w:val="24"/>
              </w:rPr>
              <w:t>Priorytetów</w:t>
            </w:r>
            <w:r w:rsidRPr="7C3AC5E5">
              <w:rPr>
                <w:rFonts w:ascii="Calibri" w:eastAsia="Calibri" w:hAnsi="Calibri" w:cs="Calibri"/>
                <w:szCs w:val="24"/>
              </w:rPr>
              <w:t xml:space="preserve"> projektu Programu FEPZ 2021-2027 cele szczegółowe, zostaną osiągnięte poprzez działania o zróżnicowanym charakterze oddziaływań na środowisko, uwarunkowanych zarówno skalą jak i rodzajem planowanych przedsięwzięć/ inwestycji. </w:t>
            </w:r>
            <w:r w:rsidRPr="7C3AC5E5">
              <w:rPr>
                <w:rFonts w:ascii="Calibri" w:eastAsia="Calibri" w:hAnsi="Calibri" w:cs="Calibri"/>
                <w:b/>
                <w:bCs/>
                <w:szCs w:val="24"/>
              </w:rPr>
              <w:t>Opracowana Prognoza oddziaływania przeprowadzona została w sposób kompleksowy ujmując wszystkie istotne uwarunkowania środowiskowe i antropogeniczne.</w:t>
            </w:r>
          </w:p>
        </w:tc>
      </w:tr>
      <w:tr w:rsidR="7C3AC5E5" w14:paraId="1DC680A0"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11DCEB19" w14:textId="10012712" w:rsidR="7C3AC5E5" w:rsidRDefault="00431AC6" w:rsidP="7C3AC5E5">
            <w:r>
              <w:rPr>
                <w:rFonts w:ascii="Calibri" w:eastAsia="Calibri" w:hAnsi="Calibri" w:cs="Calibri"/>
                <w:color w:val="000000" w:themeColor="text1"/>
                <w:szCs w:val="24"/>
              </w:rPr>
              <w:t>Rozdział 4</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72B93262" w14:textId="6DD81250" w:rsidR="7C3AC5E5" w:rsidRDefault="7C3AC5E5" w:rsidP="7C3AC5E5">
            <w:r w:rsidRPr="7C3AC5E5">
              <w:rPr>
                <w:rFonts w:ascii="Calibri" w:eastAsia="Calibri" w:hAnsi="Calibri" w:cs="Calibri"/>
                <w:b/>
                <w:bCs/>
                <w:color w:val="000000" w:themeColor="text1"/>
                <w:szCs w:val="24"/>
              </w:rPr>
              <w:t xml:space="preserve">Szczegółowa analiza przedsięwzięć planowanych do realizacji w ramach poszczególnych </w:t>
            </w:r>
            <w:r w:rsidRPr="7C3AC5E5">
              <w:rPr>
                <w:rFonts w:ascii="Calibri" w:eastAsia="Calibri" w:hAnsi="Calibri" w:cs="Calibri"/>
                <w:b/>
                <w:bCs/>
                <w:i/>
                <w:iCs/>
                <w:color w:val="000000" w:themeColor="text1"/>
                <w:szCs w:val="24"/>
              </w:rPr>
              <w:t>Priorytetów</w:t>
            </w:r>
            <w:r w:rsidRPr="7C3AC5E5">
              <w:rPr>
                <w:rFonts w:ascii="Calibri" w:eastAsia="Calibri" w:hAnsi="Calibri" w:cs="Calibri"/>
                <w:b/>
                <w:bCs/>
                <w:color w:val="000000" w:themeColor="text1"/>
                <w:szCs w:val="24"/>
              </w:rPr>
              <w:t xml:space="preserve"> projektu Programu FEPZ 2021-2027 pod kątem potencjalnych skutków środowiskowych, wykazała że znaczna część planowanych do realizacji przedsięwzięć będzie charakteryzowała się neutralnym lub pozytywnym charakterem oddziaływaniem na środowisko naturalne oraz pozytywnym wpływem na jakość życia mieszkańców województwa. </w:t>
            </w:r>
          </w:p>
        </w:tc>
      </w:tr>
      <w:tr w:rsidR="7C3AC5E5" w14:paraId="1AEEE79F"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0A1D2F6B" w14:textId="6B7A514E" w:rsidR="7C3AC5E5" w:rsidRDefault="00431AC6" w:rsidP="7C3AC5E5">
            <w:r>
              <w:rPr>
                <w:rFonts w:ascii="Calibri" w:eastAsia="Calibri" w:hAnsi="Calibri" w:cs="Calibri"/>
                <w:szCs w:val="24"/>
              </w:rPr>
              <w:t>Rozdział 4</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7646602C" w14:textId="2F665E04" w:rsidR="7C3AC5E5" w:rsidRDefault="7C3AC5E5" w:rsidP="7C3AC5E5">
            <w:r w:rsidRPr="7C3AC5E5">
              <w:rPr>
                <w:rFonts w:ascii="Calibri" w:eastAsia="Calibri" w:hAnsi="Calibri" w:cs="Calibri"/>
                <w:szCs w:val="24"/>
              </w:rPr>
              <w:t xml:space="preserve">Część przedsięwzięć planowanych do realizacji w ramach poszczególnych </w:t>
            </w:r>
            <w:r w:rsidRPr="7C3AC5E5">
              <w:rPr>
                <w:rFonts w:ascii="Calibri" w:eastAsia="Calibri" w:hAnsi="Calibri" w:cs="Calibri"/>
                <w:i/>
                <w:iCs/>
                <w:szCs w:val="24"/>
              </w:rPr>
              <w:t>Priorytetów</w:t>
            </w:r>
            <w:r w:rsidRPr="7C3AC5E5">
              <w:rPr>
                <w:rFonts w:ascii="Calibri" w:eastAsia="Calibri" w:hAnsi="Calibri" w:cs="Calibri"/>
                <w:szCs w:val="24"/>
              </w:rPr>
              <w:t xml:space="preserve"> projektu Programu FEPZ 2021-2027, mających charakter nie inwestycyjny (przedsięwzięcia naukowe, organizacyjne, finansowe, społeczne itp.), będzie wykazywała pozytywny lub neutralny wpływ na środowisko. Szczególne znaczenie w tej kwestii mają działania edukacyjne i aktywizujące lokalne społeczności, których wymiernym skutkiem będzie wzrost świadomości ekologicznej mieszkańców, zwiększona wrażliwość oraz troska o stan środowiska naturalnego woj. zachodniopomorskiego, jak i aktywizacja społeczna w obszarze zatrudnienia oraz w strefie kulturalno-edukacyjnej.</w:t>
            </w:r>
          </w:p>
        </w:tc>
      </w:tr>
      <w:tr w:rsidR="7C3AC5E5" w14:paraId="6D4EE5D4"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5A72F7DC" w14:textId="5AE4F093" w:rsidR="7C3AC5E5" w:rsidRDefault="00431AC6" w:rsidP="7C3AC5E5">
            <w:r>
              <w:rPr>
                <w:rFonts w:ascii="Calibri" w:eastAsia="Calibri" w:hAnsi="Calibri" w:cs="Calibri"/>
                <w:color w:val="000000" w:themeColor="text1"/>
                <w:szCs w:val="24"/>
              </w:rPr>
              <w:t>Rozdział 4</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7A10AD53" w14:textId="7EB121C0" w:rsidR="7C3AC5E5" w:rsidRDefault="7C3AC5E5" w:rsidP="7C3AC5E5">
            <w:r w:rsidRPr="7C3AC5E5">
              <w:rPr>
                <w:rFonts w:ascii="Calibri" w:eastAsia="Calibri" w:hAnsi="Calibri" w:cs="Calibri"/>
                <w:color w:val="000000" w:themeColor="text1"/>
                <w:szCs w:val="24"/>
              </w:rPr>
              <w:t xml:space="preserve">Realizacja działań zaproponowanych w projekcie Programu FEPZ 2021-2027 w obszarze </w:t>
            </w:r>
            <w:r w:rsidRPr="7C3AC5E5">
              <w:rPr>
                <w:rFonts w:ascii="Calibri" w:eastAsia="Calibri" w:hAnsi="Calibri" w:cs="Calibri"/>
                <w:i/>
                <w:iCs/>
                <w:color w:val="000000" w:themeColor="text1"/>
                <w:szCs w:val="24"/>
              </w:rPr>
              <w:t xml:space="preserve">Priorytetu: Fundusze Europejskie na rzecz zielonego Pomorza Zachodniego </w:t>
            </w:r>
            <w:r w:rsidRPr="7C3AC5E5">
              <w:rPr>
                <w:rFonts w:ascii="Calibri" w:eastAsia="Calibri" w:hAnsi="Calibri" w:cs="Calibri"/>
                <w:color w:val="000000" w:themeColor="text1"/>
                <w:szCs w:val="24"/>
              </w:rPr>
              <w:t xml:space="preserve">oraz </w:t>
            </w:r>
            <w:r w:rsidRPr="7C3AC5E5">
              <w:rPr>
                <w:rFonts w:ascii="Calibri" w:eastAsia="Calibri" w:hAnsi="Calibri" w:cs="Calibri"/>
                <w:i/>
                <w:iCs/>
                <w:color w:val="000000" w:themeColor="text1"/>
                <w:szCs w:val="24"/>
              </w:rPr>
              <w:t xml:space="preserve">Priorytetu: Fundusze Europejskie na rzecz mobilnego Pomorza Zachodniego </w:t>
            </w:r>
            <w:r w:rsidRPr="7C3AC5E5">
              <w:rPr>
                <w:rFonts w:ascii="Calibri" w:eastAsia="Calibri" w:hAnsi="Calibri" w:cs="Calibri"/>
                <w:color w:val="000000" w:themeColor="text1"/>
                <w:szCs w:val="24"/>
              </w:rPr>
              <w:t>związanych z obniżeniem emisyjności gospodarki, poprawą efektywności energetycznej, wdrożeniem systemowych rozwiązań opartych na OZE jak również wdrożeniem zrównoważonego multimodalnego transportu miejskiego będzie miała bezpośredni wpływ na poprawę jakości środowiska w ujęciu lokalnym z przełożeniem na efekty mierzalne w skali regionu i kraju.</w:t>
            </w:r>
          </w:p>
        </w:tc>
      </w:tr>
      <w:tr w:rsidR="7C3AC5E5" w14:paraId="5D4FD156"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47C7F939" w14:textId="6A25A94F" w:rsidR="7C3AC5E5" w:rsidRDefault="00431AC6" w:rsidP="7C3AC5E5">
            <w:r>
              <w:rPr>
                <w:rFonts w:ascii="Calibri" w:eastAsia="Calibri" w:hAnsi="Calibri" w:cs="Calibri"/>
                <w:szCs w:val="24"/>
              </w:rPr>
              <w:t>Rozdział 4</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435863FB" w14:textId="17249518" w:rsidR="7C3AC5E5" w:rsidRDefault="7C3AC5E5" w:rsidP="7C3AC5E5">
            <w:r w:rsidRPr="7C3AC5E5">
              <w:rPr>
                <w:rFonts w:ascii="Calibri" w:eastAsia="Calibri" w:hAnsi="Calibri" w:cs="Calibri"/>
                <w:b/>
                <w:bCs/>
                <w:szCs w:val="24"/>
              </w:rPr>
              <w:t>Nie zidentyfikowano znacząco negatywnego charakteru oddziaływań, który naruszałyby cel czy przedmiot ochrony obszarów Natura 2000</w:t>
            </w:r>
            <w:r w:rsidRPr="7C3AC5E5">
              <w:rPr>
                <w:rFonts w:ascii="Calibri" w:eastAsia="Calibri" w:hAnsi="Calibri" w:cs="Calibri"/>
                <w:szCs w:val="24"/>
              </w:rPr>
              <w:t xml:space="preserve">, bądź też spójność czy integralność sieci i tym samym wykluczyły możliwość realizacji celów szczegółowych wskazanych w ramach poszczególnych </w:t>
            </w:r>
            <w:r w:rsidRPr="7C3AC5E5">
              <w:rPr>
                <w:rFonts w:ascii="Calibri" w:eastAsia="Calibri" w:hAnsi="Calibri" w:cs="Calibri"/>
                <w:i/>
                <w:iCs/>
                <w:szCs w:val="24"/>
              </w:rPr>
              <w:t>Priorytetów</w:t>
            </w:r>
            <w:r w:rsidRPr="7C3AC5E5">
              <w:rPr>
                <w:rFonts w:ascii="Calibri" w:eastAsia="Calibri" w:hAnsi="Calibri" w:cs="Calibri"/>
                <w:szCs w:val="24"/>
              </w:rPr>
              <w:t xml:space="preserve"> projektu Programu FEPZ 2021-2027.</w:t>
            </w:r>
          </w:p>
        </w:tc>
      </w:tr>
      <w:tr w:rsidR="7C3AC5E5" w14:paraId="7D6B3A9A"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1B344207" w14:textId="49DD72F0" w:rsidR="7C3AC5E5" w:rsidRDefault="00431AC6" w:rsidP="7C3AC5E5">
            <w:r>
              <w:rPr>
                <w:rFonts w:ascii="Calibri" w:eastAsia="Calibri" w:hAnsi="Calibri" w:cs="Calibri"/>
                <w:color w:val="000000" w:themeColor="text1"/>
                <w:szCs w:val="24"/>
              </w:rPr>
              <w:t>Rozdział 4</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3A36A802" w14:textId="060E8B36" w:rsidR="7C3AC5E5" w:rsidRDefault="7C3AC5E5" w:rsidP="7C3AC5E5">
            <w:r w:rsidRPr="7C3AC5E5">
              <w:rPr>
                <w:rFonts w:ascii="Calibri" w:eastAsia="Calibri" w:hAnsi="Calibri" w:cs="Calibri"/>
                <w:color w:val="000000" w:themeColor="text1"/>
                <w:szCs w:val="24"/>
              </w:rPr>
              <w:t>Zidentyfikowane potencjalne negatywne oddziaływania powinny być ograniczane lub eliminowane poprzez prowadzenie działań minimalizujących zarówno na etapie projektowania, jak również na etapie realizacji inwestycji. Pamiętając o zasadzie przezorności, należy każdorazowo zastosować środki techniczne i nietechniczne wykluczające lub minimalizujące szkodliwość wpływu inwestycji na przedmioty ochrony u źródła powstawania ewentualnego wpływu negatywnego.</w:t>
            </w:r>
          </w:p>
        </w:tc>
      </w:tr>
      <w:tr w:rsidR="7C3AC5E5" w14:paraId="41AC92C3" w14:textId="77777777" w:rsidTr="00552B4C">
        <w:trPr>
          <w:trHeight w:val="3480"/>
        </w:trPr>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47E06403" w14:textId="1DBBE8D6" w:rsidR="7C3AC5E5" w:rsidRDefault="00431AC6" w:rsidP="7C3AC5E5">
            <w:r>
              <w:rPr>
                <w:rFonts w:ascii="Calibri" w:eastAsia="Calibri" w:hAnsi="Calibri" w:cs="Calibri"/>
                <w:szCs w:val="24"/>
              </w:rPr>
              <w:t>Rozdział 4</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69EA0B56" w14:textId="24B346E9" w:rsidR="7C3AC5E5" w:rsidRDefault="7C3AC5E5" w:rsidP="00552B4C">
            <w:r w:rsidRPr="7C3AC5E5">
              <w:rPr>
                <w:rFonts w:ascii="Calibri" w:eastAsia="Calibri" w:hAnsi="Calibri" w:cs="Calibri"/>
                <w:szCs w:val="24"/>
              </w:rPr>
              <w:t xml:space="preserve">Inwestycje związane z rozbudową/budową/modernizacją infrastruktury komunikacyjnej, które w zależności od parametrów technicznych mogą zaliczać się do przedsięwzięć mogących zawsze lub potencjalnie znacząco oddziaływać na środowisko - będą charakteryzowały się potencjalnym znaczącym negatywnym oddziaływaniem bezpośrednim o charakterze tymczasowym i średnioterminowym. Przewiduje się jednak, że w chwili zakończenia inwestycji oddziaływania te ustąpią, a stan poszczególnych komponentów środowiska zostanie przywrócony do pierwotnego. </w:t>
            </w:r>
          </w:p>
        </w:tc>
      </w:tr>
      <w:tr w:rsidR="7C3AC5E5" w14:paraId="4DCA91E2"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1D7620A7" w14:textId="5C86F326" w:rsidR="7C3AC5E5" w:rsidRDefault="7C3AC5E5" w:rsidP="7C3AC5E5">
            <w:r w:rsidRPr="7C3AC5E5">
              <w:rPr>
                <w:rFonts w:ascii="Calibri" w:eastAsia="Calibri" w:hAnsi="Calibri" w:cs="Calibri"/>
                <w:color w:val="000000" w:themeColor="text1"/>
                <w:szCs w:val="24"/>
              </w:rPr>
              <w:t>Rozdzia</w:t>
            </w:r>
            <w:r w:rsidR="00431AC6">
              <w:rPr>
                <w:rFonts w:ascii="Calibri" w:eastAsia="Calibri" w:hAnsi="Calibri" w:cs="Calibri"/>
                <w:color w:val="000000" w:themeColor="text1"/>
                <w:szCs w:val="24"/>
              </w:rPr>
              <w:t>ł 4</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1B6A8380" w14:textId="7D76B2D2" w:rsidR="7C3AC5E5" w:rsidRDefault="7C3AC5E5" w:rsidP="7C3AC5E5">
            <w:r w:rsidRPr="7C3AC5E5">
              <w:rPr>
                <w:rFonts w:ascii="Calibri" w:eastAsia="Calibri" w:hAnsi="Calibri" w:cs="Calibri"/>
                <w:color w:val="000000" w:themeColor="text1"/>
                <w:szCs w:val="24"/>
              </w:rPr>
              <w:t>Stosowanie zasad zrównoważonego rozwoju oraz zagwarantowanie odpowiednich działań zabezpieczających (na etapie wyboru, jak i na etapie realizacji planowanych przedsięwzięć), pozwoli na znaczące ograniczenie powstawania skumulowanych oddziaływań w trakcie realizacji Programu FEPZ 2021-2027. Spełnienie tego wymogu warunkuje brak potrzeby podejmowania działań kompensujących. W przypadku niezachowania powyższych założeń, a zwłaszcza w przypadku, gdy wystąpi negatywne oddziaływanie na cele ochrony obszarów Natura 2000 należy wprowadzić odpowiednie działania kompensacyjne obejmujące: tworzenie siedlisk, poprawę siedlisk lub przemieszczania siedlisk w inne miejsce, poza obszar negatywnego oddziaływania.</w:t>
            </w:r>
          </w:p>
        </w:tc>
      </w:tr>
      <w:tr w:rsidR="7C3AC5E5" w14:paraId="10ACE409"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725AFF00" w14:textId="55FD76E0" w:rsidR="7C3AC5E5" w:rsidRDefault="00431AC6" w:rsidP="7C3AC5E5">
            <w:r>
              <w:rPr>
                <w:rFonts w:ascii="Calibri" w:eastAsia="Calibri" w:hAnsi="Calibri" w:cs="Calibri"/>
                <w:color w:val="000000" w:themeColor="text1"/>
                <w:szCs w:val="24"/>
              </w:rPr>
              <w:t>Rozdział 5</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7206B182" w14:textId="5CBC840B" w:rsidR="7C3AC5E5" w:rsidRDefault="7C3AC5E5" w:rsidP="7C3AC5E5">
            <w:r w:rsidRPr="7C3AC5E5">
              <w:rPr>
                <w:rFonts w:ascii="Calibri" w:eastAsia="Calibri" w:hAnsi="Calibri" w:cs="Calibri"/>
                <w:color w:val="000000" w:themeColor="text1"/>
                <w:szCs w:val="24"/>
              </w:rPr>
              <w:t xml:space="preserve">Ryzyko transmisji zanieczyszczeń poza granice kraju można uznać za pomijalne, z uwagi na zakres oraz skalę do realizacji w ramach celi szczegółowych, w obrębie poszczególnych </w:t>
            </w:r>
            <w:r w:rsidRPr="7C3AC5E5">
              <w:rPr>
                <w:rFonts w:ascii="Calibri" w:eastAsia="Calibri" w:hAnsi="Calibri" w:cs="Calibri"/>
                <w:i/>
                <w:iCs/>
                <w:color w:val="000000" w:themeColor="text1"/>
                <w:szCs w:val="24"/>
              </w:rPr>
              <w:t>Priorytetów</w:t>
            </w:r>
            <w:r w:rsidRPr="7C3AC5E5">
              <w:rPr>
                <w:rFonts w:ascii="Calibri" w:eastAsia="Calibri" w:hAnsi="Calibri" w:cs="Calibri"/>
                <w:color w:val="000000" w:themeColor="text1"/>
                <w:szCs w:val="24"/>
              </w:rPr>
              <w:t xml:space="preserve"> zawartych w projekcie Programu FEPZ 2021-2027. Brak jest podstaw do jednoznacznej identyfikacji ryzyka wystąpienia znaczących negatywnych oddziaływań na kraje sąsiadujące, które zgodnie z artykułem 104 ustawy OOŚ</w:t>
            </w:r>
            <w:r w:rsidR="00552B4C">
              <w:rPr>
                <w:rFonts w:ascii="Calibri" w:eastAsia="Calibri" w:hAnsi="Calibri" w:cs="Calibri"/>
                <w:szCs w:val="24"/>
                <w:vertAlign w:val="superscript"/>
              </w:rPr>
              <w:t xml:space="preserve"> </w:t>
            </w:r>
            <w:r w:rsidRPr="7C3AC5E5">
              <w:rPr>
                <w:rFonts w:ascii="Calibri" w:eastAsia="Calibri" w:hAnsi="Calibri" w:cs="Calibri"/>
                <w:color w:val="000000" w:themeColor="text1"/>
                <w:szCs w:val="24"/>
              </w:rPr>
              <w:t>implikowałyby konieczność przeprowadzenia dla niego tzw. postępowania w sprawie transgranicznego oddziaływania na środowisko.</w:t>
            </w:r>
          </w:p>
        </w:tc>
      </w:tr>
      <w:tr w:rsidR="7C3AC5E5" w14:paraId="3DBB83E8"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547E5B09" w14:textId="2712BA45" w:rsidR="7C3AC5E5" w:rsidRDefault="00431AC6" w:rsidP="7C3AC5E5">
            <w:r>
              <w:rPr>
                <w:rFonts w:ascii="Calibri" w:eastAsia="Calibri" w:hAnsi="Calibri" w:cs="Calibri"/>
                <w:szCs w:val="24"/>
              </w:rPr>
              <w:t>Rozdział 6</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0C41BC96" w14:textId="1F450F61" w:rsidR="7C3AC5E5" w:rsidRDefault="7C3AC5E5" w:rsidP="7C3AC5E5">
            <w:r w:rsidRPr="7C3AC5E5">
              <w:rPr>
                <w:rFonts w:ascii="Calibri" w:eastAsia="Calibri" w:hAnsi="Calibri" w:cs="Calibri"/>
                <w:szCs w:val="24"/>
              </w:rPr>
              <w:t>Zidentyfikowane potencjalne negatywne oddziaływania winny być ograniczane lub eliminowane poprzez prowadzenie działań minimalizujących zarówno na etapie projektowania inwestycji, jak i jej realizacji. Pamiętając o zasadzie przezorności, każdorazowo należy zastosować środki techniczne, jak i nietechniczne wykluczające lub ograniczające szkodliwość wpływu inwestycji na przedmioty ochrony u źródła powstawania ewentualnego wpływu negatywnego.</w:t>
            </w:r>
          </w:p>
        </w:tc>
      </w:tr>
      <w:tr w:rsidR="7C3AC5E5" w14:paraId="72B744BF"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101503E3" w14:textId="37096E83" w:rsidR="7C3AC5E5" w:rsidRDefault="00431AC6" w:rsidP="7C3AC5E5">
            <w:r>
              <w:rPr>
                <w:rFonts w:ascii="Calibri" w:eastAsia="Calibri" w:hAnsi="Calibri" w:cs="Calibri"/>
                <w:color w:val="000000" w:themeColor="text1"/>
                <w:szCs w:val="24"/>
              </w:rPr>
              <w:t>Rozdział 7</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13C29715" w14:textId="4A287B18" w:rsidR="7C3AC5E5" w:rsidRDefault="7C3AC5E5" w:rsidP="7C3AC5E5">
            <w:r w:rsidRPr="7C3AC5E5">
              <w:rPr>
                <w:rFonts w:ascii="Calibri" w:eastAsia="Calibri" w:hAnsi="Calibri" w:cs="Calibri"/>
                <w:color w:val="000000" w:themeColor="text1"/>
                <w:szCs w:val="24"/>
              </w:rPr>
              <w:t>Negatywnym skutkiem braku realizacji projektu Programu FEPZ 2021-2027 w obszarze społecznym będzie pogłębiające się zjawisko suburbanizacji największych miast województwa oraz brak aktywizacji osób biernych zawodowo. Odstąpienie od realizacji projektu Programu FEPZ 2021-2027 może spowodować zaniechanie lub ograniczenie realizacji działań istotnych z punktu widzenia ochrony przyrody i ochrony środowiska, w tym w odniesieniu do różnorodności biologicznej, roślin, zwierząt, obszarów chronionych i obszarów Natura 2000.</w:t>
            </w:r>
          </w:p>
        </w:tc>
      </w:tr>
      <w:tr w:rsidR="7C3AC5E5" w14:paraId="75C2B475"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018942F6" w14:textId="1771549D" w:rsidR="7C3AC5E5" w:rsidRDefault="00431AC6" w:rsidP="7C3AC5E5">
            <w:r>
              <w:rPr>
                <w:rFonts w:ascii="Calibri" w:eastAsia="Calibri" w:hAnsi="Calibri" w:cs="Calibri"/>
                <w:szCs w:val="24"/>
              </w:rPr>
              <w:t>Rozdział 7</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75C19C4C" w14:textId="4451534D" w:rsidR="7C3AC5E5" w:rsidRDefault="7C3AC5E5" w:rsidP="7C3AC5E5">
            <w:r w:rsidRPr="7C3AC5E5">
              <w:rPr>
                <w:rFonts w:ascii="Calibri" w:eastAsia="Calibri" w:hAnsi="Calibri" w:cs="Calibri"/>
                <w:szCs w:val="24"/>
              </w:rPr>
              <w:t>Brakiem realizacji projektu Programu FEPZ 2021-2027 tzw. wariant „zero”, jest niekorzystny ze względów środowiskowych, ekonomicznych i społecznych. Brak realizacji projektu Programu FEPZ 2021-2027 spowoduje pogłębianie barier ochrony środowiska w województwie zachodniopomorskim w odniesieniu do pozostałych województw w kraju, zatrzymanie pozytywnych trendów w zakresie poprawy jakości poszczególnych elementów środowiska, wzrost presji środowiskowej oraz pogorszenie ogólnej sytuacji społeczno-gospodarczej.</w:t>
            </w:r>
          </w:p>
        </w:tc>
      </w:tr>
      <w:tr w:rsidR="7C3AC5E5" w14:paraId="6D94BFD5"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0E2A8DDD" w14:textId="3EFE1B02" w:rsidR="7C3AC5E5" w:rsidRDefault="00431AC6" w:rsidP="7C3AC5E5">
            <w:r>
              <w:rPr>
                <w:rFonts w:ascii="Calibri" w:eastAsia="Calibri" w:hAnsi="Calibri" w:cs="Calibri"/>
                <w:color w:val="000000" w:themeColor="text1"/>
                <w:szCs w:val="24"/>
              </w:rPr>
              <w:t>Rozdział 8</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75855AF9" w14:textId="518B5BDD" w:rsidR="7C3AC5E5" w:rsidRDefault="7C3AC5E5" w:rsidP="7C3AC5E5">
            <w:r w:rsidRPr="7C3AC5E5">
              <w:rPr>
                <w:rFonts w:ascii="Calibri" w:eastAsia="Calibri" w:hAnsi="Calibri" w:cs="Calibri"/>
                <w:color w:val="000000" w:themeColor="text1"/>
                <w:szCs w:val="24"/>
              </w:rPr>
              <w:t>Skutki realizacji projektu Programu FEPZ 2021-2027 wymagają systematycznego monitorowania i przeprowadzania okresowych przeglądów, umożliwiających ocenę stopnia wdrażania założeń dokumentów oraz identyfikację obszarów o mniejszej intensywności działań i efektów. Umożliwi to weryfikację przyjętych założeń i wprowadzenie korekt w odniesieniu do zmieniających się w czasie uwarunkowań i celów powyższego projektu.</w:t>
            </w:r>
          </w:p>
        </w:tc>
      </w:tr>
      <w:tr w:rsidR="7C3AC5E5" w14:paraId="2A546C64" w14:textId="77777777" w:rsidTr="00552B4C">
        <w:tc>
          <w:tcPr>
            <w:tcW w:w="15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49C329D8" w14:textId="74B11AC4" w:rsidR="7C3AC5E5" w:rsidRDefault="00431AC6" w:rsidP="7C3AC5E5">
            <w:r>
              <w:rPr>
                <w:rFonts w:ascii="Calibri" w:eastAsia="Calibri" w:hAnsi="Calibri" w:cs="Calibri"/>
                <w:szCs w:val="24"/>
              </w:rPr>
              <w:t>Rozdział 8</w:t>
            </w:r>
          </w:p>
        </w:tc>
        <w:tc>
          <w:tcPr>
            <w:tcW w:w="7534"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32D9F0F9" w14:textId="77AC460C" w:rsidR="7C3AC5E5" w:rsidRDefault="7C3AC5E5" w:rsidP="7C3AC5E5">
            <w:r w:rsidRPr="7C3AC5E5">
              <w:rPr>
                <w:rFonts w:ascii="Calibri" w:eastAsia="Calibri" w:hAnsi="Calibri" w:cs="Calibri"/>
                <w:szCs w:val="24"/>
              </w:rPr>
              <w:t>Monitoring skutków realizacji postanowień projektu Programu FEPZ 2021-2027 winien obejmować wskaźniki odnoszące się do aspektu wkładu w realizację celów środowiskowych oraz aspektów zrównoważonego podejścia do realizacji projektów. W ramach Programu FEPZ 2021-2027 winno premiować się projekty, w oparciu o zaproponowane w dokumencie wskaźniki środowiskowe, co przyczyni się do stymulowania i zwiększenia pozytywnego wkładu w realizację kluczowych celów środowiskowych i klimatycznych UE.</w:t>
            </w:r>
          </w:p>
        </w:tc>
      </w:tr>
    </w:tbl>
    <w:p w14:paraId="334E0AFF" w14:textId="7CD729D1" w:rsidR="7C3AC5E5" w:rsidRDefault="7C3AC5E5" w:rsidP="7C3AC5E5">
      <w:r w:rsidRPr="7C3AC5E5">
        <w:rPr>
          <w:rFonts w:ascii="Calibri" w:eastAsia="Calibri" w:hAnsi="Calibri" w:cs="Calibri"/>
          <w:szCs w:val="24"/>
        </w:rPr>
        <w:t xml:space="preserve">Źródło: Opracowanie własne </w:t>
      </w:r>
    </w:p>
    <w:p w14:paraId="6553FFCE" w14:textId="73EA4AA2" w:rsidR="7C3AC5E5" w:rsidRDefault="00E27A91" w:rsidP="00E27A91">
      <w:pPr>
        <w:pStyle w:val="Legenda"/>
      </w:pPr>
      <w:bookmarkStart w:id="80" w:name="_Ref104790476"/>
      <w:bookmarkStart w:id="81" w:name="_Toc104790070"/>
      <w:bookmarkStart w:id="82" w:name="_Toc104790669"/>
      <w:r>
        <w:t xml:space="preserve">Tablica </w:t>
      </w:r>
      <w:fldSimple w:instr=" SEQ Tablica \* ARABIC ">
        <w:r w:rsidR="002B5007">
          <w:rPr>
            <w:noProof/>
          </w:rPr>
          <w:t>4</w:t>
        </w:r>
      </w:fldSimple>
      <w:bookmarkEnd w:id="80"/>
      <w:r>
        <w:t xml:space="preserve"> </w:t>
      </w:r>
      <w:r w:rsidR="7C3AC5E5" w:rsidRPr="00E27A91">
        <w:t>Rekomendacje dla przedsięwzięć możliwych do realizacji w ramach projektu Programu Fundusze Europejskie dla Pomorza Zachodniego 2021-2027 (FEPZ 2021-2027)</w:t>
      </w:r>
      <w:bookmarkEnd w:id="81"/>
      <w:bookmarkEnd w:id="82"/>
    </w:p>
    <w:tbl>
      <w:tblPr>
        <w:tblStyle w:val="Tabela-Siatka"/>
        <w:tblW w:w="0" w:type="auto"/>
        <w:tblLayout w:type="fixed"/>
        <w:tblLook w:val="0420" w:firstRow="1" w:lastRow="0" w:firstColumn="0" w:lastColumn="0" w:noHBand="0" w:noVBand="1"/>
      </w:tblPr>
      <w:tblGrid>
        <w:gridCol w:w="511"/>
        <w:gridCol w:w="5126"/>
        <w:gridCol w:w="3423"/>
      </w:tblGrid>
      <w:tr w:rsidR="7C3AC5E5" w14:paraId="744B3F00" w14:textId="77777777" w:rsidTr="00552B4C">
        <w:tc>
          <w:tcPr>
            <w:tcW w:w="511" w:type="dxa"/>
            <w:tcBorders>
              <w:top w:val="single" w:sz="8" w:space="0" w:color="549E39" w:themeColor="accent1"/>
              <w:left w:val="single" w:sz="8" w:space="0" w:color="549E39" w:themeColor="accent1"/>
              <w:bottom w:val="single" w:sz="8" w:space="0" w:color="549E39" w:themeColor="accent1"/>
              <w:right w:val="nil"/>
            </w:tcBorders>
            <w:shd w:val="clear" w:color="auto" w:fill="549E39" w:themeFill="accent1"/>
          </w:tcPr>
          <w:p w14:paraId="1D63318B" w14:textId="36FE7E2F" w:rsidR="7C3AC5E5" w:rsidRDefault="7C3AC5E5" w:rsidP="7C3AC5E5">
            <w:pPr>
              <w:jc w:val="center"/>
            </w:pPr>
            <w:r w:rsidRPr="7C3AC5E5">
              <w:rPr>
                <w:rFonts w:ascii="Calibri" w:eastAsia="Calibri" w:hAnsi="Calibri" w:cs="Calibri"/>
                <w:b/>
                <w:bCs/>
                <w:color w:val="FFFFFF" w:themeColor="background1"/>
                <w:szCs w:val="24"/>
              </w:rPr>
              <w:t>Lp.</w:t>
            </w:r>
          </w:p>
        </w:tc>
        <w:tc>
          <w:tcPr>
            <w:tcW w:w="5126" w:type="dxa"/>
            <w:tcBorders>
              <w:top w:val="single" w:sz="8" w:space="0" w:color="549E39" w:themeColor="accent1"/>
              <w:left w:val="nil"/>
              <w:bottom w:val="single" w:sz="8" w:space="0" w:color="549E39" w:themeColor="accent1"/>
              <w:right w:val="nil"/>
            </w:tcBorders>
            <w:shd w:val="clear" w:color="auto" w:fill="549E39" w:themeFill="accent1"/>
          </w:tcPr>
          <w:p w14:paraId="4CEBE023" w14:textId="5D3B1E5A" w:rsidR="7C3AC5E5" w:rsidRDefault="7C3AC5E5" w:rsidP="7C3AC5E5">
            <w:pPr>
              <w:jc w:val="center"/>
            </w:pPr>
            <w:r w:rsidRPr="7C3AC5E5">
              <w:rPr>
                <w:rFonts w:ascii="Calibri" w:eastAsia="Calibri" w:hAnsi="Calibri" w:cs="Calibri"/>
                <w:b/>
                <w:bCs/>
                <w:color w:val="FFFFFF" w:themeColor="background1"/>
                <w:szCs w:val="24"/>
              </w:rPr>
              <w:t>Rekomendacje</w:t>
            </w:r>
          </w:p>
        </w:tc>
        <w:tc>
          <w:tcPr>
            <w:tcW w:w="3423" w:type="dxa"/>
            <w:tcBorders>
              <w:top w:val="single" w:sz="8" w:space="0" w:color="549E39" w:themeColor="accent1"/>
              <w:left w:val="nil"/>
              <w:bottom w:val="single" w:sz="8" w:space="0" w:color="549E39" w:themeColor="accent1"/>
              <w:right w:val="single" w:sz="8" w:space="0" w:color="549E39" w:themeColor="accent1"/>
            </w:tcBorders>
            <w:shd w:val="clear" w:color="auto" w:fill="549E39" w:themeFill="accent1"/>
          </w:tcPr>
          <w:p w14:paraId="4908F6FB" w14:textId="603B1F0B" w:rsidR="7C3AC5E5" w:rsidRDefault="7C3AC5E5" w:rsidP="7C3AC5E5">
            <w:pPr>
              <w:jc w:val="center"/>
            </w:pPr>
            <w:r w:rsidRPr="7C3AC5E5">
              <w:rPr>
                <w:rFonts w:ascii="Calibri" w:eastAsia="Calibri" w:hAnsi="Calibri" w:cs="Calibri"/>
                <w:b/>
                <w:bCs/>
                <w:color w:val="FFFFFF" w:themeColor="background1"/>
                <w:szCs w:val="24"/>
              </w:rPr>
              <w:t>Uzasadnienie</w:t>
            </w:r>
          </w:p>
        </w:tc>
      </w:tr>
      <w:tr w:rsidR="7C3AC5E5" w14:paraId="1B5EAD7F" w14:textId="77777777" w:rsidTr="00552B4C">
        <w:tc>
          <w:tcPr>
            <w:tcW w:w="511" w:type="dxa"/>
            <w:tcBorders>
              <w:top w:val="single" w:sz="8" w:space="0" w:color="549E39" w:themeColor="accent1"/>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162C3EBF" w14:textId="5ED3785B" w:rsidR="7C3AC5E5" w:rsidRDefault="7C3AC5E5" w:rsidP="7C3AC5E5">
            <w:r w:rsidRPr="7C3AC5E5">
              <w:rPr>
                <w:rFonts w:ascii="Calibri" w:eastAsia="Calibri" w:hAnsi="Calibri" w:cs="Calibri"/>
                <w:color w:val="000000" w:themeColor="text1"/>
                <w:szCs w:val="24"/>
              </w:rPr>
              <w:t>1</w:t>
            </w:r>
          </w:p>
        </w:tc>
        <w:tc>
          <w:tcPr>
            <w:tcW w:w="5126" w:type="dxa"/>
            <w:tcBorders>
              <w:top w:val="single" w:sz="8" w:space="0" w:color="549E39" w:themeColor="accent1"/>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37964424" w14:textId="24BACD3F" w:rsidR="7C3AC5E5" w:rsidRDefault="7C3AC5E5" w:rsidP="7C3AC5E5">
            <w:r w:rsidRPr="7C3AC5E5">
              <w:rPr>
                <w:rFonts w:ascii="Calibri" w:eastAsia="Calibri" w:hAnsi="Calibri" w:cs="Calibri"/>
                <w:color w:val="000000" w:themeColor="text1"/>
                <w:szCs w:val="24"/>
              </w:rPr>
              <w:t xml:space="preserve">Rekomenduje się preferowanie w ramach Programu FEPZ 2021-2027 projektów dla których wykazana zostanie komplementarność z innymi dokumentami strategicznymi oraz operacyjnymi zarówno szczebla krajowego jak i regionalnego. Głównie w kwestiach związanych ze środowiskiem, rozwojem regionalnym, rozwojem infrastruktury komunikacyjnej i transportowej oraz energetyki. </w:t>
            </w:r>
          </w:p>
        </w:tc>
        <w:tc>
          <w:tcPr>
            <w:tcW w:w="3423" w:type="dxa"/>
            <w:tcBorders>
              <w:top w:val="single" w:sz="8" w:space="0" w:color="549E39" w:themeColor="accent1"/>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25B36E12" w14:textId="676F2D02" w:rsidR="7C3AC5E5" w:rsidRDefault="7C3AC5E5" w:rsidP="7C3AC5E5">
            <w:r w:rsidRPr="7C3AC5E5">
              <w:rPr>
                <w:rFonts w:ascii="Calibri" w:eastAsia="Calibri" w:hAnsi="Calibri" w:cs="Calibri"/>
                <w:color w:val="000000" w:themeColor="text1"/>
                <w:szCs w:val="24"/>
              </w:rPr>
              <w:t>Wybór najlepszych projektów bez konieczności realizacji prac przygotowawczych przez zainteresowane podmioty, przyspieszenie cyklu oceny i podpisania umów realizacyjnych. Minimalizacja ryzyka realizacji projektów o znaczącym ryzyku środowiskowym oraz ograniczenie potencjalnych oddziaływań skumulowanych.</w:t>
            </w:r>
          </w:p>
        </w:tc>
      </w:tr>
      <w:tr w:rsidR="7C3AC5E5" w14:paraId="66D61013" w14:textId="77777777" w:rsidTr="00552B4C">
        <w:tc>
          <w:tcPr>
            <w:tcW w:w="511"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1A221973" w14:textId="7B23B5F5" w:rsidR="7C3AC5E5" w:rsidRDefault="7C3AC5E5" w:rsidP="7C3AC5E5">
            <w:r w:rsidRPr="7C3AC5E5">
              <w:rPr>
                <w:rFonts w:ascii="Calibri" w:eastAsia="Calibri" w:hAnsi="Calibri" w:cs="Calibri"/>
                <w:szCs w:val="24"/>
              </w:rPr>
              <w:t>2</w:t>
            </w:r>
          </w:p>
        </w:tc>
        <w:tc>
          <w:tcPr>
            <w:tcW w:w="51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52809FCE" w14:textId="37861DAD" w:rsidR="7C3AC5E5" w:rsidRDefault="7C3AC5E5" w:rsidP="7C3AC5E5">
            <w:r w:rsidRPr="7C3AC5E5">
              <w:rPr>
                <w:rFonts w:ascii="Calibri" w:eastAsia="Calibri" w:hAnsi="Calibri" w:cs="Calibri"/>
                <w:szCs w:val="24"/>
              </w:rPr>
              <w:t>W aspekcie potencjalnego oddziaływania na środowisko planowanych do realizacji projektów (w szczególności projektów o charakterze inwestycyjnym) rekomenduje się aby w proces ich preselekcji i selekcji zaangażowani zostali specjaliści, eksperci z dziedzin związanych ze środowiskowym, przestrzennym i kulturowym wymiarem zielonej gospodarki i zrównoważonego rozwoju.</w:t>
            </w:r>
          </w:p>
        </w:tc>
        <w:tc>
          <w:tcPr>
            <w:tcW w:w="3423"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26382090" w14:textId="1A674011" w:rsidR="7C3AC5E5" w:rsidRDefault="7C3AC5E5" w:rsidP="7C3AC5E5">
            <w:r w:rsidRPr="7C3AC5E5">
              <w:rPr>
                <w:rFonts w:ascii="Calibri" w:eastAsia="Calibri" w:hAnsi="Calibri" w:cs="Calibri"/>
                <w:szCs w:val="24"/>
              </w:rPr>
              <w:t>Uniknięcie realizacji projektów o znaczącym ryzyku środowiskowym.</w:t>
            </w:r>
          </w:p>
        </w:tc>
      </w:tr>
      <w:tr w:rsidR="7C3AC5E5" w14:paraId="0718A9F6" w14:textId="77777777" w:rsidTr="00552B4C">
        <w:tc>
          <w:tcPr>
            <w:tcW w:w="511"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02703C02" w14:textId="56C49764" w:rsidR="7C3AC5E5" w:rsidRDefault="7C3AC5E5" w:rsidP="7C3AC5E5">
            <w:r w:rsidRPr="7C3AC5E5">
              <w:rPr>
                <w:rFonts w:ascii="Calibri" w:eastAsia="Calibri" w:hAnsi="Calibri" w:cs="Calibri"/>
                <w:color w:val="000000" w:themeColor="text1"/>
                <w:szCs w:val="24"/>
              </w:rPr>
              <w:t>3</w:t>
            </w:r>
          </w:p>
        </w:tc>
        <w:tc>
          <w:tcPr>
            <w:tcW w:w="51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5C20E681" w14:textId="68DE83DE" w:rsidR="7C3AC5E5" w:rsidRDefault="7C3AC5E5" w:rsidP="7C3AC5E5">
            <w:r w:rsidRPr="7C3AC5E5">
              <w:rPr>
                <w:rFonts w:ascii="Calibri" w:eastAsia="Calibri" w:hAnsi="Calibri" w:cs="Calibri"/>
                <w:color w:val="000000" w:themeColor="text1"/>
                <w:szCs w:val="24"/>
              </w:rPr>
              <w:t>Rekomenduje się uwzględnienie zachowania zasady DNSH w warunkach konkursowych projektów oraz przyjęcie jej jako kryterium dla tworzonych pozakonkursowych list podmiotów i beneficjentów.</w:t>
            </w:r>
          </w:p>
        </w:tc>
        <w:tc>
          <w:tcPr>
            <w:tcW w:w="3423"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20CA3D0E" w14:textId="46A6406B" w:rsidR="7C3AC5E5" w:rsidRDefault="7C3AC5E5" w:rsidP="7C3AC5E5">
            <w:r w:rsidRPr="7C3AC5E5">
              <w:rPr>
                <w:rFonts w:ascii="Calibri" w:eastAsia="Calibri" w:hAnsi="Calibri" w:cs="Calibri"/>
                <w:color w:val="000000" w:themeColor="text1"/>
                <w:szCs w:val="24"/>
              </w:rPr>
              <w:t>Uniknięcie realizacji projektów o znaczącym ryzyku środowiskowym.</w:t>
            </w:r>
          </w:p>
        </w:tc>
      </w:tr>
      <w:tr w:rsidR="7C3AC5E5" w14:paraId="2805C394" w14:textId="77777777" w:rsidTr="00552B4C">
        <w:tc>
          <w:tcPr>
            <w:tcW w:w="511"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23185ADA" w14:textId="50D6601C" w:rsidR="7C3AC5E5" w:rsidRDefault="7C3AC5E5" w:rsidP="7C3AC5E5">
            <w:r w:rsidRPr="7C3AC5E5">
              <w:rPr>
                <w:rFonts w:ascii="Calibri" w:eastAsia="Calibri" w:hAnsi="Calibri" w:cs="Calibri"/>
                <w:szCs w:val="24"/>
              </w:rPr>
              <w:t>4</w:t>
            </w:r>
          </w:p>
        </w:tc>
        <w:tc>
          <w:tcPr>
            <w:tcW w:w="51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424DBAE8" w14:textId="159EFA7A" w:rsidR="7C3AC5E5" w:rsidRDefault="7C3AC5E5" w:rsidP="002B5007">
            <w:r w:rsidRPr="7C3AC5E5">
              <w:rPr>
                <w:rFonts w:ascii="Calibri" w:eastAsia="Calibri" w:hAnsi="Calibri" w:cs="Calibri"/>
                <w:szCs w:val="24"/>
              </w:rPr>
              <w:t>Rekomenduje się przeprowadzenie oceny oddziaływania na środowisko - w odniesieniu do projektów co do których istnieje podejrzenie, że zawarte w nich przedsięwzięcia mogą znacząco oddziaływać na środowisko (przede wszystkim inwestycji związanych z budową/rozbudową/przebudową/modernizacją infrastruktury technicznej, infrastruktury B+R, infrastruktury liniowej itp.). W ramach przeprowadzonej oceny konieczne jest skonfrontowanie inwestycji planowanych w ramach projektu Programu FEPZ 2021-2027</w:t>
            </w:r>
            <w:r w:rsidRPr="7C3AC5E5">
              <w:rPr>
                <w:rFonts w:ascii="Calibri" w:eastAsia="Calibri" w:hAnsi="Calibri" w:cs="Calibri"/>
                <w:i/>
                <w:iCs/>
                <w:szCs w:val="24"/>
              </w:rPr>
              <w:t xml:space="preserve"> </w:t>
            </w:r>
            <w:r w:rsidRPr="7C3AC5E5">
              <w:rPr>
                <w:rFonts w:ascii="Calibri" w:eastAsia="Calibri" w:hAnsi="Calibri" w:cs="Calibri"/>
                <w:szCs w:val="24"/>
              </w:rPr>
              <w:t>z</w:t>
            </w:r>
            <w:r w:rsidRPr="7C3AC5E5">
              <w:rPr>
                <w:rFonts w:ascii="Calibri" w:eastAsia="Calibri" w:hAnsi="Calibri" w:cs="Calibri"/>
                <w:i/>
                <w:iCs/>
                <w:szCs w:val="24"/>
              </w:rPr>
              <w:t xml:space="preserve"> </w:t>
            </w:r>
            <w:r w:rsidRPr="7C3AC5E5">
              <w:rPr>
                <w:rFonts w:ascii="Calibri" w:eastAsia="Calibri" w:hAnsi="Calibri" w:cs="Calibri"/>
                <w:szCs w:val="24"/>
              </w:rPr>
              <w:t xml:space="preserve">inwestycjami planowanymi do realizacji w ramach innych projektów i zaradczych m.in. w sytuacji wystąpienia potencjalnych oddziaływań skumulowanych w efekcie realizacji spójnych do miejsca lub wzajemnie uzupełniających się inwestycji. </w:t>
            </w:r>
          </w:p>
        </w:tc>
        <w:tc>
          <w:tcPr>
            <w:tcW w:w="3423"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1768DEE1" w14:textId="15B202E0" w:rsidR="7C3AC5E5" w:rsidRDefault="7C3AC5E5" w:rsidP="7C3AC5E5">
            <w:r w:rsidRPr="7C3AC5E5">
              <w:rPr>
                <w:rFonts w:ascii="Calibri" w:eastAsia="Calibri" w:hAnsi="Calibri" w:cs="Calibri"/>
                <w:szCs w:val="24"/>
              </w:rPr>
              <w:t>Minimalizacja negatywnych oddziaływań na środowisko. Identyfikacja potencjalnych oddziaływań skumulowanych na środowisko.</w:t>
            </w:r>
          </w:p>
        </w:tc>
      </w:tr>
      <w:tr w:rsidR="7C3AC5E5" w14:paraId="4D353DC4" w14:textId="77777777" w:rsidTr="00552B4C">
        <w:tc>
          <w:tcPr>
            <w:tcW w:w="511"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317F3778" w14:textId="36D6B35B" w:rsidR="7C3AC5E5" w:rsidRDefault="7C3AC5E5" w:rsidP="7C3AC5E5">
            <w:r w:rsidRPr="7C3AC5E5">
              <w:rPr>
                <w:rFonts w:ascii="Calibri" w:eastAsia="Calibri" w:hAnsi="Calibri" w:cs="Calibri"/>
                <w:color w:val="000000" w:themeColor="text1"/>
                <w:szCs w:val="24"/>
              </w:rPr>
              <w:t>5</w:t>
            </w:r>
          </w:p>
        </w:tc>
        <w:tc>
          <w:tcPr>
            <w:tcW w:w="51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05DC26BF" w14:textId="76ACA796" w:rsidR="7C3AC5E5" w:rsidRDefault="7C3AC5E5" w:rsidP="7C3AC5E5">
            <w:r w:rsidRPr="7C3AC5E5">
              <w:rPr>
                <w:rFonts w:ascii="Calibri" w:eastAsia="Calibri" w:hAnsi="Calibri" w:cs="Calibri"/>
                <w:color w:val="000000" w:themeColor="text1"/>
                <w:szCs w:val="24"/>
              </w:rPr>
              <w:t xml:space="preserve">Rekomenduje się przeprowadzenie oceny zgodności co do lokalizacji i skali planowanych przedsięwzięć w obszarze: (1) rozbudowy zaplecza B+R jednostek naukowych, szkół wyższych oraz przedsiębiorstw, (2) rozbudowy infrastruktury technicznej, (3) komunikacyjnej oraz (4) infrastruktury zwiększającej odporność miast na zmiany klimatu z Miejscowymi planami zagospodarowania przestrzennego oraz wojewódzkim Planem Zagospodarowania Przestrzennego. Powyższe kwestie są szczególne istotne w aspekcie wdrażania rozwiązań indywidualnych i systemowych w obszarze OZE, oraz zapobiegania lokalizacji zabudowy służącej ochronie przeciwpowodziowej na terenach zalewowych. </w:t>
            </w:r>
          </w:p>
        </w:tc>
        <w:tc>
          <w:tcPr>
            <w:tcW w:w="3423"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358DBDAB" w14:textId="77CE5C7D" w:rsidR="7C3AC5E5" w:rsidRDefault="7C3AC5E5" w:rsidP="7C3AC5E5">
            <w:r w:rsidRPr="7C3AC5E5">
              <w:rPr>
                <w:rFonts w:ascii="Calibri" w:eastAsia="Calibri" w:hAnsi="Calibri" w:cs="Calibri"/>
                <w:color w:val="000000" w:themeColor="text1"/>
                <w:szCs w:val="24"/>
              </w:rPr>
              <w:t>Unikanie realizacji projektów o znaczącym ryzyku środowiskowym.</w:t>
            </w:r>
          </w:p>
        </w:tc>
      </w:tr>
      <w:tr w:rsidR="7C3AC5E5" w14:paraId="1050B6EB" w14:textId="77777777" w:rsidTr="00552B4C">
        <w:tc>
          <w:tcPr>
            <w:tcW w:w="511"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289308D4" w14:textId="1DA0BDD1" w:rsidR="7C3AC5E5" w:rsidRDefault="7C3AC5E5" w:rsidP="7C3AC5E5">
            <w:r w:rsidRPr="7C3AC5E5">
              <w:rPr>
                <w:rFonts w:ascii="Calibri" w:eastAsia="Calibri" w:hAnsi="Calibri" w:cs="Calibri"/>
                <w:szCs w:val="24"/>
              </w:rPr>
              <w:t>6</w:t>
            </w:r>
          </w:p>
        </w:tc>
        <w:tc>
          <w:tcPr>
            <w:tcW w:w="51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56B982E1" w14:textId="79D8E411" w:rsidR="7C3AC5E5" w:rsidRDefault="7C3AC5E5" w:rsidP="7C3AC5E5">
            <w:r w:rsidRPr="7C3AC5E5">
              <w:rPr>
                <w:rFonts w:ascii="Calibri" w:eastAsia="Calibri" w:hAnsi="Calibri" w:cs="Calibri"/>
                <w:szCs w:val="24"/>
              </w:rPr>
              <w:t xml:space="preserve">Rekomenduje się każdorazowo rozpatrzenie wariantów alternatywnych dla przedsięwzięć inwestycyjnych związanych m.in. z budową, rozbudową lub modernizacją infrastruktury technicznej i komunikacyjnej. Zaleca się aby warianty alternatywne obejmowały tzw. wariant „zero”, jak również uwzględniały czynniki lokalizacyjne oraz organizacyjno-techniczne związane z realizacją inwestycji. </w:t>
            </w:r>
          </w:p>
        </w:tc>
        <w:tc>
          <w:tcPr>
            <w:tcW w:w="3423"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6E44A69F" w14:textId="688ED1E7" w:rsidR="7C3AC5E5" w:rsidRDefault="7C3AC5E5" w:rsidP="7C3AC5E5">
            <w:r w:rsidRPr="7C3AC5E5">
              <w:rPr>
                <w:rFonts w:ascii="Calibri" w:eastAsia="Calibri" w:hAnsi="Calibri" w:cs="Calibri"/>
                <w:szCs w:val="24"/>
              </w:rPr>
              <w:t>Ograniczenie potencjalnych negatywnych skutków środowiskowych przy jednoczesnym zapewnieniu osiągnięcia wskaźników rezultatu przedsięwzięcia.</w:t>
            </w:r>
          </w:p>
        </w:tc>
      </w:tr>
      <w:tr w:rsidR="7C3AC5E5" w14:paraId="7D0A4F40" w14:textId="77777777" w:rsidTr="00552B4C">
        <w:tc>
          <w:tcPr>
            <w:tcW w:w="511"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7033381F" w14:textId="48F9BEB0" w:rsidR="7C3AC5E5" w:rsidRDefault="7C3AC5E5" w:rsidP="7C3AC5E5">
            <w:r w:rsidRPr="7C3AC5E5">
              <w:rPr>
                <w:rFonts w:ascii="Calibri" w:eastAsia="Calibri" w:hAnsi="Calibri" w:cs="Calibri"/>
                <w:color w:val="000000" w:themeColor="text1"/>
                <w:szCs w:val="24"/>
              </w:rPr>
              <w:t>7</w:t>
            </w:r>
          </w:p>
        </w:tc>
        <w:tc>
          <w:tcPr>
            <w:tcW w:w="51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183905C2" w14:textId="59908F0C" w:rsidR="7C3AC5E5" w:rsidRDefault="7C3AC5E5" w:rsidP="7C3AC5E5">
            <w:r w:rsidRPr="7C3AC5E5">
              <w:rPr>
                <w:rFonts w:ascii="Calibri" w:eastAsia="Calibri" w:hAnsi="Calibri" w:cs="Calibri"/>
                <w:color w:val="000000" w:themeColor="text1"/>
                <w:szCs w:val="24"/>
              </w:rPr>
              <w:t>Rekomenduje się aby w kwestii inwestycji (1) sprzyjających adaptacji do zmian klimatu, (2) zapobiegających ryzyku związanemu z klęskami żywiołowymi i katastrofami, a także (3) zwiększającymi odporność na w/w zjawiska, postępować w myśl zasadzie, zgodnie z którą, w przypadku realizacji działań o charakterze wielkopowierzchniowym jako potencjalne obszary inwestycyjne w pierwszej kolejności wykorzystać tereny zdegradowane lub wymagające rewitalizacji, a także nieużytki charakteryzujące się niskimi walorami społeczno-środowiskowymi.</w:t>
            </w:r>
          </w:p>
        </w:tc>
        <w:tc>
          <w:tcPr>
            <w:tcW w:w="3423"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20C5161D" w14:textId="017C71F8" w:rsidR="7C3AC5E5" w:rsidRDefault="7C3AC5E5" w:rsidP="7C3AC5E5">
            <w:r w:rsidRPr="7C3AC5E5">
              <w:rPr>
                <w:rFonts w:ascii="Calibri" w:eastAsia="Calibri" w:hAnsi="Calibri" w:cs="Calibri"/>
                <w:color w:val="000000" w:themeColor="text1"/>
                <w:szCs w:val="24"/>
              </w:rPr>
              <w:t>Optymalizacja efektów środowiskowych.</w:t>
            </w:r>
          </w:p>
        </w:tc>
      </w:tr>
      <w:tr w:rsidR="7C3AC5E5" w14:paraId="655FB010" w14:textId="77777777" w:rsidTr="00552B4C">
        <w:tc>
          <w:tcPr>
            <w:tcW w:w="511"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62FAF346" w14:textId="7F08C8E4" w:rsidR="7C3AC5E5" w:rsidRDefault="7C3AC5E5" w:rsidP="7C3AC5E5">
            <w:r w:rsidRPr="7C3AC5E5">
              <w:rPr>
                <w:rFonts w:ascii="Calibri" w:eastAsia="Calibri" w:hAnsi="Calibri" w:cs="Calibri"/>
                <w:szCs w:val="24"/>
              </w:rPr>
              <w:t>8</w:t>
            </w:r>
          </w:p>
        </w:tc>
        <w:tc>
          <w:tcPr>
            <w:tcW w:w="51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339D97B0" w14:textId="1E70ECF9" w:rsidR="7C3AC5E5" w:rsidRDefault="7C3AC5E5" w:rsidP="7C3AC5E5">
            <w:r w:rsidRPr="7C3AC5E5">
              <w:rPr>
                <w:rFonts w:ascii="Calibri" w:eastAsia="Calibri" w:hAnsi="Calibri" w:cs="Calibri"/>
                <w:szCs w:val="24"/>
              </w:rPr>
              <w:t>W odniesieniu do działań związanych z ochroną przeciwpowodziową rekomenduje się zwiększenie udziału metod nietechnicznych (renaturyzacja wybranych odcinków rzek, zwiększenie retencji naturalnej, działania w obszarze mikroretencji, itd.).</w:t>
            </w:r>
          </w:p>
        </w:tc>
        <w:tc>
          <w:tcPr>
            <w:tcW w:w="3423"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0426F611" w14:textId="0AC314B3" w:rsidR="7C3AC5E5" w:rsidRDefault="7C3AC5E5" w:rsidP="7C3AC5E5">
            <w:r w:rsidRPr="7C3AC5E5">
              <w:rPr>
                <w:rFonts w:ascii="Calibri" w:eastAsia="Calibri" w:hAnsi="Calibri" w:cs="Calibri"/>
                <w:szCs w:val="24"/>
              </w:rPr>
              <w:t>Optymalizacja wykorzystania zasobów środowiskowych.</w:t>
            </w:r>
          </w:p>
        </w:tc>
      </w:tr>
      <w:tr w:rsidR="7C3AC5E5" w14:paraId="2FDAE86F" w14:textId="77777777" w:rsidTr="00552B4C">
        <w:tc>
          <w:tcPr>
            <w:tcW w:w="511"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732810A1" w14:textId="3F2AD24C" w:rsidR="7C3AC5E5" w:rsidRDefault="7C3AC5E5" w:rsidP="7C3AC5E5">
            <w:r w:rsidRPr="7C3AC5E5">
              <w:rPr>
                <w:rFonts w:ascii="Calibri" w:eastAsia="Calibri" w:hAnsi="Calibri" w:cs="Calibri"/>
                <w:color w:val="000000" w:themeColor="text1"/>
                <w:szCs w:val="24"/>
              </w:rPr>
              <w:t>9</w:t>
            </w:r>
          </w:p>
        </w:tc>
        <w:tc>
          <w:tcPr>
            <w:tcW w:w="51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06F82494" w14:textId="00B3B564" w:rsidR="7C3AC5E5" w:rsidRDefault="7C3AC5E5" w:rsidP="7C3AC5E5">
            <w:r w:rsidRPr="7C3AC5E5">
              <w:rPr>
                <w:rFonts w:ascii="Calibri" w:eastAsia="Calibri" w:hAnsi="Calibri" w:cs="Calibri"/>
                <w:color w:val="000000" w:themeColor="text1"/>
                <w:szCs w:val="24"/>
              </w:rPr>
              <w:t>Rekomenduje się promowanie projektów proekologicznych. W odniesieniu do projektów o charakterze inwestycyjnym, zaleca się, stosowane na etapie ich realizacji metody oraz rozwiązania technologiczne, które będą bazowały na najlepszych dostępnych technikach (</w:t>
            </w:r>
            <w:r w:rsidRPr="7C3AC5E5">
              <w:rPr>
                <w:rFonts w:ascii="Calibri" w:eastAsia="Calibri" w:hAnsi="Calibri" w:cs="Calibri"/>
                <w:i/>
                <w:iCs/>
                <w:color w:val="000000" w:themeColor="text1"/>
                <w:szCs w:val="24"/>
              </w:rPr>
              <w:t>ang. Best Available Techniques</w:t>
            </w:r>
            <w:r w:rsidRPr="7C3AC5E5">
              <w:rPr>
                <w:rFonts w:ascii="Calibri" w:eastAsia="Calibri" w:hAnsi="Calibri" w:cs="Calibri"/>
                <w:color w:val="000000" w:themeColor="text1"/>
                <w:szCs w:val="24"/>
              </w:rPr>
              <w:t>), jak również innowacyjnych rozwiązaniach stanowiących rezultaty współpracy pomiędzy sferą nauki i gospodarki.</w:t>
            </w:r>
          </w:p>
        </w:tc>
        <w:tc>
          <w:tcPr>
            <w:tcW w:w="3423"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480D8596" w14:textId="44D4045F" w:rsidR="7C3AC5E5" w:rsidRDefault="7C3AC5E5" w:rsidP="7C3AC5E5">
            <w:r w:rsidRPr="7C3AC5E5">
              <w:rPr>
                <w:rFonts w:ascii="Calibri" w:eastAsia="Calibri" w:hAnsi="Calibri" w:cs="Calibri"/>
                <w:color w:val="000000" w:themeColor="text1"/>
                <w:szCs w:val="24"/>
              </w:rPr>
              <w:t>Minimalizacja negatywnych skutków oddziaływania przedsięwzięć na środowisko w efekcie stosowania rozwiązań sprzyjających ograniczaniu emisji zanieczyszczeń.</w:t>
            </w:r>
          </w:p>
        </w:tc>
      </w:tr>
      <w:tr w:rsidR="7C3AC5E5" w14:paraId="1EED09A9" w14:textId="77777777" w:rsidTr="00552B4C">
        <w:tc>
          <w:tcPr>
            <w:tcW w:w="511"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18BA3B9E" w14:textId="61BBC941" w:rsidR="7C3AC5E5" w:rsidRDefault="7C3AC5E5" w:rsidP="7C3AC5E5">
            <w:r w:rsidRPr="7C3AC5E5">
              <w:rPr>
                <w:rFonts w:ascii="Calibri" w:eastAsia="Calibri" w:hAnsi="Calibri" w:cs="Calibri"/>
                <w:szCs w:val="24"/>
              </w:rPr>
              <w:t>10</w:t>
            </w:r>
          </w:p>
        </w:tc>
        <w:tc>
          <w:tcPr>
            <w:tcW w:w="51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1AA4EAD9" w14:textId="67589632" w:rsidR="7C3AC5E5" w:rsidRDefault="7C3AC5E5" w:rsidP="7C3AC5E5">
            <w:r w:rsidRPr="7C3AC5E5">
              <w:rPr>
                <w:rFonts w:ascii="Calibri" w:eastAsia="Calibri" w:hAnsi="Calibri" w:cs="Calibri"/>
                <w:szCs w:val="24"/>
              </w:rPr>
              <w:t>Rekomenduje się uwzględnienie partycypacji społecznej mieszkańców regionu na wszystkich etapach realizacji zamierzonych przedsięwzięć związanych z budową, rozbudową lub modernizacją infrastruktury oraz działaniami ulokowanymi w obrębie terenów o walorach kulturowo-rekreacyjnych (turystycznych), które z uwagi na lokalizację, skalę lub charakter planowanego przedsięwzięcia mogą uchodzić za kontrowersyjne.</w:t>
            </w:r>
          </w:p>
        </w:tc>
        <w:tc>
          <w:tcPr>
            <w:tcW w:w="3423"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1F83B4A7" w14:textId="352F5CA1" w:rsidR="7C3AC5E5" w:rsidRDefault="7C3AC5E5" w:rsidP="7C3AC5E5">
            <w:r w:rsidRPr="7C3AC5E5">
              <w:rPr>
                <w:rFonts w:ascii="Calibri" w:eastAsia="Calibri" w:hAnsi="Calibri" w:cs="Calibri"/>
                <w:szCs w:val="24"/>
              </w:rPr>
              <w:t>Partycypacja społeczeństwa oraz podnoszenie świadomości ekologicznej mieszkańców regionu stanowią istotny element wszelkich działań i przedsięwzięć realizowanych w ramach Programu FEPZ 2021-2027, minimalizujący ryzyko wystąpienia konfliktów społecznych na poszczególnych etapach realizacji inwestycji.</w:t>
            </w:r>
          </w:p>
        </w:tc>
      </w:tr>
      <w:tr w:rsidR="7C3AC5E5" w14:paraId="3E2CC11E" w14:textId="77777777" w:rsidTr="00552B4C">
        <w:tc>
          <w:tcPr>
            <w:tcW w:w="511"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19597316" w14:textId="1A1ED294" w:rsidR="7C3AC5E5" w:rsidRDefault="7C3AC5E5" w:rsidP="7C3AC5E5">
            <w:r w:rsidRPr="7C3AC5E5">
              <w:rPr>
                <w:rFonts w:ascii="Calibri" w:eastAsia="Calibri" w:hAnsi="Calibri" w:cs="Calibri"/>
                <w:color w:val="000000" w:themeColor="text1"/>
                <w:szCs w:val="24"/>
              </w:rPr>
              <w:t>11</w:t>
            </w:r>
          </w:p>
        </w:tc>
        <w:tc>
          <w:tcPr>
            <w:tcW w:w="51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7C4C51D3" w14:textId="323BA1D5" w:rsidR="7C3AC5E5" w:rsidRDefault="7C3AC5E5" w:rsidP="7C3AC5E5">
            <w:r w:rsidRPr="7C3AC5E5">
              <w:rPr>
                <w:rFonts w:ascii="Calibri" w:eastAsia="Calibri" w:hAnsi="Calibri" w:cs="Calibri"/>
                <w:color w:val="000000" w:themeColor="text1"/>
                <w:szCs w:val="24"/>
              </w:rPr>
              <w:t xml:space="preserve">Podnoszenie świadomości ekologicznej mieszkańców stanowi kluczowy element w procesie angażowania społeczności lokalnych i regionalnych w działania o charakterze prośrodowiskowym. Rekomenduje się zwrócenie szczególnej uwagi na kwestie podnoszenia świadomości ekologicznej najmłodszych grup społecznych, zarówno na etapie planowania jak i realizacji działań z obszaru edukacji ekologicznej. Przekazywanie wiedzy na temat ekologii oraz uświadamianie dzieci i młodzieży o wpływie naszych działań na środowisko, nie tylko uczy ich wrażliwości ale również odpowiedzialności za wspólne dobro jakim jest środowisko naturalne. </w:t>
            </w:r>
          </w:p>
        </w:tc>
        <w:tc>
          <w:tcPr>
            <w:tcW w:w="3423"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2EAE79D2" w14:textId="400C9EAB" w:rsidR="7C3AC5E5" w:rsidRDefault="7C3AC5E5" w:rsidP="7C3AC5E5">
            <w:r w:rsidRPr="7C3AC5E5">
              <w:rPr>
                <w:rFonts w:ascii="Calibri" w:eastAsia="Calibri" w:hAnsi="Calibri" w:cs="Calibri"/>
                <w:color w:val="000000" w:themeColor="text1"/>
                <w:szCs w:val="24"/>
              </w:rPr>
              <w:t xml:space="preserve">Partycypacja społeczeństwa oraz podnoszenie świadomości ekologicznej mieszkańców regionu stanowią istotny element wszelkich działań i przedsięwzięć realizowanych w ramach Programu FEPZ 2021-2027. Działania z zakresu edukacji ekologicznej skierowane do dzieci i młodzieży sprzyjały będą kreowaniu proekologicznych postaw wśród przedstawicieli najmłodszego pokolenia. </w:t>
            </w:r>
          </w:p>
        </w:tc>
      </w:tr>
      <w:tr w:rsidR="7C3AC5E5" w14:paraId="00435A42" w14:textId="77777777" w:rsidTr="00552B4C">
        <w:tc>
          <w:tcPr>
            <w:tcW w:w="511"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7EC95C7B" w14:textId="40946747" w:rsidR="7C3AC5E5" w:rsidRDefault="7C3AC5E5" w:rsidP="7C3AC5E5">
            <w:r w:rsidRPr="7C3AC5E5">
              <w:rPr>
                <w:rFonts w:ascii="Calibri" w:eastAsia="Calibri" w:hAnsi="Calibri" w:cs="Calibri"/>
                <w:szCs w:val="24"/>
              </w:rPr>
              <w:t>12</w:t>
            </w:r>
          </w:p>
        </w:tc>
        <w:tc>
          <w:tcPr>
            <w:tcW w:w="51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5FA647C1" w14:textId="566FE1A8" w:rsidR="7C3AC5E5" w:rsidRDefault="7C3AC5E5" w:rsidP="7C3AC5E5">
            <w:r w:rsidRPr="7C3AC5E5">
              <w:rPr>
                <w:rFonts w:ascii="Calibri" w:eastAsia="Calibri" w:hAnsi="Calibri" w:cs="Calibri"/>
                <w:szCs w:val="24"/>
              </w:rPr>
              <w:t>Rekomenduje się wdrożenie systemu monitoringu realizacji celów szczegółowych wykazanych w ramach poszczególnych priorytetów projektu Programu FEPZ 2021-2027, którego podstawę stanowić będą m.in. bieżące badania ankietowe, badania jakościowe i analizy użyteczności, cytowalności i zasięgów, umożliwiające identyfikację stopnia zmian będących efektem zrealizowanych przedsięwzięć na środowisko przyrodnicze, jak i otoczenie społeczno-gospodarcze.</w:t>
            </w:r>
          </w:p>
        </w:tc>
        <w:tc>
          <w:tcPr>
            <w:tcW w:w="3423"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tcPr>
          <w:p w14:paraId="6BE0E81D" w14:textId="66F1A231" w:rsidR="7C3AC5E5" w:rsidRDefault="004D68B3" w:rsidP="002B5007">
            <w:r>
              <w:rPr>
                <w:rFonts w:ascii="Calibri" w:eastAsia="Calibri" w:hAnsi="Calibri" w:cs="Calibri"/>
                <w:szCs w:val="24"/>
              </w:rPr>
              <w:t>O</w:t>
            </w:r>
            <w:r w:rsidR="7C3AC5E5" w:rsidRPr="7C3AC5E5">
              <w:rPr>
                <w:rFonts w:ascii="Calibri" w:eastAsia="Calibri" w:hAnsi="Calibri" w:cs="Calibri"/>
                <w:szCs w:val="24"/>
              </w:rPr>
              <w:t>cen</w:t>
            </w:r>
            <w:r>
              <w:rPr>
                <w:rFonts w:ascii="Calibri" w:eastAsia="Calibri" w:hAnsi="Calibri" w:cs="Calibri"/>
                <w:szCs w:val="24"/>
              </w:rPr>
              <w:t>a</w:t>
            </w:r>
            <w:r w:rsidR="7C3AC5E5" w:rsidRPr="7C3AC5E5">
              <w:rPr>
                <w:rFonts w:ascii="Calibri" w:eastAsia="Calibri" w:hAnsi="Calibri" w:cs="Calibri"/>
                <w:szCs w:val="24"/>
              </w:rPr>
              <w:t xml:space="preserve"> osiągniętych efektów </w:t>
            </w:r>
            <w:r>
              <w:rPr>
                <w:rFonts w:ascii="Calibri" w:eastAsia="Calibri" w:hAnsi="Calibri" w:cs="Calibri"/>
                <w:szCs w:val="24"/>
              </w:rPr>
              <w:t xml:space="preserve">realizacji </w:t>
            </w:r>
            <w:r w:rsidR="7C3AC5E5" w:rsidRPr="7C3AC5E5">
              <w:rPr>
                <w:rFonts w:ascii="Calibri" w:eastAsia="Calibri" w:hAnsi="Calibri" w:cs="Calibri"/>
                <w:szCs w:val="24"/>
              </w:rPr>
              <w:t xml:space="preserve">przedsięwzięć, </w:t>
            </w:r>
            <w:r>
              <w:rPr>
                <w:rFonts w:ascii="Calibri" w:eastAsia="Calibri" w:hAnsi="Calibri" w:cs="Calibri"/>
                <w:szCs w:val="24"/>
              </w:rPr>
              <w:t xml:space="preserve">uwzględniająca </w:t>
            </w:r>
            <w:r w:rsidRPr="7C3AC5E5">
              <w:rPr>
                <w:rFonts w:ascii="Calibri" w:eastAsia="Calibri" w:hAnsi="Calibri" w:cs="Calibri"/>
                <w:szCs w:val="24"/>
              </w:rPr>
              <w:t>charakter</w:t>
            </w:r>
            <w:r w:rsidR="7C3AC5E5" w:rsidRPr="7C3AC5E5">
              <w:rPr>
                <w:rFonts w:ascii="Calibri" w:eastAsia="Calibri" w:hAnsi="Calibri" w:cs="Calibri"/>
                <w:szCs w:val="24"/>
              </w:rPr>
              <w:t xml:space="preserve"> podejmowanych inwestycji (społeczne, ekonomiczne, środowiskowe). </w:t>
            </w:r>
            <w:r>
              <w:rPr>
                <w:rFonts w:ascii="Calibri" w:eastAsia="Calibri" w:hAnsi="Calibri" w:cs="Calibri"/>
                <w:szCs w:val="24"/>
              </w:rPr>
              <w:t>Ocena poszerzona i uzupełniająca dla wyników statystycznych umożliwiająca jakościową ocenę skutków interwencji.</w:t>
            </w:r>
          </w:p>
        </w:tc>
      </w:tr>
      <w:tr w:rsidR="7C3AC5E5" w14:paraId="5CA02FC5" w14:textId="77777777" w:rsidTr="00552B4C">
        <w:tc>
          <w:tcPr>
            <w:tcW w:w="511"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7BD115E1" w14:textId="7F7D1349" w:rsidR="7C3AC5E5" w:rsidRDefault="7C3AC5E5" w:rsidP="7C3AC5E5">
            <w:r w:rsidRPr="7C3AC5E5">
              <w:rPr>
                <w:rFonts w:ascii="Calibri" w:eastAsia="Calibri" w:hAnsi="Calibri" w:cs="Calibri"/>
                <w:color w:val="000000" w:themeColor="text1"/>
                <w:szCs w:val="24"/>
              </w:rPr>
              <w:t>13</w:t>
            </w:r>
          </w:p>
        </w:tc>
        <w:tc>
          <w:tcPr>
            <w:tcW w:w="5126"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46C6F595" w14:textId="0C8D7EB3" w:rsidR="7C3AC5E5" w:rsidRDefault="7C3AC5E5" w:rsidP="7C3AC5E5">
            <w:r w:rsidRPr="7C3AC5E5">
              <w:rPr>
                <w:rFonts w:ascii="Calibri" w:eastAsia="Calibri" w:hAnsi="Calibri" w:cs="Calibri"/>
                <w:color w:val="000000" w:themeColor="text1"/>
                <w:szCs w:val="24"/>
              </w:rPr>
              <w:t>Rekomenduje się rozszerzenie zakresu monitorowania projektu Programu FEPZ 2021-2027 opartego na wskaźnikach udostępnionych za pomocą bazy GUS STRATEG o ocenę skutków realizacji w/w Programu w trybie ex-ante, on-going i ex-post dla oceny spójności i efektywności planowanych działań oraz oceny wpływu realizacji projektu Programu FEPZ 2021-2027 na kwestie środowiskowe. Z uwagi, iż w Programie FEPZ 2021-2027 nie określono lokalizacji przedsięwzięć, w tym w szczególności lokalizacji przedsięwzięć z zakresu infrastruktury ochrony środowiska, rekomenduje się, do rozpatrzenia na etapie operacjonalizacji zapisów dokumentu, rozszerzenie zakresu monitorowania Programu FEPZ 2021-2027 o wskaźniki pośrednio opisujące wpływ Programu na kwestie zrównoważonego rozwoju.</w:t>
            </w:r>
          </w:p>
        </w:tc>
        <w:tc>
          <w:tcPr>
            <w:tcW w:w="3423" w:type="dxa"/>
            <w:tcBorders>
              <w:top w:val="single" w:sz="8" w:space="0" w:color="93D07C" w:themeColor="accent1" w:themeTint="99"/>
              <w:left w:val="single" w:sz="8" w:space="0" w:color="93D07C" w:themeColor="accent1" w:themeTint="99"/>
              <w:bottom w:val="single" w:sz="8" w:space="0" w:color="93D07C" w:themeColor="accent1" w:themeTint="99"/>
              <w:right w:val="single" w:sz="8" w:space="0" w:color="93D07C" w:themeColor="accent1" w:themeTint="99"/>
            </w:tcBorders>
            <w:shd w:val="clear" w:color="auto" w:fill="DAEFD3" w:themeFill="accent1" w:themeFillTint="33"/>
          </w:tcPr>
          <w:p w14:paraId="6C4E717B" w14:textId="3654B09A" w:rsidR="7C3AC5E5" w:rsidRDefault="7C3AC5E5" w:rsidP="7C3AC5E5">
            <w:r w:rsidRPr="7C3AC5E5">
              <w:rPr>
                <w:rFonts w:ascii="Calibri" w:eastAsia="Calibri" w:hAnsi="Calibri" w:cs="Calibri"/>
                <w:color w:val="000000" w:themeColor="text1"/>
                <w:szCs w:val="24"/>
              </w:rPr>
              <w:t>Monitorowanie skutków realizacji celów szczegółowych w ramach wskazanych w Programie FEPZ 2021-2027 priorytetów w trybie ex-ante, on-going i ex-post dla oceny spójności i efektywność planowanych działań oraz oceny wpływu projektu Programu FEPZ 2021-2027 na kwestie środowiskowe.</w:t>
            </w:r>
          </w:p>
        </w:tc>
      </w:tr>
    </w:tbl>
    <w:p w14:paraId="33483B6D" w14:textId="59004D50" w:rsidR="7C3AC5E5" w:rsidRDefault="7C3AC5E5" w:rsidP="7C3AC5E5">
      <w:r w:rsidRPr="7C3AC5E5">
        <w:rPr>
          <w:rFonts w:ascii="Calibri" w:eastAsia="Calibri" w:hAnsi="Calibri" w:cs="Calibri"/>
          <w:szCs w:val="24"/>
        </w:rPr>
        <w:t xml:space="preserve">Źródło: Opracowanie własne </w:t>
      </w:r>
    </w:p>
    <w:p w14:paraId="09866547" w14:textId="6C9E6271" w:rsidR="7C3AC5E5" w:rsidRDefault="7C3AC5E5">
      <w:r>
        <w:br/>
      </w:r>
      <w:r>
        <w:br/>
      </w:r>
    </w:p>
    <w:p w14:paraId="74DE024F" w14:textId="79C50C26" w:rsidR="00CC2F5F" w:rsidRPr="0091280D" w:rsidRDefault="005F6F32" w:rsidP="005F6F32">
      <w:pPr>
        <w:rPr>
          <w:caps/>
          <w:spacing w:val="15"/>
          <w:sz w:val="32"/>
          <w:szCs w:val="24"/>
        </w:rPr>
      </w:pPr>
      <w:r w:rsidRPr="0091280D">
        <w:rPr>
          <w:szCs w:val="22"/>
        </w:rPr>
        <w:br w:type="page"/>
      </w:r>
    </w:p>
    <w:p w14:paraId="67BCBD2B" w14:textId="1AE5EF44" w:rsidR="00DF1A94" w:rsidRDefault="00DF1A94" w:rsidP="00CC2F5F">
      <w:pPr>
        <w:pStyle w:val="Nagwek1"/>
        <w:rPr>
          <w:sz w:val="32"/>
          <w:szCs w:val="24"/>
        </w:rPr>
      </w:pPr>
      <w:bookmarkStart w:id="83" w:name="_Toc104790648"/>
      <w:r w:rsidRPr="0091280D">
        <w:rPr>
          <w:sz w:val="32"/>
          <w:szCs w:val="24"/>
        </w:rPr>
        <w:t>SPIS TAB</w:t>
      </w:r>
      <w:r w:rsidR="00E27A91">
        <w:rPr>
          <w:sz w:val="32"/>
          <w:szCs w:val="24"/>
        </w:rPr>
        <w:t>LIC</w:t>
      </w:r>
      <w:bookmarkEnd w:id="83"/>
    </w:p>
    <w:p w14:paraId="2F618336" w14:textId="5EE821E4" w:rsidR="000B5638" w:rsidRDefault="00E27A91">
      <w:pPr>
        <w:pStyle w:val="Spisilustracji"/>
        <w:tabs>
          <w:tab w:val="right" w:leader="dot" w:pos="9062"/>
        </w:tabs>
        <w:rPr>
          <w:noProof/>
          <w:sz w:val="22"/>
          <w:szCs w:val="22"/>
          <w:lang w:eastAsia="pl-PL"/>
        </w:rPr>
      </w:pPr>
      <w:r>
        <w:fldChar w:fldCharType="begin"/>
      </w:r>
      <w:r>
        <w:instrText xml:space="preserve"> TOC \h \z \c "Tablica" </w:instrText>
      </w:r>
      <w:r>
        <w:fldChar w:fldCharType="separate"/>
      </w:r>
      <w:hyperlink w:anchor="_Toc104790666" w:history="1">
        <w:r w:rsidR="000B5638" w:rsidRPr="00871510">
          <w:rPr>
            <w:rStyle w:val="Hipercze"/>
            <w:noProof/>
          </w:rPr>
          <w:t>Tablica 1 Ocena możliwości wystąpienia negatywnych oddziaływań transgranicznych na środowisko</w:t>
        </w:r>
        <w:r w:rsidR="000B5638">
          <w:rPr>
            <w:noProof/>
            <w:webHidden/>
          </w:rPr>
          <w:tab/>
        </w:r>
        <w:r w:rsidR="000B5638">
          <w:rPr>
            <w:noProof/>
            <w:webHidden/>
          </w:rPr>
          <w:fldChar w:fldCharType="begin"/>
        </w:r>
        <w:r w:rsidR="000B5638">
          <w:rPr>
            <w:noProof/>
            <w:webHidden/>
          </w:rPr>
          <w:instrText xml:space="preserve"> PAGEREF _Toc104790666 \h </w:instrText>
        </w:r>
        <w:r w:rsidR="000B5638">
          <w:rPr>
            <w:noProof/>
            <w:webHidden/>
          </w:rPr>
        </w:r>
        <w:r w:rsidR="000B5638">
          <w:rPr>
            <w:noProof/>
            <w:webHidden/>
          </w:rPr>
          <w:fldChar w:fldCharType="separate"/>
        </w:r>
        <w:r w:rsidR="002B5007">
          <w:rPr>
            <w:noProof/>
            <w:webHidden/>
          </w:rPr>
          <w:t>150</w:t>
        </w:r>
        <w:r w:rsidR="000B5638">
          <w:rPr>
            <w:noProof/>
            <w:webHidden/>
          </w:rPr>
          <w:fldChar w:fldCharType="end"/>
        </w:r>
      </w:hyperlink>
    </w:p>
    <w:p w14:paraId="4AF368B0" w14:textId="0A691DD8" w:rsidR="000B5638" w:rsidRDefault="000F4A05">
      <w:pPr>
        <w:pStyle w:val="Spisilustracji"/>
        <w:tabs>
          <w:tab w:val="right" w:leader="dot" w:pos="9062"/>
        </w:tabs>
        <w:rPr>
          <w:noProof/>
          <w:sz w:val="22"/>
          <w:szCs w:val="22"/>
          <w:lang w:eastAsia="pl-PL"/>
        </w:rPr>
      </w:pPr>
      <w:hyperlink w:anchor="_Toc104790667" w:history="1">
        <w:r w:rsidR="000B5638" w:rsidRPr="00871510">
          <w:rPr>
            <w:rStyle w:val="Hipercze"/>
            <w:noProof/>
          </w:rPr>
          <w:t>Tablica 2 Propozycja wskaźników odnoszących się do realizacji celów środowiskowych i klimatycznych UE w ramach FEPZ 2021-2027</w:t>
        </w:r>
        <w:r w:rsidR="000B5638">
          <w:rPr>
            <w:noProof/>
            <w:webHidden/>
          </w:rPr>
          <w:tab/>
        </w:r>
        <w:r w:rsidR="000B5638">
          <w:rPr>
            <w:noProof/>
            <w:webHidden/>
          </w:rPr>
          <w:fldChar w:fldCharType="begin"/>
        </w:r>
        <w:r w:rsidR="000B5638">
          <w:rPr>
            <w:noProof/>
            <w:webHidden/>
          </w:rPr>
          <w:instrText xml:space="preserve"> PAGEREF _Toc104790667 \h </w:instrText>
        </w:r>
        <w:r w:rsidR="000B5638">
          <w:rPr>
            <w:noProof/>
            <w:webHidden/>
          </w:rPr>
        </w:r>
        <w:r w:rsidR="000B5638">
          <w:rPr>
            <w:noProof/>
            <w:webHidden/>
          </w:rPr>
          <w:fldChar w:fldCharType="separate"/>
        </w:r>
        <w:r w:rsidR="002B5007">
          <w:rPr>
            <w:noProof/>
            <w:webHidden/>
          </w:rPr>
          <w:t>176</w:t>
        </w:r>
        <w:r w:rsidR="000B5638">
          <w:rPr>
            <w:noProof/>
            <w:webHidden/>
          </w:rPr>
          <w:fldChar w:fldCharType="end"/>
        </w:r>
      </w:hyperlink>
    </w:p>
    <w:p w14:paraId="7703F902" w14:textId="7DAA9E2A" w:rsidR="000B5638" w:rsidRDefault="000F4A05">
      <w:pPr>
        <w:pStyle w:val="Spisilustracji"/>
        <w:tabs>
          <w:tab w:val="right" w:leader="dot" w:pos="9062"/>
        </w:tabs>
        <w:rPr>
          <w:noProof/>
          <w:sz w:val="22"/>
          <w:szCs w:val="22"/>
          <w:lang w:eastAsia="pl-PL"/>
        </w:rPr>
      </w:pPr>
      <w:hyperlink w:anchor="_Toc104790668" w:history="1">
        <w:r w:rsidR="000B5638" w:rsidRPr="00871510">
          <w:rPr>
            <w:rStyle w:val="Hipercze"/>
            <w:noProof/>
          </w:rPr>
          <w:t>Tablica 3 Wnioski wynikające z realizacji prognozy oddziaływania na środowisko projektu Programu Fundusze Europejskie dla Pomorza Zachodniego 2021-2027 (FEPZ 2021-2027)</w:t>
        </w:r>
        <w:r w:rsidR="000B5638">
          <w:rPr>
            <w:noProof/>
            <w:webHidden/>
          </w:rPr>
          <w:tab/>
        </w:r>
        <w:r w:rsidR="000B5638">
          <w:rPr>
            <w:noProof/>
            <w:webHidden/>
          </w:rPr>
          <w:fldChar w:fldCharType="begin"/>
        </w:r>
        <w:r w:rsidR="000B5638">
          <w:rPr>
            <w:noProof/>
            <w:webHidden/>
          </w:rPr>
          <w:instrText xml:space="preserve"> PAGEREF _Toc104790668 \h </w:instrText>
        </w:r>
        <w:r w:rsidR="000B5638">
          <w:rPr>
            <w:noProof/>
            <w:webHidden/>
          </w:rPr>
        </w:r>
        <w:r w:rsidR="000B5638">
          <w:rPr>
            <w:noProof/>
            <w:webHidden/>
          </w:rPr>
          <w:fldChar w:fldCharType="separate"/>
        </w:r>
        <w:r w:rsidR="002B5007">
          <w:rPr>
            <w:noProof/>
            <w:webHidden/>
          </w:rPr>
          <w:t>178</w:t>
        </w:r>
        <w:r w:rsidR="000B5638">
          <w:rPr>
            <w:noProof/>
            <w:webHidden/>
          </w:rPr>
          <w:fldChar w:fldCharType="end"/>
        </w:r>
      </w:hyperlink>
    </w:p>
    <w:p w14:paraId="6E74B018" w14:textId="1582A207" w:rsidR="000B5638" w:rsidRDefault="000F4A05">
      <w:pPr>
        <w:pStyle w:val="Spisilustracji"/>
        <w:tabs>
          <w:tab w:val="right" w:leader="dot" w:pos="9062"/>
        </w:tabs>
        <w:rPr>
          <w:noProof/>
          <w:sz w:val="22"/>
          <w:szCs w:val="22"/>
          <w:lang w:eastAsia="pl-PL"/>
        </w:rPr>
      </w:pPr>
      <w:hyperlink w:anchor="_Toc104790669" w:history="1">
        <w:r w:rsidR="000B5638" w:rsidRPr="00871510">
          <w:rPr>
            <w:rStyle w:val="Hipercze"/>
            <w:noProof/>
          </w:rPr>
          <w:t>Tablica 4 Rekomendacje dla przedsięwzięć możliwych do realizacji w ramach projektu Programu Fundusze Europejskie dla Pomorza Zachodniego 2021-2027 (FEPZ 2021-2027)</w:t>
        </w:r>
        <w:r w:rsidR="000B5638">
          <w:rPr>
            <w:noProof/>
            <w:webHidden/>
          </w:rPr>
          <w:tab/>
        </w:r>
        <w:r w:rsidR="000B5638">
          <w:rPr>
            <w:noProof/>
            <w:webHidden/>
          </w:rPr>
          <w:fldChar w:fldCharType="begin"/>
        </w:r>
        <w:r w:rsidR="000B5638">
          <w:rPr>
            <w:noProof/>
            <w:webHidden/>
          </w:rPr>
          <w:instrText xml:space="preserve"> PAGEREF _Toc104790669 \h </w:instrText>
        </w:r>
        <w:r w:rsidR="000B5638">
          <w:rPr>
            <w:noProof/>
            <w:webHidden/>
          </w:rPr>
        </w:r>
        <w:r w:rsidR="000B5638">
          <w:rPr>
            <w:noProof/>
            <w:webHidden/>
          </w:rPr>
          <w:fldChar w:fldCharType="separate"/>
        </w:r>
        <w:r w:rsidR="002B5007">
          <w:rPr>
            <w:noProof/>
            <w:webHidden/>
          </w:rPr>
          <w:t>184</w:t>
        </w:r>
        <w:r w:rsidR="000B5638">
          <w:rPr>
            <w:noProof/>
            <w:webHidden/>
          </w:rPr>
          <w:fldChar w:fldCharType="end"/>
        </w:r>
      </w:hyperlink>
    </w:p>
    <w:p w14:paraId="0218B922" w14:textId="77777777" w:rsidR="00E27A91" w:rsidRPr="00E27A91" w:rsidRDefault="00E27A91" w:rsidP="00E27A91">
      <w:r>
        <w:fldChar w:fldCharType="end"/>
      </w:r>
    </w:p>
    <w:p w14:paraId="1E85C750" w14:textId="256619A3" w:rsidR="00CC2F5F" w:rsidRPr="0091280D" w:rsidRDefault="00E27A91" w:rsidP="00431AC6">
      <w:pPr>
        <w:rPr>
          <w:sz w:val="32"/>
          <w:szCs w:val="24"/>
        </w:rPr>
      </w:pPr>
      <w:r>
        <w:rPr>
          <w:sz w:val="32"/>
          <w:szCs w:val="24"/>
        </w:rPr>
        <w:t>SPIS RYCIN</w:t>
      </w:r>
    </w:p>
    <w:p w14:paraId="0144C74C" w14:textId="4F8EA841" w:rsidR="000B5638" w:rsidRDefault="00E27A91">
      <w:pPr>
        <w:pStyle w:val="Spisilustracji"/>
        <w:tabs>
          <w:tab w:val="right" w:leader="dot" w:pos="9062"/>
        </w:tabs>
        <w:rPr>
          <w:noProof/>
          <w:sz w:val="22"/>
          <w:szCs w:val="22"/>
          <w:lang w:eastAsia="pl-PL"/>
        </w:rPr>
      </w:pPr>
      <w:r>
        <w:rPr>
          <w:szCs w:val="22"/>
        </w:rPr>
        <w:fldChar w:fldCharType="begin"/>
      </w:r>
      <w:r>
        <w:rPr>
          <w:szCs w:val="22"/>
        </w:rPr>
        <w:instrText xml:space="preserve"> TOC \h \z \c "Rycina" </w:instrText>
      </w:r>
      <w:r>
        <w:rPr>
          <w:szCs w:val="22"/>
        </w:rPr>
        <w:fldChar w:fldCharType="separate"/>
      </w:r>
      <w:hyperlink w:anchor="_Toc104790670" w:history="1">
        <w:r w:rsidR="000B5638" w:rsidRPr="00771477">
          <w:rPr>
            <w:rStyle w:val="Hipercze"/>
            <w:noProof/>
          </w:rPr>
          <w:t>Rycina 1 Mapa obszarowa woj. zachodniopomorskiego wraz ze wskazaniem strefy przygranicznej.</w:t>
        </w:r>
        <w:r w:rsidR="000B5638">
          <w:rPr>
            <w:noProof/>
            <w:webHidden/>
          </w:rPr>
          <w:tab/>
        </w:r>
        <w:r w:rsidR="000B5638">
          <w:rPr>
            <w:noProof/>
            <w:webHidden/>
          </w:rPr>
          <w:fldChar w:fldCharType="begin"/>
        </w:r>
        <w:r w:rsidR="000B5638">
          <w:rPr>
            <w:noProof/>
            <w:webHidden/>
          </w:rPr>
          <w:instrText xml:space="preserve"> PAGEREF _Toc104790670 \h </w:instrText>
        </w:r>
        <w:r w:rsidR="000B5638">
          <w:rPr>
            <w:noProof/>
            <w:webHidden/>
          </w:rPr>
        </w:r>
        <w:r w:rsidR="000B5638">
          <w:rPr>
            <w:noProof/>
            <w:webHidden/>
          </w:rPr>
          <w:fldChar w:fldCharType="separate"/>
        </w:r>
        <w:r w:rsidR="002B5007">
          <w:rPr>
            <w:noProof/>
            <w:webHidden/>
          </w:rPr>
          <w:t>149</w:t>
        </w:r>
        <w:r w:rsidR="000B5638">
          <w:rPr>
            <w:noProof/>
            <w:webHidden/>
          </w:rPr>
          <w:fldChar w:fldCharType="end"/>
        </w:r>
      </w:hyperlink>
    </w:p>
    <w:p w14:paraId="469E544C" w14:textId="2ED9AAEB" w:rsidR="000B5638" w:rsidRDefault="000F4A05">
      <w:pPr>
        <w:pStyle w:val="Spisilustracji"/>
        <w:tabs>
          <w:tab w:val="right" w:leader="dot" w:pos="9062"/>
        </w:tabs>
        <w:rPr>
          <w:noProof/>
          <w:sz w:val="22"/>
          <w:szCs w:val="22"/>
          <w:lang w:eastAsia="pl-PL"/>
        </w:rPr>
      </w:pPr>
      <w:hyperlink w:anchor="_Toc104790671" w:history="1">
        <w:r w:rsidR="000B5638" w:rsidRPr="00771477">
          <w:rPr>
            <w:rStyle w:val="Hipercze"/>
            <w:noProof/>
          </w:rPr>
          <w:t>Rycina 2 Wpływ braku realizacji Projektu Programu Fundusze Europejskie dla Pomorza Zachodniego 2021-2027 na stan poszczególnych komponentów środowiska</w:t>
        </w:r>
        <w:r w:rsidR="000B5638">
          <w:rPr>
            <w:noProof/>
            <w:webHidden/>
          </w:rPr>
          <w:tab/>
        </w:r>
        <w:r w:rsidR="000B5638">
          <w:rPr>
            <w:noProof/>
            <w:webHidden/>
          </w:rPr>
          <w:fldChar w:fldCharType="begin"/>
        </w:r>
        <w:r w:rsidR="000B5638">
          <w:rPr>
            <w:noProof/>
            <w:webHidden/>
          </w:rPr>
          <w:instrText xml:space="preserve"> PAGEREF _Toc104790671 \h </w:instrText>
        </w:r>
        <w:r w:rsidR="000B5638">
          <w:rPr>
            <w:noProof/>
            <w:webHidden/>
          </w:rPr>
        </w:r>
        <w:r w:rsidR="000B5638">
          <w:rPr>
            <w:noProof/>
            <w:webHidden/>
          </w:rPr>
          <w:fldChar w:fldCharType="separate"/>
        </w:r>
        <w:r w:rsidR="002B5007">
          <w:rPr>
            <w:noProof/>
            <w:webHidden/>
          </w:rPr>
          <w:t>167</w:t>
        </w:r>
        <w:r w:rsidR="000B5638">
          <w:rPr>
            <w:noProof/>
            <w:webHidden/>
          </w:rPr>
          <w:fldChar w:fldCharType="end"/>
        </w:r>
      </w:hyperlink>
    </w:p>
    <w:p w14:paraId="0D3C16D1" w14:textId="58F244AD" w:rsidR="00644D4B" w:rsidRPr="00C9547D" w:rsidRDefault="00E27A91">
      <w:pPr>
        <w:rPr>
          <w:caps/>
          <w:spacing w:val="15"/>
          <w:sz w:val="32"/>
          <w:szCs w:val="24"/>
        </w:rPr>
      </w:pPr>
      <w:r>
        <w:rPr>
          <w:szCs w:val="22"/>
        </w:rPr>
        <w:fldChar w:fldCharType="end"/>
      </w:r>
      <w:r w:rsidR="00644D4B" w:rsidRPr="00C9547D">
        <w:rPr>
          <w:szCs w:val="22"/>
        </w:rPr>
        <w:br w:type="page"/>
      </w:r>
    </w:p>
    <w:p w14:paraId="7F1A3CF5" w14:textId="5B2ED4EB" w:rsidR="003A3E93" w:rsidRPr="00437E0C" w:rsidRDefault="00DF1A94" w:rsidP="00437E0C">
      <w:pPr>
        <w:pStyle w:val="Nagwek1"/>
        <w:rPr>
          <w:sz w:val="32"/>
          <w:szCs w:val="24"/>
        </w:rPr>
        <w:sectPr w:rsidR="003A3E93" w:rsidRPr="00437E0C" w:rsidSect="005E3B1F">
          <w:footerReference w:type="default" r:id="rId14"/>
          <w:pgSz w:w="11906" w:h="16838"/>
          <w:pgMar w:top="1417" w:right="1417" w:bottom="1417" w:left="1417" w:header="708" w:footer="708" w:gutter="0"/>
          <w:cols w:space="708"/>
          <w:titlePg/>
          <w:docGrid w:linePitch="360"/>
        </w:sectPr>
      </w:pPr>
      <w:bookmarkStart w:id="84" w:name="_Toc104790649"/>
      <w:r w:rsidRPr="0091280D">
        <w:rPr>
          <w:sz w:val="32"/>
          <w:szCs w:val="24"/>
        </w:rPr>
        <w:t>ZAŁĄCZNIKI</w:t>
      </w:r>
      <w:bookmarkEnd w:id="84"/>
    </w:p>
    <w:p w14:paraId="5F571473" w14:textId="083CDCB4" w:rsidR="00DC0184" w:rsidRPr="00C878F4" w:rsidRDefault="00DC0184" w:rsidP="00C878F4">
      <w:pPr>
        <w:pStyle w:val="Nagwek1"/>
        <w:rPr>
          <w:sz w:val="24"/>
          <w:szCs w:val="20"/>
        </w:rPr>
      </w:pPr>
      <w:bookmarkStart w:id="85" w:name="_Toc104790650"/>
      <w:r w:rsidRPr="00C878F4">
        <w:rPr>
          <w:sz w:val="24"/>
          <w:szCs w:val="20"/>
        </w:rPr>
        <w:t>Załącznik 1</w:t>
      </w:r>
      <w:r w:rsidR="00C878F4" w:rsidRPr="00C878F4">
        <w:rPr>
          <w:sz w:val="24"/>
          <w:szCs w:val="20"/>
        </w:rPr>
        <w:t xml:space="preserve"> </w:t>
      </w:r>
      <w:r w:rsidRPr="00C878F4">
        <w:rPr>
          <w:sz w:val="24"/>
          <w:szCs w:val="20"/>
        </w:rPr>
        <w:t>Sposób dostosowania zawartości niniejszej Prognozy do wymogów artykułu 51 ustawy OOŚ</w:t>
      </w:r>
      <w:bookmarkEnd w:id="85"/>
    </w:p>
    <w:tbl>
      <w:tblPr>
        <w:tblStyle w:val="Tabelalisty4akcent11"/>
        <w:tblW w:w="5000" w:type="pct"/>
        <w:tblLook w:val="0420" w:firstRow="1" w:lastRow="0" w:firstColumn="0" w:lastColumn="0" w:noHBand="0" w:noVBand="1"/>
      </w:tblPr>
      <w:tblGrid>
        <w:gridCol w:w="4278"/>
        <w:gridCol w:w="3596"/>
        <w:gridCol w:w="1415"/>
      </w:tblGrid>
      <w:tr w:rsidR="00DC0184" w:rsidRPr="00A65366" w14:paraId="2A098B31" w14:textId="77777777" w:rsidTr="00FF6C27">
        <w:trPr>
          <w:cnfStyle w:val="100000000000" w:firstRow="1" w:lastRow="0" w:firstColumn="0" w:lastColumn="0" w:oddVBand="0" w:evenVBand="0" w:oddHBand="0" w:evenHBand="0" w:firstRowFirstColumn="0" w:firstRowLastColumn="0" w:lastRowFirstColumn="0" w:lastRowLastColumn="0"/>
        </w:trPr>
        <w:tc>
          <w:tcPr>
            <w:tcW w:w="4256" w:type="pct"/>
            <w:gridSpan w:val="2"/>
          </w:tcPr>
          <w:p w14:paraId="2AB872CB" w14:textId="77777777" w:rsidR="00DC0184" w:rsidRPr="00094CB3" w:rsidRDefault="00DC0184" w:rsidP="00177D02">
            <w:pPr>
              <w:pStyle w:val="CE-StandardText"/>
              <w:rPr>
                <w:sz w:val="24"/>
                <w:szCs w:val="24"/>
              </w:rPr>
            </w:pPr>
            <w:r w:rsidRPr="00094CB3">
              <w:rPr>
                <w:sz w:val="24"/>
                <w:szCs w:val="24"/>
              </w:rPr>
              <w:t>Ustawowy wymóg zawartości prognozy</w:t>
            </w:r>
          </w:p>
        </w:tc>
        <w:tc>
          <w:tcPr>
            <w:tcW w:w="744" w:type="pct"/>
          </w:tcPr>
          <w:p w14:paraId="0118A89F" w14:textId="77777777" w:rsidR="00DC0184" w:rsidRPr="00094CB3" w:rsidRDefault="00DC0184" w:rsidP="00177D02">
            <w:pPr>
              <w:pStyle w:val="CE-StandardText"/>
              <w:rPr>
                <w:sz w:val="24"/>
                <w:szCs w:val="24"/>
              </w:rPr>
            </w:pPr>
            <w:r w:rsidRPr="00094CB3">
              <w:rPr>
                <w:sz w:val="24"/>
                <w:szCs w:val="24"/>
              </w:rPr>
              <w:t>Rozdział</w:t>
            </w:r>
          </w:p>
        </w:tc>
      </w:tr>
      <w:tr w:rsidR="00DC0184" w:rsidRPr="00A65366" w14:paraId="5B2C0107" w14:textId="77777777" w:rsidTr="00FF6C27">
        <w:trPr>
          <w:cnfStyle w:val="000000100000" w:firstRow="0" w:lastRow="0" w:firstColumn="0" w:lastColumn="0" w:oddVBand="0" w:evenVBand="0" w:oddHBand="1" w:evenHBand="0" w:firstRowFirstColumn="0" w:firstRowLastColumn="0" w:lastRowFirstColumn="0" w:lastRowLastColumn="0"/>
        </w:trPr>
        <w:tc>
          <w:tcPr>
            <w:tcW w:w="4256" w:type="pct"/>
            <w:gridSpan w:val="2"/>
          </w:tcPr>
          <w:p w14:paraId="4B2DAFD1" w14:textId="77777777" w:rsidR="00DC0184" w:rsidRPr="00094CB3" w:rsidRDefault="00DC0184" w:rsidP="00177D02">
            <w:pPr>
              <w:pStyle w:val="CE-StandardText"/>
              <w:rPr>
                <w:sz w:val="24"/>
                <w:szCs w:val="24"/>
              </w:rPr>
            </w:pPr>
            <w:r w:rsidRPr="00094CB3">
              <w:rPr>
                <w:sz w:val="24"/>
                <w:szCs w:val="24"/>
              </w:rPr>
              <w:t>Informacje o zawartości, o głównych celach projektowanego dokumentu oraz o jego powiązaniach z innymi dokumentami</w:t>
            </w:r>
          </w:p>
        </w:tc>
        <w:tc>
          <w:tcPr>
            <w:tcW w:w="744" w:type="pct"/>
            <w:vAlign w:val="center"/>
          </w:tcPr>
          <w:p w14:paraId="32BEC22D" w14:textId="77777777" w:rsidR="00DC0184" w:rsidRPr="00094CB3" w:rsidRDefault="00DC0184" w:rsidP="00177D02">
            <w:pPr>
              <w:pStyle w:val="CE-StandardText"/>
              <w:rPr>
                <w:sz w:val="24"/>
                <w:szCs w:val="24"/>
              </w:rPr>
            </w:pPr>
            <w:r w:rsidRPr="00094CB3">
              <w:rPr>
                <w:sz w:val="24"/>
                <w:szCs w:val="24"/>
              </w:rPr>
              <w:t>3</w:t>
            </w:r>
          </w:p>
        </w:tc>
      </w:tr>
      <w:tr w:rsidR="00DC0184" w:rsidRPr="00A65366" w14:paraId="568B581A" w14:textId="77777777" w:rsidTr="00FF6C27">
        <w:tc>
          <w:tcPr>
            <w:tcW w:w="4256" w:type="pct"/>
            <w:gridSpan w:val="2"/>
          </w:tcPr>
          <w:p w14:paraId="42304ABA" w14:textId="77777777" w:rsidR="00DC0184" w:rsidRPr="00094CB3" w:rsidRDefault="00DC0184" w:rsidP="00177D02">
            <w:pPr>
              <w:pStyle w:val="CE-StandardText"/>
              <w:rPr>
                <w:sz w:val="24"/>
                <w:szCs w:val="24"/>
              </w:rPr>
            </w:pPr>
            <w:r w:rsidRPr="00094CB3">
              <w:rPr>
                <w:sz w:val="24"/>
                <w:szCs w:val="24"/>
              </w:rPr>
              <w:t>Informacje o metodach zastosowanych przy sporządzaniu prognozy</w:t>
            </w:r>
          </w:p>
        </w:tc>
        <w:tc>
          <w:tcPr>
            <w:tcW w:w="744" w:type="pct"/>
            <w:vAlign w:val="center"/>
          </w:tcPr>
          <w:p w14:paraId="51AF8B99" w14:textId="77777777" w:rsidR="00DC0184" w:rsidRPr="00094CB3" w:rsidRDefault="00DC0184" w:rsidP="00177D02">
            <w:pPr>
              <w:pStyle w:val="CE-StandardText"/>
              <w:rPr>
                <w:sz w:val="24"/>
                <w:szCs w:val="24"/>
              </w:rPr>
            </w:pPr>
            <w:r w:rsidRPr="00094CB3">
              <w:rPr>
                <w:sz w:val="24"/>
                <w:szCs w:val="24"/>
              </w:rPr>
              <w:t>2.2</w:t>
            </w:r>
          </w:p>
        </w:tc>
      </w:tr>
      <w:tr w:rsidR="00DC0184" w:rsidRPr="00A65366" w14:paraId="7B47EB8F" w14:textId="77777777" w:rsidTr="00FF6C27">
        <w:trPr>
          <w:cnfStyle w:val="000000100000" w:firstRow="0" w:lastRow="0" w:firstColumn="0" w:lastColumn="0" w:oddVBand="0" w:evenVBand="0" w:oddHBand="1" w:evenHBand="0" w:firstRowFirstColumn="0" w:firstRowLastColumn="0" w:lastRowFirstColumn="0" w:lastRowLastColumn="0"/>
        </w:trPr>
        <w:tc>
          <w:tcPr>
            <w:tcW w:w="4256" w:type="pct"/>
            <w:gridSpan w:val="2"/>
          </w:tcPr>
          <w:p w14:paraId="3ABFD063" w14:textId="77777777" w:rsidR="00DC0184" w:rsidRPr="00094CB3" w:rsidRDefault="00DC0184" w:rsidP="00177D02">
            <w:pPr>
              <w:pStyle w:val="CE-StandardText"/>
              <w:rPr>
                <w:sz w:val="24"/>
                <w:szCs w:val="24"/>
              </w:rPr>
            </w:pPr>
            <w:r w:rsidRPr="00094CB3">
              <w:rPr>
                <w:sz w:val="24"/>
                <w:szCs w:val="24"/>
              </w:rPr>
              <w:t>Propozycje dotyczące przewidywanych metod analizy skutków realizacji postanowień projektowanego dokumentu oraz częstotliwości jej przeprowadzania</w:t>
            </w:r>
          </w:p>
        </w:tc>
        <w:tc>
          <w:tcPr>
            <w:tcW w:w="744" w:type="pct"/>
            <w:vAlign w:val="center"/>
          </w:tcPr>
          <w:p w14:paraId="6BAA31DD" w14:textId="73CCFDE0" w:rsidR="00DC0184" w:rsidRPr="00094CB3" w:rsidRDefault="00B83214" w:rsidP="00177D02">
            <w:pPr>
              <w:pStyle w:val="CE-StandardText"/>
              <w:rPr>
                <w:sz w:val="24"/>
                <w:szCs w:val="24"/>
              </w:rPr>
            </w:pPr>
            <w:r>
              <w:rPr>
                <w:sz w:val="24"/>
                <w:szCs w:val="24"/>
              </w:rPr>
              <w:t>5, 8</w:t>
            </w:r>
          </w:p>
        </w:tc>
      </w:tr>
      <w:tr w:rsidR="00DC0184" w:rsidRPr="00A65366" w14:paraId="65E4AD1D" w14:textId="77777777" w:rsidTr="00FF6C27">
        <w:tc>
          <w:tcPr>
            <w:tcW w:w="4256" w:type="pct"/>
            <w:gridSpan w:val="2"/>
          </w:tcPr>
          <w:p w14:paraId="1124CBF5" w14:textId="77777777" w:rsidR="00DC0184" w:rsidRPr="00094CB3" w:rsidRDefault="00DC0184" w:rsidP="00177D02">
            <w:pPr>
              <w:pStyle w:val="CE-StandardText"/>
              <w:rPr>
                <w:sz w:val="24"/>
                <w:szCs w:val="24"/>
              </w:rPr>
            </w:pPr>
            <w:r w:rsidRPr="00094CB3">
              <w:rPr>
                <w:sz w:val="24"/>
                <w:szCs w:val="24"/>
              </w:rPr>
              <w:t>Informacje o możliwym transgranicznym oddziaływaniu na środowisko</w:t>
            </w:r>
          </w:p>
        </w:tc>
        <w:tc>
          <w:tcPr>
            <w:tcW w:w="744" w:type="pct"/>
            <w:vAlign w:val="center"/>
          </w:tcPr>
          <w:p w14:paraId="4BB124FC" w14:textId="67867195" w:rsidR="00DC0184" w:rsidRPr="00094CB3" w:rsidRDefault="00B83214" w:rsidP="00177D02">
            <w:pPr>
              <w:pStyle w:val="CE-StandardText"/>
              <w:rPr>
                <w:sz w:val="24"/>
                <w:szCs w:val="24"/>
              </w:rPr>
            </w:pPr>
            <w:r>
              <w:rPr>
                <w:sz w:val="24"/>
                <w:szCs w:val="24"/>
              </w:rPr>
              <w:t>6</w:t>
            </w:r>
          </w:p>
        </w:tc>
      </w:tr>
      <w:tr w:rsidR="00DC0184" w:rsidRPr="00A65366" w14:paraId="1AD52EFB" w14:textId="77777777" w:rsidTr="00FF6C27">
        <w:trPr>
          <w:cnfStyle w:val="000000100000" w:firstRow="0" w:lastRow="0" w:firstColumn="0" w:lastColumn="0" w:oddVBand="0" w:evenVBand="0" w:oddHBand="1" w:evenHBand="0" w:firstRowFirstColumn="0" w:firstRowLastColumn="0" w:lastRowFirstColumn="0" w:lastRowLastColumn="0"/>
        </w:trPr>
        <w:tc>
          <w:tcPr>
            <w:tcW w:w="4256" w:type="pct"/>
            <w:gridSpan w:val="2"/>
          </w:tcPr>
          <w:p w14:paraId="10D21C03" w14:textId="77777777" w:rsidR="00DC0184" w:rsidRPr="00094CB3" w:rsidRDefault="00DC0184" w:rsidP="00177D02">
            <w:pPr>
              <w:pStyle w:val="CE-StandardText"/>
              <w:rPr>
                <w:sz w:val="24"/>
                <w:szCs w:val="24"/>
              </w:rPr>
            </w:pPr>
            <w:r w:rsidRPr="00094CB3">
              <w:rPr>
                <w:sz w:val="24"/>
                <w:szCs w:val="24"/>
              </w:rPr>
              <w:t>Streszczenie sporządzone w języku niespecjalistycznym</w:t>
            </w:r>
          </w:p>
        </w:tc>
        <w:tc>
          <w:tcPr>
            <w:tcW w:w="744" w:type="pct"/>
            <w:vAlign w:val="center"/>
          </w:tcPr>
          <w:p w14:paraId="678956D6" w14:textId="77777777" w:rsidR="00DC0184" w:rsidRPr="00094CB3" w:rsidRDefault="00DC0184" w:rsidP="00177D02">
            <w:pPr>
              <w:pStyle w:val="CE-StandardText"/>
              <w:rPr>
                <w:sz w:val="24"/>
                <w:szCs w:val="24"/>
              </w:rPr>
            </w:pPr>
            <w:r w:rsidRPr="00094CB3">
              <w:rPr>
                <w:sz w:val="24"/>
                <w:szCs w:val="24"/>
              </w:rPr>
              <w:t>Streszczenie</w:t>
            </w:r>
          </w:p>
        </w:tc>
      </w:tr>
      <w:tr w:rsidR="00DC0184" w:rsidRPr="00A65366" w14:paraId="14190230" w14:textId="77777777" w:rsidTr="00FF6C27">
        <w:tc>
          <w:tcPr>
            <w:tcW w:w="4256" w:type="pct"/>
            <w:gridSpan w:val="2"/>
          </w:tcPr>
          <w:p w14:paraId="7F78017C" w14:textId="77777777" w:rsidR="00DC0184" w:rsidRPr="00094CB3" w:rsidRDefault="00DC0184" w:rsidP="00177D02">
            <w:pPr>
              <w:pStyle w:val="CE-StandardText"/>
              <w:rPr>
                <w:sz w:val="24"/>
                <w:szCs w:val="24"/>
              </w:rPr>
            </w:pPr>
            <w:r w:rsidRPr="00094CB3">
              <w:rPr>
                <w:sz w:val="24"/>
                <w:szCs w:val="24"/>
              </w:rPr>
              <w:t>Analiza i ocena istniejącego stanu środowiska oraz potencjalnych zmian tego stanu w przypadku braku realizacji projektowanego dokumentu</w:t>
            </w:r>
          </w:p>
        </w:tc>
        <w:tc>
          <w:tcPr>
            <w:tcW w:w="744" w:type="pct"/>
            <w:vAlign w:val="center"/>
          </w:tcPr>
          <w:p w14:paraId="39DDFBFE" w14:textId="2550DED7" w:rsidR="00DC0184" w:rsidRPr="00094CB3" w:rsidRDefault="00B83214" w:rsidP="00B83214">
            <w:pPr>
              <w:pStyle w:val="CE-StandardText"/>
              <w:rPr>
                <w:sz w:val="24"/>
                <w:szCs w:val="24"/>
              </w:rPr>
            </w:pPr>
            <w:r>
              <w:rPr>
                <w:sz w:val="24"/>
                <w:szCs w:val="24"/>
              </w:rPr>
              <w:t>Załącznik 3</w:t>
            </w:r>
            <w:r w:rsidR="00DC0184" w:rsidRPr="00094CB3">
              <w:rPr>
                <w:sz w:val="24"/>
                <w:szCs w:val="24"/>
              </w:rPr>
              <w:t>,</w:t>
            </w:r>
            <w:r>
              <w:rPr>
                <w:sz w:val="24"/>
                <w:szCs w:val="24"/>
              </w:rPr>
              <w:t xml:space="preserve"> rozdział</w:t>
            </w:r>
            <w:r w:rsidR="00DC0184" w:rsidRPr="00094CB3">
              <w:rPr>
                <w:sz w:val="24"/>
                <w:szCs w:val="24"/>
              </w:rPr>
              <w:t xml:space="preserve"> 8</w:t>
            </w:r>
          </w:p>
        </w:tc>
      </w:tr>
      <w:tr w:rsidR="00DC0184" w:rsidRPr="00A65366" w14:paraId="73F8831E" w14:textId="77777777" w:rsidTr="00FF6C27">
        <w:trPr>
          <w:cnfStyle w:val="000000100000" w:firstRow="0" w:lastRow="0" w:firstColumn="0" w:lastColumn="0" w:oddVBand="0" w:evenVBand="0" w:oddHBand="1" w:evenHBand="0" w:firstRowFirstColumn="0" w:firstRowLastColumn="0" w:lastRowFirstColumn="0" w:lastRowLastColumn="0"/>
        </w:trPr>
        <w:tc>
          <w:tcPr>
            <w:tcW w:w="4256" w:type="pct"/>
            <w:gridSpan w:val="2"/>
          </w:tcPr>
          <w:p w14:paraId="1E75A6C8" w14:textId="77777777" w:rsidR="00DC0184" w:rsidRPr="00094CB3" w:rsidRDefault="00DC0184" w:rsidP="00177D02">
            <w:pPr>
              <w:pStyle w:val="CE-StandardText"/>
              <w:rPr>
                <w:sz w:val="24"/>
                <w:szCs w:val="24"/>
              </w:rPr>
            </w:pPr>
            <w:r w:rsidRPr="00094CB3">
              <w:rPr>
                <w:sz w:val="24"/>
                <w:szCs w:val="24"/>
              </w:rPr>
              <w:t>Analiza i ocena stanu środowiska na obszarach objętych przewidywanym znaczącym oddziaływaniem</w:t>
            </w:r>
          </w:p>
        </w:tc>
        <w:tc>
          <w:tcPr>
            <w:tcW w:w="744" w:type="pct"/>
            <w:vAlign w:val="center"/>
          </w:tcPr>
          <w:p w14:paraId="228C1B1A" w14:textId="1F654E90" w:rsidR="00DC0184" w:rsidRPr="00094CB3" w:rsidRDefault="00B83214" w:rsidP="00177D02">
            <w:pPr>
              <w:pStyle w:val="CE-StandardText"/>
              <w:rPr>
                <w:sz w:val="24"/>
                <w:szCs w:val="24"/>
              </w:rPr>
            </w:pPr>
            <w:r>
              <w:rPr>
                <w:sz w:val="24"/>
                <w:szCs w:val="24"/>
              </w:rPr>
              <w:t>Załącznik 3</w:t>
            </w:r>
          </w:p>
        </w:tc>
      </w:tr>
      <w:tr w:rsidR="00DC0184" w:rsidRPr="00A65366" w14:paraId="0FF43CB0" w14:textId="77777777" w:rsidTr="00FF6C27">
        <w:tc>
          <w:tcPr>
            <w:tcW w:w="4256" w:type="pct"/>
            <w:gridSpan w:val="2"/>
          </w:tcPr>
          <w:p w14:paraId="1FCB0B77" w14:textId="77777777" w:rsidR="00DC0184" w:rsidRPr="00094CB3" w:rsidRDefault="00DC0184" w:rsidP="00177D02">
            <w:pPr>
              <w:pStyle w:val="CE-StandardText"/>
              <w:rPr>
                <w:sz w:val="24"/>
                <w:szCs w:val="24"/>
              </w:rPr>
            </w:pPr>
            <w:r w:rsidRPr="00094CB3">
              <w:rPr>
                <w:sz w:val="24"/>
                <w:szCs w:val="24"/>
              </w:rPr>
              <w:t>Analiza i ocena istniejących problemów ochrony środowiska istotnych z punktu widzenia realizacji projektowanego dokumentu, w szczególności dotyczących obszarów podlegających ochronie na podstawie ustawy z dnia 16 kwietnia 2004r. o ochronie przyrody</w:t>
            </w:r>
          </w:p>
        </w:tc>
        <w:tc>
          <w:tcPr>
            <w:tcW w:w="744" w:type="pct"/>
            <w:vAlign w:val="center"/>
          </w:tcPr>
          <w:p w14:paraId="4B83878E" w14:textId="3009E2E7" w:rsidR="00DC0184" w:rsidRPr="00094CB3" w:rsidRDefault="00B83214" w:rsidP="00177D02">
            <w:pPr>
              <w:pStyle w:val="CE-StandardText"/>
              <w:rPr>
                <w:sz w:val="24"/>
                <w:szCs w:val="24"/>
              </w:rPr>
            </w:pPr>
            <w:r>
              <w:rPr>
                <w:sz w:val="24"/>
                <w:szCs w:val="24"/>
              </w:rPr>
              <w:t>Załącznik 3</w:t>
            </w:r>
          </w:p>
        </w:tc>
      </w:tr>
      <w:tr w:rsidR="00DC0184" w:rsidRPr="00A65366" w14:paraId="6E2E3DBA" w14:textId="77777777" w:rsidTr="00FF6C27">
        <w:trPr>
          <w:cnfStyle w:val="000000100000" w:firstRow="0" w:lastRow="0" w:firstColumn="0" w:lastColumn="0" w:oddVBand="0" w:evenVBand="0" w:oddHBand="1" w:evenHBand="0" w:firstRowFirstColumn="0" w:firstRowLastColumn="0" w:lastRowFirstColumn="0" w:lastRowLastColumn="0"/>
        </w:trPr>
        <w:tc>
          <w:tcPr>
            <w:tcW w:w="4256" w:type="pct"/>
            <w:gridSpan w:val="2"/>
          </w:tcPr>
          <w:p w14:paraId="27C8E735" w14:textId="77777777" w:rsidR="00DC0184" w:rsidRPr="00094CB3" w:rsidRDefault="00DC0184" w:rsidP="00177D02">
            <w:pPr>
              <w:pStyle w:val="CE-StandardText"/>
              <w:rPr>
                <w:sz w:val="24"/>
                <w:szCs w:val="24"/>
              </w:rPr>
            </w:pPr>
            <w:r w:rsidRPr="00094CB3">
              <w:rPr>
                <w:sz w:val="24"/>
                <w:szCs w:val="24"/>
              </w:rPr>
              <w:t>Informacje o celach ochrony środowiska ustanowionych na szczeblu międzynarodowym, wspólnotowym i krajowym, istotnych z punktu widzenia projektowanego dokumentu, oraz sposoby, w jakich te cele i inne problemy środowiska zostały uwzględnione podczas opracowywania dokumentu</w:t>
            </w:r>
          </w:p>
        </w:tc>
        <w:tc>
          <w:tcPr>
            <w:tcW w:w="744" w:type="pct"/>
            <w:vAlign w:val="center"/>
          </w:tcPr>
          <w:p w14:paraId="615AA9BA" w14:textId="77777777" w:rsidR="00DC0184" w:rsidRPr="00094CB3" w:rsidRDefault="00DC0184" w:rsidP="00177D02">
            <w:pPr>
              <w:pStyle w:val="CE-StandardText"/>
              <w:rPr>
                <w:sz w:val="24"/>
                <w:szCs w:val="24"/>
              </w:rPr>
            </w:pPr>
            <w:r w:rsidRPr="00094CB3">
              <w:rPr>
                <w:sz w:val="24"/>
                <w:szCs w:val="24"/>
              </w:rPr>
              <w:t>3</w:t>
            </w:r>
          </w:p>
        </w:tc>
      </w:tr>
      <w:tr w:rsidR="00DC0184" w:rsidRPr="00A65366" w14:paraId="4E79E988" w14:textId="77777777" w:rsidTr="00FF6C27">
        <w:tc>
          <w:tcPr>
            <w:tcW w:w="2312" w:type="pct"/>
            <w:vMerge w:val="restart"/>
            <w:vAlign w:val="center"/>
          </w:tcPr>
          <w:p w14:paraId="7F02FDC1" w14:textId="77777777" w:rsidR="00DC0184" w:rsidRPr="00094CB3" w:rsidRDefault="00DC0184" w:rsidP="00177D02">
            <w:pPr>
              <w:pStyle w:val="CE-StandardText"/>
              <w:rPr>
                <w:sz w:val="24"/>
                <w:szCs w:val="24"/>
              </w:rPr>
            </w:pPr>
            <w:r w:rsidRPr="00094CB3">
              <w:rPr>
                <w:sz w:val="24"/>
                <w:szCs w:val="24"/>
              </w:rPr>
              <w:t>Analiza i ocena przewidywanych znaczących oddziaływań, w tym oddziaływań bezpośrednich, pośrednich, wtórnych, skumulowanych, krótkoterminowych, średnioterminowych i długoterminowych, stałych i chwilowych oraz pozytywnych i negatywnych, na cele i przedmiot ochrony obszaru Natura 2000 oraz na integralność tego obszaru, a także na środowisko, w szczególności zaś na:</w:t>
            </w:r>
          </w:p>
        </w:tc>
        <w:tc>
          <w:tcPr>
            <w:tcW w:w="1944" w:type="pct"/>
          </w:tcPr>
          <w:p w14:paraId="30CDD89D" w14:textId="7BC0B3D7" w:rsidR="00DC0184" w:rsidRPr="00094CB3" w:rsidRDefault="00DC0184" w:rsidP="00177D02">
            <w:pPr>
              <w:pStyle w:val="CE-StandardText"/>
              <w:rPr>
                <w:sz w:val="24"/>
                <w:szCs w:val="24"/>
              </w:rPr>
            </w:pPr>
            <w:r w:rsidRPr="00094CB3">
              <w:rPr>
                <w:sz w:val="24"/>
                <w:szCs w:val="24"/>
              </w:rPr>
              <w:t>różnorodność biologiczną, w</w:t>
            </w:r>
            <w:r w:rsidR="000B4D7D" w:rsidRPr="00094CB3">
              <w:rPr>
                <w:sz w:val="24"/>
                <w:szCs w:val="24"/>
              </w:rPr>
              <w:t xml:space="preserve"> </w:t>
            </w:r>
            <w:r w:rsidRPr="00094CB3">
              <w:rPr>
                <w:sz w:val="24"/>
                <w:szCs w:val="24"/>
              </w:rPr>
              <w:t>tym rośliny i</w:t>
            </w:r>
            <w:r w:rsidR="000B4D7D" w:rsidRPr="00094CB3">
              <w:rPr>
                <w:sz w:val="24"/>
                <w:szCs w:val="24"/>
              </w:rPr>
              <w:t xml:space="preserve"> </w:t>
            </w:r>
            <w:r w:rsidRPr="00094CB3">
              <w:rPr>
                <w:sz w:val="24"/>
                <w:szCs w:val="24"/>
              </w:rPr>
              <w:t>zwierzęta</w:t>
            </w:r>
          </w:p>
        </w:tc>
        <w:tc>
          <w:tcPr>
            <w:tcW w:w="744" w:type="pct"/>
            <w:vAlign w:val="center"/>
          </w:tcPr>
          <w:p w14:paraId="63FBD07B" w14:textId="24F43C16" w:rsidR="00DC0184" w:rsidRPr="00094CB3" w:rsidRDefault="00B83214" w:rsidP="00177D02">
            <w:pPr>
              <w:pStyle w:val="CE-StandardText"/>
              <w:rPr>
                <w:sz w:val="24"/>
                <w:szCs w:val="24"/>
              </w:rPr>
            </w:pPr>
            <w:r>
              <w:rPr>
                <w:sz w:val="24"/>
                <w:szCs w:val="24"/>
              </w:rPr>
              <w:t>4</w:t>
            </w:r>
            <w:r w:rsidR="00DC0184" w:rsidRPr="00094CB3">
              <w:rPr>
                <w:sz w:val="24"/>
                <w:szCs w:val="24"/>
              </w:rPr>
              <w:t>.1</w:t>
            </w:r>
          </w:p>
        </w:tc>
      </w:tr>
      <w:tr w:rsidR="00DC0184" w:rsidRPr="00A65366" w14:paraId="7C4AF6DB" w14:textId="77777777" w:rsidTr="00FF6C27">
        <w:trPr>
          <w:cnfStyle w:val="000000100000" w:firstRow="0" w:lastRow="0" w:firstColumn="0" w:lastColumn="0" w:oddVBand="0" w:evenVBand="0" w:oddHBand="1" w:evenHBand="0" w:firstRowFirstColumn="0" w:firstRowLastColumn="0" w:lastRowFirstColumn="0" w:lastRowLastColumn="0"/>
        </w:trPr>
        <w:tc>
          <w:tcPr>
            <w:tcW w:w="2312" w:type="pct"/>
            <w:vMerge/>
          </w:tcPr>
          <w:p w14:paraId="3600E0FF" w14:textId="77777777" w:rsidR="00DC0184" w:rsidRPr="00094CB3" w:rsidRDefault="00DC0184" w:rsidP="00177D02">
            <w:pPr>
              <w:pStyle w:val="CE-StandardText"/>
              <w:rPr>
                <w:sz w:val="24"/>
                <w:szCs w:val="24"/>
              </w:rPr>
            </w:pPr>
          </w:p>
        </w:tc>
        <w:tc>
          <w:tcPr>
            <w:tcW w:w="1944" w:type="pct"/>
          </w:tcPr>
          <w:p w14:paraId="5AC46144" w14:textId="77777777" w:rsidR="00DC0184" w:rsidRPr="00094CB3" w:rsidRDefault="00DC0184" w:rsidP="00177D02">
            <w:pPr>
              <w:pStyle w:val="CE-StandardText"/>
              <w:rPr>
                <w:sz w:val="24"/>
                <w:szCs w:val="24"/>
              </w:rPr>
            </w:pPr>
            <w:r w:rsidRPr="00094CB3">
              <w:rPr>
                <w:sz w:val="24"/>
                <w:szCs w:val="24"/>
              </w:rPr>
              <w:t>ludzi</w:t>
            </w:r>
          </w:p>
        </w:tc>
        <w:tc>
          <w:tcPr>
            <w:tcW w:w="744" w:type="pct"/>
            <w:vAlign w:val="center"/>
          </w:tcPr>
          <w:p w14:paraId="3AD4443F" w14:textId="6B97A112" w:rsidR="00DC0184" w:rsidRPr="00094CB3" w:rsidRDefault="00B83214" w:rsidP="00177D02">
            <w:pPr>
              <w:pStyle w:val="CE-StandardText"/>
              <w:rPr>
                <w:sz w:val="24"/>
                <w:szCs w:val="24"/>
              </w:rPr>
            </w:pPr>
            <w:r>
              <w:rPr>
                <w:sz w:val="24"/>
                <w:szCs w:val="24"/>
              </w:rPr>
              <w:t>4</w:t>
            </w:r>
            <w:r w:rsidR="00DC0184" w:rsidRPr="00094CB3">
              <w:rPr>
                <w:sz w:val="24"/>
                <w:szCs w:val="24"/>
              </w:rPr>
              <w:t>.8</w:t>
            </w:r>
          </w:p>
        </w:tc>
      </w:tr>
      <w:tr w:rsidR="00DC0184" w:rsidRPr="00A65366" w14:paraId="20992EB3" w14:textId="77777777" w:rsidTr="00FF6C27">
        <w:tc>
          <w:tcPr>
            <w:tcW w:w="2312" w:type="pct"/>
            <w:vMerge/>
          </w:tcPr>
          <w:p w14:paraId="62ED24D2" w14:textId="77777777" w:rsidR="00DC0184" w:rsidRPr="00094CB3" w:rsidRDefault="00DC0184" w:rsidP="00177D02">
            <w:pPr>
              <w:pStyle w:val="CE-StandardText"/>
              <w:rPr>
                <w:sz w:val="24"/>
                <w:szCs w:val="24"/>
              </w:rPr>
            </w:pPr>
          </w:p>
        </w:tc>
        <w:tc>
          <w:tcPr>
            <w:tcW w:w="1944" w:type="pct"/>
          </w:tcPr>
          <w:p w14:paraId="3EAA7078" w14:textId="77777777" w:rsidR="00DC0184" w:rsidRPr="00094CB3" w:rsidRDefault="00DC0184" w:rsidP="00177D02">
            <w:pPr>
              <w:pStyle w:val="CE-StandardText"/>
              <w:rPr>
                <w:sz w:val="24"/>
                <w:szCs w:val="24"/>
              </w:rPr>
            </w:pPr>
            <w:r w:rsidRPr="00094CB3">
              <w:rPr>
                <w:sz w:val="24"/>
                <w:szCs w:val="24"/>
              </w:rPr>
              <w:t>zwierzęta</w:t>
            </w:r>
          </w:p>
        </w:tc>
        <w:tc>
          <w:tcPr>
            <w:tcW w:w="744" w:type="pct"/>
            <w:vAlign w:val="center"/>
          </w:tcPr>
          <w:p w14:paraId="2BA97FD1" w14:textId="4A1498BE" w:rsidR="00DC0184" w:rsidRPr="00094CB3" w:rsidRDefault="00B83214" w:rsidP="00177D02">
            <w:pPr>
              <w:pStyle w:val="CE-StandardText"/>
              <w:rPr>
                <w:sz w:val="24"/>
                <w:szCs w:val="24"/>
              </w:rPr>
            </w:pPr>
            <w:r>
              <w:rPr>
                <w:sz w:val="24"/>
                <w:szCs w:val="24"/>
              </w:rPr>
              <w:t>4</w:t>
            </w:r>
            <w:r w:rsidR="00DC0184" w:rsidRPr="00094CB3">
              <w:rPr>
                <w:sz w:val="24"/>
                <w:szCs w:val="24"/>
              </w:rPr>
              <w:t>.1</w:t>
            </w:r>
          </w:p>
        </w:tc>
      </w:tr>
      <w:tr w:rsidR="00DC0184" w:rsidRPr="00A65366" w14:paraId="71C666C8" w14:textId="77777777" w:rsidTr="00FF6C27">
        <w:trPr>
          <w:cnfStyle w:val="000000100000" w:firstRow="0" w:lastRow="0" w:firstColumn="0" w:lastColumn="0" w:oddVBand="0" w:evenVBand="0" w:oddHBand="1" w:evenHBand="0" w:firstRowFirstColumn="0" w:firstRowLastColumn="0" w:lastRowFirstColumn="0" w:lastRowLastColumn="0"/>
        </w:trPr>
        <w:tc>
          <w:tcPr>
            <w:tcW w:w="2312" w:type="pct"/>
            <w:vMerge/>
          </w:tcPr>
          <w:p w14:paraId="2FA13E3A" w14:textId="77777777" w:rsidR="00DC0184" w:rsidRPr="00094CB3" w:rsidRDefault="00DC0184" w:rsidP="00177D02">
            <w:pPr>
              <w:pStyle w:val="CE-StandardText"/>
              <w:rPr>
                <w:sz w:val="24"/>
                <w:szCs w:val="24"/>
              </w:rPr>
            </w:pPr>
          </w:p>
        </w:tc>
        <w:tc>
          <w:tcPr>
            <w:tcW w:w="1944" w:type="pct"/>
          </w:tcPr>
          <w:p w14:paraId="57DD0F8F" w14:textId="77777777" w:rsidR="00DC0184" w:rsidRPr="00094CB3" w:rsidRDefault="00DC0184" w:rsidP="00177D02">
            <w:pPr>
              <w:pStyle w:val="CE-StandardText"/>
              <w:rPr>
                <w:sz w:val="24"/>
                <w:szCs w:val="24"/>
              </w:rPr>
            </w:pPr>
            <w:r w:rsidRPr="00094CB3">
              <w:rPr>
                <w:sz w:val="24"/>
                <w:szCs w:val="24"/>
              </w:rPr>
              <w:t>rośliny</w:t>
            </w:r>
          </w:p>
        </w:tc>
        <w:tc>
          <w:tcPr>
            <w:tcW w:w="744" w:type="pct"/>
            <w:vAlign w:val="center"/>
          </w:tcPr>
          <w:p w14:paraId="56AACEA5" w14:textId="62A327BD" w:rsidR="00DC0184" w:rsidRPr="00094CB3" w:rsidRDefault="00B83214" w:rsidP="00177D02">
            <w:pPr>
              <w:pStyle w:val="CE-StandardText"/>
              <w:rPr>
                <w:sz w:val="24"/>
                <w:szCs w:val="24"/>
              </w:rPr>
            </w:pPr>
            <w:r>
              <w:rPr>
                <w:sz w:val="24"/>
                <w:szCs w:val="24"/>
              </w:rPr>
              <w:t>4</w:t>
            </w:r>
            <w:r w:rsidR="00DC0184" w:rsidRPr="00094CB3">
              <w:rPr>
                <w:sz w:val="24"/>
                <w:szCs w:val="24"/>
              </w:rPr>
              <w:t>.1</w:t>
            </w:r>
          </w:p>
        </w:tc>
      </w:tr>
      <w:tr w:rsidR="00DC0184" w:rsidRPr="00A65366" w14:paraId="2BBE7C39" w14:textId="77777777" w:rsidTr="00FF6C27">
        <w:tc>
          <w:tcPr>
            <w:tcW w:w="2312" w:type="pct"/>
            <w:vMerge/>
          </w:tcPr>
          <w:p w14:paraId="6361F480" w14:textId="77777777" w:rsidR="00DC0184" w:rsidRPr="00094CB3" w:rsidRDefault="00DC0184" w:rsidP="00177D02">
            <w:pPr>
              <w:pStyle w:val="CE-StandardText"/>
              <w:rPr>
                <w:sz w:val="24"/>
                <w:szCs w:val="24"/>
              </w:rPr>
            </w:pPr>
          </w:p>
        </w:tc>
        <w:tc>
          <w:tcPr>
            <w:tcW w:w="1944" w:type="pct"/>
          </w:tcPr>
          <w:p w14:paraId="3FEDB747" w14:textId="77777777" w:rsidR="00DC0184" w:rsidRPr="00094CB3" w:rsidRDefault="00DC0184" w:rsidP="00177D02">
            <w:pPr>
              <w:pStyle w:val="CE-StandardText"/>
              <w:rPr>
                <w:sz w:val="24"/>
                <w:szCs w:val="24"/>
              </w:rPr>
            </w:pPr>
            <w:r w:rsidRPr="00094CB3">
              <w:rPr>
                <w:sz w:val="24"/>
                <w:szCs w:val="24"/>
              </w:rPr>
              <w:t>wodę</w:t>
            </w:r>
          </w:p>
        </w:tc>
        <w:tc>
          <w:tcPr>
            <w:tcW w:w="744" w:type="pct"/>
            <w:vAlign w:val="center"/>
          </w:tcPr>
          <w:p w14:paraId="1D9D0466" w14:textId="176459F0" w:rsidR="00DC0184" w:rsidRPr="00094CB3" w:rsidRDefault="00B83214" w:rsidP="00177D02">
            <w:pPr>
              <w:pStyle w:val="CE-StandardText"/>
              <w:rPr>
                <w:sz w:val="24"/>
                <w:szCs w:val="24"/>
              </w:rPr>
            </w:pPr>
            <w:r>
              <w:rPr>
                <w:sz w:val="24"/>
                <w:szCs w:val="24"/>
              </w:rPr>
              <w:t>4</w:t>
            </w:r>
            <w:r w:rsidR="00DC0184" w:rsidRPr="00094CB3">
              <w:rPr>
                <w:sz w:val="24"/>
                <w:szCs w:val="24"/>
              </w:rPr>
              <w:t>.2</w:t>
            </w:r>
          </w:p>
        </w:tc>
      </w:tr>
      <w:tr w:rsidR="00DC0184" w:rsidRPr="00A65366" w14:paraId="1518234C" w14:textId="77777777" w:rsidTr="00FF6C27">
        <w:trPr>
          <w:cnfStyle w:val="000000100000" w:firstRow="0" w:lastRow="0" w:firstColumn="0" w:lastColumn="0" w:oddVBand="0" w:evenVBand="0" w:oddHBand="1" w:evenHBand="0" w:firstRowFirstColumn="0" w:firstRowLastColumn="0" w:lastRowFirstColumn="0" w:lastRowLastColumn="0"/>
        </w:trPr>
        <w:tc>
          <w:tcPr>
            <w:tcW w:w="2312" w:type="pct"/>
            <w:vMerge/>
          </w:tcPr>
          <w:p w14:paraId="45B04EE7" w14:textId="77777777" w:rsidR="00DC0184" w:rsidRPr="00094CB3" w:rsidRDefault="00DC0184" w:rsidP="00177D02">
            <w:pPr>
              <w:pStyle w:val="CE-StandardText"/>
              <w:rPr>
                <w:sz w:val="24"/>
                <w:szCs w:val="24"/>
              </w:rPr>
            </w:pPr>
          </w:p>
        </w:tc>
        <w:tc>
          <w:tcPr>
            <w:tcW w:w="1944" w:type="pct"/>
          </w:tcPr>
          <w:p w14:paraId="17CFD69A" w14:textId="77777777" w:rsidR="00DC0184" w:rsidRPr="00094CB3" w:rsidRDefault="00DC0184" w:rsidP="00177D02">
            <w:pPr>
              <w:pStyle w:val="CE-StandardText"/>
              <w:rPr>
                <w:sz w:val="24"/>
                <w:szCs w:val="24"/>
              </w:rPr>
            </w:pPr>
            <w:r w:rsidRPr="00094CB3">
              <w:rPr>
                <w:sz w:val="24"/>
                <w:szCs w:val="24"/>
              </w:rPr>
              <w:t>powietrze</w:t>
            </w:r>
          </w:p>
        </w:tc>
        <w:tc>
          <w:tcPr>
            <w:tcW w:w="744" w:type="pct"/>
            <w:vAlign w:val="center"/>
          </w:tcPr>
          <w:p w14:paraId="1B688DE4" w14:textId="11BF7537" w:rsidR="00DC0184" w:rsidRPr="00094CB3" w:rsidRDefault="00B83214" w:rsidP="00177D02">
            <w:pPr>
              <w:pStyle w:val="CE-StandardText"/>
              <w:rPr>
                <w:sz w:val="24"/>
                <w:szCs w:val="24"/>
              </w:rPr>
            </w:pPr>
            <w:r>
              <w:rPr>
                <w:sz w:val="24"/>
                <w:szCs w:val="24"/>
              </w:rPr>
              <w:t>4</w:t>
            </w:r>
            <w:r w:rsidR="00DC0184" w:rsidRPr="00094CB3">
              <w:rPr>
                <w:sz w:val="24"/>
                <w:szCs w:val="24"/>
              </w:rPr>
              <w:t>.4</w:t>
            </w:r>
          </w:p>
        </w:tc>
      </w:tr>
      <w:tr w:rsidR="00DC0184" w:rsidRPr="00A65366" w14:paraId="0FA6526C" w14:textId="77777777" w:rsidTr="00FF6C27">
        <w:tc>
          <w:tcPr>
            <w:tcW w:w="2312" w:type="pct"/>
            <w:vMerge/>
          </w:tcPr>
          <w:p w14:paraId="5A0EC850" w14:textId="77777777" w:rsidR="00DC0184" w:rsidRPr="00094CB3" w:rsidRDefault="00DC0184" w:rsidP="00177D02">
            <w:pPr>
              <w:pStyle w:val="CE-StandardText"/>
              <w:rPr>
                <w:sz w:val="24"/>
                <w:szCs w:val="24"/>
              </w:rPr>
            </w:pPr>
          </w:p>
        </w:tc>
        <w:tc>
          <w:tcPr>
            <w:tcW w:w="1944" w:type="pct"/>
          </w:tcPr>
          <w:p w14:paraId="04279DA0" w14:textId="77777777" w:rsidR="00DC0184" w:rsidRPr="00094CB3" w:rsidRDefault="00DC0184" w:rsidP="00177D02">
            <w:pPr>
              <w:pStyle w:val="CE-StandardText"/>
              <w:rPr>
                <w:sz w:val="24"/>
                <w:szCs w:val="24"/>
              </w:rPr>
            </w:pPr>
            <w:r w:rsidRPr="00094CB3">
              <w:rPr>
                <w:sz w:val="24"/>
                <w:szCs w:val="24"/>
              </w:rPr>
              <w:t>powierzchnię ziemi</w:t>
            </w:r>
          </w:p>
        </w:tc>
        <w:tc>
          <w:tcPr>
            <w:tcW w:w="744" w:type="pct"/>
            <w:vAlign w:val="center"/>
          </w:tcPr>
          <w:p w14:paraId="7ED6C090" w14:textId="21730155" w:rsidR="00DC0184" w:rsidRPr="00094CB3" w:rsidRDefault="00B83214" w:rsidP="00177D02">
            <w:pPr>
              <w:pStyle w:val="CE-StandardText"/>
              <w:rPr>
                <w:sz w:val="24"/>
                <w:szCs w:val="24"/>
              </w:rPr>
            </w:pPr>
            <w:r>
              <w:rPr>
                <w:sz w:val="24"/>
                <w:szCs w:val="24"/>
              </w:rPr>
              <w:t>4</w:t>
            </w:r>
            <w:r w:rsidR="00DC0184" w:rsidRPr="00094CB3">
              <w:rPr>
                <w:sz w:val="24"/>
                <w:szCs w:val="24"/>
              </w:rPr>
              <w:t>.3</w:t>
            </w:r>
          </w:p>
        </w:tc>
      </w:tr>
      <w:tr w:rsidR="00DC0184" w:rsidRPr="00A65366" w14:paraId="4F552C69" w14:textId="77777777" w:rsidTr="00FF6C27">
        <w:trPr>
          <w:cnfStyle w:val="000000100000" w:firstRow="0" w:lastRow="0" w:firstColumn="0" w:lastColumn="0" w:oddVBand="0" w:evenVBand="0" w:oddHBand="1" w:evenHBand="0" w:firstRowFirstColumn="0" w:firstRowLastColumn="0" w:lastRowFirstColumn="0" w:lastRowLastColumn="0"/>
        </w:trPr>
        <w:tc>
          <w:tcPr>
            <w:tcW w:w="2312" w:type="pct"/>
            <w:vMerge/>
          </w:tcPr>
          <w:p w14:paraId="7AB4A151" w14:textId="77777777" w:rsidR="00DC0184" w:rsidRPr="00094CB3" w:rsidRDefault="00DC0184" w:rsidP="00177D02">
            <w:pPr>
              <w:pStyle w:val="CE-StandardText"/>
              <w:rPr>
                <w:sz w:val="24"/>
                <w:szCs w:val="24"/>
              </w:rPr>
            </w:pPr>
          </w:p>
        </w:tc>
        <w:tc>
          <w:tcPr>
            <w:tcW w:w="1944" w:type="pct"/>
          </w:tcPr>
          <w:p w14:paraId="7E9DA771" w14:textId="77777777" w:rsidR="00DC0184" w:rsidRPr="00094CB3" w:rsidRDefault="00DC0184" w:rsidP="00177D02">
            <w:pPr>
              <w:pStyle w:val="CE-StandardText"/>
              <w:rPr>
                <w:sz w:val="24"/>
                <w:szCs w:val="24"/>
              </w:rPr>
            </w:pPr>
            <w:r w:rsidRPr="00094CB3">
              <w:rPr>
                <w:sz w:val="24"/>
                <w:szCs w:val="24"/>
              </w:rPr>
              <w:t>krajobraz</w:t>
            </w:r>
          </w:p>
        </w:tc>
        <w:tc>
          <w:tcPr>
            <w:tcW w:w="744" w:type="pct"/>
            <w:vAlign w:val="center"/>
          </w:tcPr>
          <w:p w14:paraId="012DA665" w14:textId="2798C459" w:rsidR="00DC0184" w:rsidRPr="00094CB3" w:rsidRDefault="00B83214" w:rsidP="00177D02">
            <w:pPr>
              <w:pStyle w:val="CE-StandardText"/>
              <w:rPr>
                <w:sz w:val="24"/>
                <w:szCs w:val="24"/>
              </w:rPr>
            </w:pPr>
            <w:r>
              <w:rPr>
                <w:sz w:val="24"/>
                <w:szCs w:val="24"/>
              </w:rPr>
              <w:t>4</w:t>
            </w:r>
            <w:r w:rsidR="00DC0184" w:rsidRPr="00094CB3">
              <w:rPr>
                <w:sz w:val="24"/>
                <w:szCs w:val="24"/>
              </w:rPr>
              <w:t>.5</w:t>
            </w:r>
          </w:p>
        </w:tc>
      </w:tr>
      <w:tr w:rsidR="00DC0184" w:rsidRPr="00A65366" w14:paraId="0A75F6AB" w14:textId="77777777" w:rsidTr="00FF6C27">
        <w:tc>
          <w:tcPr>
            <w:tcW w:w="2312" w:type="pct"/>
            <w:vMerge/>
          </w:tcPr>
          <w:p w14:paraId="11958912" w14:textId="77777777" w:rsidR="00DC0184" w:rsidRPr="00094CB3" w:rsidRDefault="00DC0184" w:rsidP="00177D02">
            <w:pPr>
              <w:pStyle w:val="CE-StandardText"/>
              <w:rPr>
                <w:sz w:val="24"/>
                <w:szCs w:val="24"/>
              </w:rPr>
            </w:pPr>
          </w:p>
        </w:tc>
        <w:tc>
          <w:tcPr>
            <w:tcW w:w="1944" w:type="pct"/>
          </w:tcPr>
          <w:p w14:paraId="30B83D13" w14:textId="77777777" w:rsidR="00DC0184" w:rsidRPr="00094CB3" w:rsidRDefault="00DC0184" w:rsidP="00177D02">
            <w:pPr>
              <w:pStyle w:val="CE-StandardText"/>
              <w:rPr>
                <w:sz w:val="24"/>
                <w:szCs w:val="24"/>
              </w:rPr>
            </w:pPr>
            <w:r w:rsidRPr="00094CB3">
              <w:rPr>
                <w:sz w:val="24"/>
                <w:szCs w:val="24"/>
              </w:rPr>
              <w:t>klimat</w:t>
            </w:r>
          </w:p>
        </w:tc>
        <w:tc>
          <w:tcPr>
            <w:tcW w:w="744" w:type="pct"/>
            <w:vAlign w:val="center"/>
          </w:tcPr>
          <w:p w14:paraId="270BCAF6" w14:textId="70239743" w:rsidR="00DC0184" w:rsidRPr="00094CB3" w:rsidRDefault="00B83214" w:rsidP="00177D02">
            <w:pPr>
              <w:pStyle w:val="CE-StandardText"/>
              <w:rPr>
                <w:sz w:val="24"/>
                <w:szCs w:val="24"/>
              </w:rPr>
            </w:pPr>
            <w:r>
              <w:rPr>
                <w:sz w:val="24"/>
                <w:szCs w:val="24"/>
              </w:rPr>
              <w:t>4</w:t>
            </w:r>
            <w:r w:rsidR="00DC0184" w:rsidRPr="00094CB3">
              <w:rPr>
                <w:sz w:val="24"/>
                <w:szCs w:val="24"/>
              </w:rPr>
              <w:t>.6</w:t>
            </w:r>
          </w:p>
        </w:tc>
      </w:tr>
      <w:tr w:rsidR="00DC0184" w:rsidRPr="00A65366" w14:paraId="785F60EF" w14:textId="77777777" w:rsidTr="00FF6C27">
        <w:trPr>
          <w:cnfStyle w:val="000000100000" w:firstRow="0" w:lastRow="0" w:firstColumn="0" w:lastColumn="0" w:oddVBand="0" w:evenVBand="0" w:oddHBand="1" w:evenHBand="0" w:firstRowFirstColumn="0" w:firstRowLastColumn="0" w:lastRowFirstColumn="0" w:lastRowLastColumn="0"/>
        </w:trPr>
        <w:tc>
          <w:tcPr>
            <w:tcW w:w="2312" w:type="pct"/>
            <w:vMerge/>
          </w:tcPr>
          <w:p w14:paraId="6A84B38B" w14:textId="77777777" w:rsidR="00DC0184" w:rsidRPr="00094CB3" w:rsidRDefault="00DC0184" w:rsidP="00177D02">
            <w:pPr>
              <w:pStyle w:val="CE-StandardText"/>
              <w:rPr>
                <w:sz w:val="24"/>
                <w:szCs w:val="24"/>
              </w:rPr>
            </w:pPr>
          </w:p>
        </w:tc>
        <w:tc>
          <w:tcPr>
            <w:tcW w:w="1944" w:type="pct"/>
          </w:tcPr>
          <w:p w14:paraId="7FE8C8E3" w14:textId="77777777" w:rsidR="00DC0184" w:rsidRPr="00094CB3" w:rsidRDefault="00DC0184" w:rsidP="00177D02">
            <w:pPr>
              <w:pStyle w:val="CE-StandardText"/>
              <w:rPr>
                <w:sz w:val="24"/>
                <w:szCs w:val="24"/>
              </w:rPr>
            </w:pPr>
            <w:r w:rsidRPr="00094CB3">
              <w:rPr>
                <w:sz w:val="24"/>
                <w:szCs w:val="24"/>
              </w:rPr>
              <w:t>zasoby naturalne</w:t>
            </w:r>
          </w:p>
        </w:tc>
        <w:tc>
          <w:tcPr>
            <w:tcW w:w="744" w:type="pct"/>
            <w:vAlign w:val="center"/>
          </w:tcPr>
          <w:p w14:paraId="206FB42A" w14:textId="55248863" w:rsidR="00DC0184" w:rsidRPr="00094CB3" w:rsidRDefault="00B83214" w:rsidP="00177D02">
            <w:pPr>
              <w:pStyle w:val="CE-StandardText"/>
              <w:rPr>
                <w:sz w:val="24"/>
                <w:szCs w:val="24"/>
              </w:rPr>
            </w:pPr>
            <w:r>
              <w:rPr>
                <w:sz w:val="24"/>
                <w:szCs w:val="24"/>
              </w:rPr>
              <w:t>4</w:t>
            </w:r>
            <w:r w:rsidR="00DC0184" w:rsidRPr="00094CB3">
              <w:rPr>
                <w:sz w:val="24"/>
                <w:szCs w:val="24"/>
              </w:rPr>
              <w:t>.7</w:t>
            </w:r>
          </w:p>
        </w:tc>
      </w:tr>
      <w:tr w:rsidR="00DC0184" w:rsidRPr="00A65366" w14:paraId="7D5C3D32" w14:textId="77777777" w:rsidTr="00FF6C27">
        <w:tc>
          <w:tcPr>
            <w:tcW w:w="2312" w:type="pct"/>
            <w:vMerge/>
          </w:tcPr>
          <w:p w14:paraId="7E169B12" w14:textId="77777777" w:rsidR="00DC0184" w:rsidRPr="00094CB3" w:rsidRDefault="00DC0184" w:rsidP="00177D02">
            <w:pPr>
              <w:pStyle w:val="CE-StandardText"/>
              <w:rPr>
                <w:sz w:val="24"/>
                <w:szCs w:val="24"/>
              </w:rPr>
            </w:pPr>
          </w:p>
        </w:tc>
        <w:tc>
          <w:tcPr>
            <w:tcW w:w="1944" w:type="pct"/>
          </w:tcPr>
          <w:p w14:paraId="4447F11B" w14:textId="77777777" w:rsidR="00DC0184" w:rsidRPr="00094CB3" w:rsidRDefault="00DC0184" w:rsidP="00177D02">
            <w:pPr>
              <w:pStyle w:val="CE-StandardText"/>
              <w:rPr>
                <w:sz w:val="24"/>
                <w:szCs w:val="24"/>
              </w:rPr>
            </w:pPr>
            <w:r w:rsidRPr="00094CB3">
              <w:rPr>
                <w:sz w:val="24"/>
                <w:szCs w:val="24"/>
              </w:rPr>
              <w:t>zabytki</w:t>
            </w:r>
          </w:p>
        </w:tc>
        <w:tc>
          <w:tcPr>
            <w:tcW w:w="744" w:type="pct"/>
            <w:vAlign w:val="center"/>
          </w:tcPr>
          <w:p w14:paraId="16F9847C" w14:textId="5A3CAC27" w:rsidR="00DC0184" w:rsidRPr="00094CB3" w:rsidRDefault="00B83214" w:rsidP="00177D02">
            <w:pPr>
              <w:pStyle w:val="CE-StandardText"/>
              <w:rPr>
                <w:sz w:val="24"/>
                <w:szCs w:val="24"/>
              </w:rPr>
            </w:pPr>
            <w:r>
              <w:rPr>
                <w:sz w:val="24"/>
                <w:szCs w:val="24"/>
              </w:rPr>
              <w:t>4</w:t>
            </w:r>
            <w:r w:rsidR="00DC0184" w:rsidRPr="00094CB3">
              <w:rPr>
                <w:sz w:val="24"/>
                <w:szCs w:val="24"/>
              </w:rPr>
              <w:t>.9</w:t>
            </w:r>
          </w:p>
        </w:tc>
      </w:tr>
      <w:tr w:rsidR="00DC0184" w:rsidRPr="00A65366" w14:paraId="22A99E50" w14:textId="77777777" w:rsidTr="00FF6C27">
        <w:trPr>
          <w:cnfStyle w:val="000000100000" w:firstRow="0" w:lastRow="0" w:firstColumn="0" w:lastColumn="0" w:oddVBand="0" w:evenVBand="0" w:oddHBand="1" w:evenHBand="0" w:firstRowFirstColumn="0" w:firstRowLastColumn="0" w:lastRowFirstColumn="0" w:lastRowLastColumn="0"/>
        </w:trPr>
        <w:tc>
          <w:tcPr>
            <w:tcW w:w="2312" w:type="pct"/>
            <w:vMerge/>
          </w:tcPr>
          <w:p w14:paraId="56A49130" w14:textId="77777777" w:rsidR="00DC0184" w:rsidRPr="00094CB3" w:rsidRDefault="00DC0184" w:rsidP="00177D02">
            <w:pPr>
              <w:pStyle w:val="CE-StandardText"/>
              <w:rPr>
                <w:sz w:val="24"/>
                <w:szCs w:val="24"/>
              </w:rPr>
            </w:pPr>
          </w:p>
        </w:tc>
        <w:tc>
          <w:tcPr>
            <w:tcW w:w="1944" w:type="pct"/>
          </w:tcPr>
          <w:p w14:paraId="0262B92E" w14:textId="77777777" w:rsidR="00DC0184" w:rsidRPr="00094CB3" w:rsidRDefault="00DC0184" w:rsidP="00177D02">
            <w:pPr>
              <w:pStyle w:val="CE-StandardText"/>
              <w:rPr>
                <w:sz w:val="24"/>
                <w:szCs w:val="24"/>
              </w:rPr>
            </w:pPr>
            <w:r w:rsidRPr="00094CB3">
              <w:rPr>
                <w:sz w:val="24"/>
                <w:szCs w:val="24"/>
              </w:rPr>
              <w:t>dobra materialne</w:t>
            </w:r>
          </w:p>
        </w:tc>
        <w:tc>
          <w:tcPr>
            <w:tcW w:w="744" w:type="pct"/>
            <w:vAlign w:val="center"/>
          </w:tcPr>
          <w:p w14:paraId="2066CBEA" w14:textId="32EAF17B" w:rsidR="00DC0184" w:rsidRPr="00094CB3" w:rsidRDefault="00B83214" w:rsidP="00177D02">
            <w:pPr>
              <w:pStyle w:val="CE-StandardText"/>
              <w:rPr>
                <w:sz w:val="24"/>
                <w:szCs w:val="24"/>
              </w:rPr>
            </w:pPr>
            <w:r>
              <w:rPr>
                <w:sz w:val="24"/>
                <w:szCs w:val="24"/>
              </w:rPr>
              <w:t>4</w:t>
            </w:r>
            <w:r w:rsidR="00DC0184" w:rsidRPr="00094CB3">
              <w:rPr>
                <w:sz w:val="24"/>
                <w:szCs w:val="24"/>
              </w:rPr>
              <w:t>.9</w:t>
            </w:r>
          </w:p>
        </w:tc>
      </w:tr>
      <w:tr w:rsidR="00DC0184" w:rsidRPr="00A65366" w14:paraId="7C92D20B" w14:textId="77777777" w:rsidTr="00FF6C27">
        <w:tc>
          <w:tcPr>
            <w:tcW w:w="4256" w:type="pct"/>
            <w:gridSpan w:val="2"/>
          </w:tcPr>
          <w:p w14:paraId="602B266C" w14:textId="77777777" w:rsidR="00DC0184" w:rsidRPr="00094CB3" w:rsidRDefault="00DC0184" w:rsidP="00177D02">
            <w:pPr>
              <w:pStyle w:val="CE-StandardText"/>
              <w:rPr>
                <w:sz w:val="24"/>
                <w:szCs w:val="24"/>
              </w:rPr>
            </w:pPr>
            <w:r w:rsidRPr="00094CB3">
              <w:rPr>
                <w:sz w:val="24"/>
                <w:szCs w:val="24"/>
              </w:rPr>
              <w:t xml:space="preserve">Opis rozwiązań mających na celu zapobieganie, ograniczanie lub kompensację przyrodniczą negatywnych oddziaływań na środowisko, mogących być rezultatem realizacji projektowanego dokumentu, w szczególności na cele i przedmiot ochrony obszaru Natura 2000 oraz na integralność tego obszaru, </w:t>
            </w:r>
          </w:p>
        </w:tc>
        <w:tc>
          <w:tcPr>
            <w:tcW w:w="744" w:type="pct"/>
            <w:vAlign w:val="center"/>
          </w:tcPr>
          <w:p w14:paraId="726DE263" w14:textId="69CEF49A" w:rsidR="00DC0184" w:rsidRPr="00094CB3" w:rsidRDefault="00B83214" w:rsidP="00177D02">
            <w:pPr>
              <w:pStyle w:val="CE-StandardText"/>
              <w:rPr>
                <w:sz w:val="24"/>
                <w:szCs w:val="24"/>
              </w:rPr>
            </w:pPr>
            <w:r>
              <w:rPr>
                <w:sz w:val="24"/>
                <w:szCs w:val="24"/>
              </w:rPr>
              <w:t>5</w:t>
            </w:r>
          </w:p>
        </w:tc>
      </w:tr>
      <w:tr w:rsidR="00DC0184" w:rsidRPr="00A65366" w14:paraId="4891DCB0" w14:textId="77777777" w:rsidTr="00FF6C27">
        <w:trPr>
          <w:cnfStyle w:val="000000100000" w:firstRow="0" w:lastRow="0" w:firstColumn="0" w:lastColumn="0" w:oddVBand="0" w:evenVBand="0" w:oddHBand="1" w:evenHBand="0" w:firstRowFirstColumn="0" w:firstRowLastColumn="0" w:lastRowFirstColumn="0" w:lastRowLastColumn="0"/>
        </w:trPr>
        <w:tc>
          <w:tcPr>
            <w:tcW w:w="4256" w:type="pct"/>
            <w:gridSpan w:val="2"/>
          </w:tcPr>
          <w:p w14:paraId="2790E75C" w14:textId="77777777" w:rsidR="00DC0184" w:rsidRPr="00094CB3" w:rsidRDefault="00DC0184" w:rsidP="00177D02">
            <w:pPr>
              <w:pStyle w:val="CE-StandardText"/>
              <w:rPr>
                <w:sz w:val="24"/>
                <w:szCs w:val="24"/>
              </w:rPr>
            </w:pPr>
            <w:r w:rsidRPr="00094CB3">
              <w:rPr>
                <w:sz w:val="24"/>
                <w:szCs w:val="24"/>
              </w:rPr>
              <w:t>Analiza rozwiązań alternatywnych do rozwiązań zawartych w projektowanym dokumencie wraz z uzasadnieniem ich wyboru oraz opis metod dokonanej oceny, prowadzącej do tego wyboru, albo wyjaśnienie braku rozwiązań alternatywnych, w tym wskazania napotkanych trudności, wynikających z niedostatków techniki lub z luk we współczesnej wiedzy.</w:t>
            </w:r>
          </w:p>
        </w:tc>
        <w:tc>
          <w:tcPr>
            <w:tcW w:w="744" w:type="pct"/>
            <w:vAlign w:val="center"/>
          </w:tcPr>
          <w:p w14:paraId="7D087588" w14:textId="3A1DEE9E" w:rsidR="00DC0184" w:rsidRPr="00094CB3" w:rsidRDefault="00B83214" w:rsidP="00177D02">
            <w:pPr>
              <w:pStyle w:val="CE-StandardText"/>
              <w:rPr>
                <w:sz w:val="24"/>
                <w:szCs w:val="24"/>
              </w:rPr>
            </w:pPr>
            <w:r>
              <w:rPr>
                <w:sz w:val="24"/>
                <w:szCs w:val="24"/>
              </w:rPr>
              <w:t>7</w:t>
            </w:r>
          </w:p>
        </w:tc>
      </w:tr>
    </w:tbl>
    <w:p w14:paraId="4C17C8A1" w14:textId="6E5DB80A" w:rsidR="00DC0184" w:rsidRPr="00786CBD" w:rsidRDefault="00DC0184" w:rsidP="00786CBD">
      <w:pPr>
        <w:spacing w:after="0" w:line="240" w:lineRule="auto"/>
        <w:rPr>
          <w:bCs/>
          <w:smallCaps/>
          <w:szCs w:val="22"/>
        </w:rPr>
      </w:pPr>
    </w:p>
    <w:p w14:paraId="358AAC25" w14:textId="77777777" w:rsidR="00786CBD" w:rsidRDefault="00786CBD" w:rsidP="00786CBD">
      <w:pPr>
        <w:spacing w:after="0" w:line="240" w:lineRule="auto"/>
        <w:rPr>
          <w:bCs/>
          <w:smallCaps/>
          <w:szCs w:val="22"/>
        </w:rPr>
        <w:sectPr w:rsidR="00786CBD" w:rsidSect="00057B9A">
          <w:footerReference w:type="first" r:id="rId15"/>
          <w:pgSz w:w="11907" w:h="16839" w:code="9"/>
          <w:pgMar w:top="1417" w:right="1417" w:bottom="1417" w:left="1417" w:header="708" w:footer="708" w:gutter="0"/>
          <w:pgNumType w:fmt="lowerRoman" w:start="1"/>
          <w:cols w:space="708"/>
          <w:titlePg/>
          <w:docGrid w:linePitch="360"/>
        </w:sectPr>
      </w:pPr>
    </w:p>
    <w:p w14:paraId="169F7307" w14:textId="35468F70" w:rsidR="00C17C7F" w:rsidRPr="00C878F4" w:rsidRDefault="00C17C7F" w:rsidP="00C878F4">
      <w:pPr>
        <w:pStyle w:val="Nagwek1"/>
        <w:rPr>
          <w:sz w:val="24"/>
          <w:szCs w:val="20"/>
        </w:rPr>
      </w:pPr>
      <w:bookmarkStart w:id="86" w:name="_Toc99293300"/>
      <w:bookmarkStart w:id="87" w:name="_Toc104790651"/>
      <w:r w:rsidRPr="00C878F4">
        <w:rPr>
          <w:sz w:val="24"/>
          <w:szCs w:val="20"/>
        </w:rPr>
        <w:t xml:space="preserve">Załącznik 2 Analiza spójności priorytetów </w:t>
      </w:r>
      <w:r w:rsidR="00C878F4" w:rsidRPr="00C878F4">
        <w:rPr>
          <w:sz w:val="24"/>
          <w:szCs w:val="20"/>
        </w:rPr>
        <w:t xml:space="preserve">i </w:t>
      </w:r>
      <w:r w:rsidR="0092269C">
        <w:rPr>
          <w:sz w:val="24"/>
          <w:szCs w:val="20"/>
        </w:rPr>
        <w:t>celów</w:t>
      </w:r>
      <w:r w:rsidR="00C878F4" w:rsidRPr="00C878F4">
        <w:rPr>
          <w:sz w:val="24"/>
          <w:szCs w:val="20"/>
        </w:rPr>
        <w:t xml:space="preserve"> szczegółówych </w:t>
      </w:r>
      <w:r w:rsidRPr="00C878F4">
        <w:rPr>
          <w:sz w:val="24"/>
          <w:szCs w:val="20"/>
        </w:rPr>
        <w:t xml:space="preserve">projektu Programu </w:t>
      </w:r>
      <w:r w:rsidR="00D4052B">
        <w:rPr>
          <w:sz w:val="24"/>
          <w:szCs w:val="20"/>
        </w:rPr>
        <w:t>FEPZ</w:t>
      </w:r>
      <w:r w:rsidRPr="00C878F4">
        <w:rPr>
          <w:sz w:val="24"/>
          <w:szCs w:val="20"/>
        </w:rPr>
        <w:t xml:space="preserve"> 2021-2027 z dokumentami strategicznymi i planistycznymi</w:t>
      </w:r>
      <w:bookmarkEnd w:id="86"/>
      <w:bookmarkEnd w:id="87"/>
    </w:p>
    <w:tbl>
      <w:tblPr>
        <w:tblStyle w:val="Tabelasiatki1jasnaakcent11"/>
        <w:tblW w:w="5000" w:type="pct"/>
        <w:tblLayout w:type="fixed"/>
        <w:tblCellMar>
          <w:left w:w="28" w:type="dxa"/>
          <w:right w:w="28" w:type="dxa"/>
        </w:tblCellMar>
        <w:tblLook w:val="04A0" w:firstRow="1" w:lastRow="0" w:firstColumn="1" w:lastColumn="0" w:noHBand="0" w:noVBand="1"/>
      </w:tblPr>
      <w:tblGrid>
        <w:gridCol w:w="3141"/>
        <w:gridCol w:w="6226"/>
        <w:gridCol w:w="588"/>
        <w:gridCol w:w="82"/>
        <w:gridCol w:w="506"/>
        <w:gridCol w:w="166"/>
        <w:gridCol w:w="422"/>
        <w:gridCol w:w="250"/>
        <w:gridCol w:w="337"/>
        <w:gridCol w:w="335"/>
        <w:gridCol w:w="253"/>
        <w:gridCol w:w="419"/>
        <w:gridCol w:w="169"/>
        <w:gridCol w:w="506"/>
        <w:gridCol w:w="90"/>
        <w:gridCol w:w="571"/>
      </w:tblGrid>
      <w:tr w:rsidR="00E127FD" w:rsidRPr="0026051C" w14:paraId="1E4389FB" w14:textId="77777777" w:rsidTr="00E127FD">
        <w:trPr>
          <w:cnfStyle w:val="100000000000" w:firstRow="1" w:lastRow="0" w:firstColumn="0" w:lastColumn="0" w:oddVBand="0" w:evenVBand="0" w:oddHBand="0"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1117" w:type="pct"/>
            <w:vMerge w:val="restart"/>
            <w:vAlign w:val="center"/>
            <w:hideMark/>
          </w:tcPr>
          <w:p w14:paraId="7E0C9A92" w14:textId="77777777" w:rsidR="00C17C7F" w:rsidRPr="0026051C" w:rsidRDefault="00C17C7F" w:rsidP="0026051C">
            <w:pPr>
              <w:spacing w:before="0" w:line="276" w:lineRule="auto"/>
              <w:jc w:val="center"/>
              <w:rPr>
                <w:rFonts w:eastAsia="Times New Roman" w:cstheme="minorHAnsi"/>
                <w:b w:val="0"/>
                <w:bCs w:val="0"/>
                <w:i/>
                <w:iCs/>
                <w:color w:val="000000"/>
                <w:szCs w:val="24"/>
                <w:lang w:eastAsia="pl-PL"/>
              </w:rPr>
            </w:pPr>
            <w:r w:rsidRPr="0026051C">
              <w:rPr>
                <w:rFonts w:eastAsia="Times New Roman" w:cstheme="minorHAnsi"/>
                <w:color w:val="000000"/>
                <w:szCs w:val="24"/>
                <w:lang w:eastAsia="pl-PL"/>
              </w:rPr>
              <w:t>Dokument</w:t>
            </w:r>
          </w:p>
        </w:tc>
        <w:tc>
          <w:tcPr>
            <w:tcW w:w="2214" w:type="pct"/>
            <w:vMerge w:val="restart"/>
            <w:vAlign w:val="center"/>
            <w:hideMark/>
          </w:tcPr>
          <w:p w14:paraId="4492DABC" w14:textId="77777777" w:rsidR="00C17C7F" w:rsidRPr="0026051C" w:rsidRDefault="00C17C7F" w:rsidP="0026051C">
            <w:pPr>
              <w:spacing w:before="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Cs w:val="24"/>
                <w:lang w:eastAsia="pl-PL"/>
              </w:rPr>
            </w:pPr>
            <w:r w:rsidRPr="0026051C">
              <w:rPr>
                <w:rFonts w:eastAsia="Times New Roman" w:cstheme="minorHAnsi"/>
                <w:color w:val="000000"/>
                <w:szCs w:val="24"/>
                <w:lang w:eastAsia="pl-PL"/>
              </w:rPr>
              <w:t>Cele dokumentu</w:t>
            </w:r>
          </w:p>
          <w:p w14:paraId="50DE3656" w14:textId="77777777" w:rsidR="00C17C7F" w:rsidRPr="0026051C" w:rsidRDefault="00C17C7F" w:rsidP="0026051C">
            <w:pPr>
              <w:spacing w:before="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1669" w:type="pct"/>
            <w:gridSpan w:val="14"/>
            <w:hideMark/>
          </w:tcPr>
          <w:p w14:paraId="77D76B7D" w14:textId="79517D8C" w:rsidR="00C17C7F" w:rsidRPr="0026051C" w:rsidRDefault="00C17C7F" w:rsidP="0026051C">
            <w:pPr>
              <w:spacing w:before="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26051C">
              <w:rPr>
                <w:rFonts w:eastAsia="Times New Roman" w:cstheme="minorHAnsi"/>
                <w:color w:val="000000"/>
                <w:szCs w:val="24"/>
                <w:lang w:eastAsia="pl-PL"/>
              </w:rPr>
              <w:t xml:space="preserve">Priorytety </w:t>
            </w:r>
            <w:r w:rsidR="00D4052B">
              <w:rPr>
                <w:rFonts w:eastAsia="Times New Roman" w:cstheme="minorHAnsi"/>
                <w:color w:val="000000"/>
                <w:szCs w:val="24"/>
                <w:lang w:eastAsia="pl-PL"/>
              </w:rPr>
              <w:t>FEPZ</w:t>
            </w:r>
            <w:r w:rsidRPr="0026051C">
              <w:rPr>
                <w:rFonts w:eastAsia="Times New Roman" w:cstheme="minorHAnsi"/>
                <w:color w:val="000000"/>
                <w:szCs w:val="24"/>
                <w:lang w:eastAsia="pl-PL"/>
              </w:rPr>
              <w:t xml:space="preserve"> 2021-2027 z wyłączeniem Pomocy technicznej</w:t>
            </w:r>
          </w:p>
        </w:tc>
      </w:tr>
      <w:tr w:rsidR="008D2A1E" w:rsidRPr="0026051C" w14:paraId="584C377C" w14:textId="77777777" w:rsidTr="008D2A1E">
        <w:trPr>
          <w:trHeight w:val="5046"/>
        </w:trPr>
        <w:tc>
          <w:tcPr>
            <w:cnfStyle w:val="001000000000" w:firstRow="0" w:lastRow="0" w:firstColumn="1" w:lastColumn="0" w:oddVBand="0" w:evenVBand="0" w:oddHBand="0" w:evenHBand="0" w:firstRowFirstColumn="0" w:firstRowLastColumn="0" w:lastRowFirstColumn="0" w:lastRowLastColumn="0"/>
            <w:tcW w:w="1117" w:type="pct"/>
            <w:vMerge/>
            <w:hideMark/>
          </w:tcPr>
          <w:p w14:paraId="2011277F" w14:textId="77777777" w:rsidR="003B0816" w:rsidRPr="0026051C" w:rsidRDefault="003B0816" w:rsidP="0026051C">
            <w:pPr>
              <w:spacing w:before="0" w:line="276" w:lineRule="auto"/>
              <w:rPr>
                <w:rFonts w:eastAsia="Times New Roman" w:cstheme="minorHAnsi"/>
                <w:b w:val="0"/>
                <w:bCs w:val="0"/>
                <w:color w:val="000000"/>
                <w:szCs w:val="24"/>
                <w:lang w:eastAsia="pl-PL"/>
              </w:rPr>
            </w:pPr>
          </w:p>
        </w:tc>
        <w:tc>
          <w:tcPr>
            <w:tcW w:w="2214" w:type="pct"/>
            <w:vMerge/>
            <w:hideMark/>
          </w:tcPr>
          <w:p w14:paraId="4D24E749" w14:textId="77777777" w:rsidR="003B0816" w:rsidRPr="0026051C" w:rsidRDefault="003B081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Cs w:val="24"/>
                <w:lang w:eastAsia="pl-PL"/>
              </w:rPr>
            </w:pPr>
          </w:p>
        </w:tc>
        <w:tc>
          <w:tcPr>
            <w:tcW w:w="238" w:type="pct"/>
            <w:gridSpan w:val="2"/>
            <w:textDirection w:val="btLr"/>
            <w:hideMark/>
          </w:tcPr>
          <w:p w14:paraId="1BC9C58C" w14:textId="3732EB6C" w:rsidR="003B0816" w:rsidRPr="0026051C"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724D30">
              <w:rPr>
                <w:rFonts w:eastAsia="Times New Roman" w:cstheme="minorHAnsi"/>
                <w:color w:val="000000"/>
                <w:szCs w:val="24"/>
                <w:lang w:eastAsia="pl-PL"/>
              </w:rPr>
              <w:t>Fundusze Europejskie na rzecz przedsiębiorczego Pomorza Zachodniego</w:t>
            </w:r>
          </w:p>
        </w:tc>
        <w:tc>
          <w:tcPr>
            <w:tcW w:w="239" w:type="pct"/>
            <w:gridSpan w:val="2"/>
            <w:textDirection w:val="btLr"/>
            <w:hideMark/>
          </w:tcPr>
          <w:p w14:paraId="26AC4029" w14:textId="060A6D99" w:rsidR="003B0816" w:rsidRPr="0026051C"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4F5016">
              <w:rPr>
                <w:rFonts w:eastAsia="Times New Roman" w:cstheme="minorHAnsi"/>
                <w:color w:val="000000"/>
                <w:szCs w:val="24"/>
                <w:lang w:eastAsia="pl-PL"/>
              </w:rPr>
              <w:t>Fundusze Europejskie na rzecz zielonego Pomorza Zachodniego</w:t>
            </w:r>
          </w:p>
        </w:tc>
        <w:tc>
          <w:tcPr>
            <w:tcW w:w="239" w:type="pct"/>
            <w:gridSpan w:val="2"/>
            <w:textDirection w:val="btLr"/>
            <w:hideMark/>
          </w:tcPr>
          <w:p w14:paraId="3926367E" w14:textId="3562715F" w:rsidR="003B0816" w:rsidRPr="0026051C"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C8599D">
              <w:rPr>
                <w:rFonts w:eastAsia="Times New Roman" w:cstheme="minorHAnsi"/>
                <w:color w:val="000000"/>
                <w:szCs w:val="24"/>
                <w:lang w:eastAsia="pl-PL"/>
              </w:rPr>
              <w:t>Fundusze Europejskie na rzecz mobilnego Pomorza Zachodniego</w:t>
            </w:r>
          </w:p>
        </w:tc>
        <w:tc>
          <w:tcPr>
            <w:tcW w:w="239" w:type="pct"/>
            <w:gridSpan w:val="2"/>
            <w:textDirection w:val="btLr"/>
            <w:hideMark/>
          </w:tcPr>
          <w:p w14:paraId="0A055233" w14:textId="12514103" w:rsidR="003B0816" w:rsidRPr="0026051C"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C10D72">
              <w:rPr>
                <w:rFonts w:eastAsia="Times New Roman" w:cstheme="minorHAnsi"/>
                <w:color w:val="000000"/>
                <w:szCs w:val="24"/>
                <w:lang w:eastAsia="pl-PL"/>
              </w:rPr>
              <w:t>Fundusze Europejskie na rzecz połączonego Pomorza Zachodniego</w:t>
            </w:r>
          </w:p>
        </w:tc>
        <w:tc>
          <w:tcPr>
            <w:tcW w:w="239" w:type="pct"/>
            <w:gridSpan w:val="2"/>
            <w:textDirection w:val="btLr"/>
            <w:hideMark/>
          </w:tcPr>
          <w:p w14:paraId="092F1A84" w14:textId="1E7D2B38" w:rsidR="003B0816" w:rsidRPr="0026051C"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E10042">
              <w:rPr>
                <w:rFonts w:eastAsia="Times New Roman" w:cstheme="minorHAnsi"/>
                <w:color w:val="000000"/>
                <w:szCs w:val="24"/>
                <w:lang w:eastAsia="pl-PL"/>
              </w:rPr>
              <w:t>Fundusze Europejskie na rzecz przyjaznego mieszkankom i mieszkańcom Pomorza Zachodniego</w:t>
            </w:r>
          </w:p>
        </w:tc>
        <w:tc>
          <w:tcPr>
            <w:tcW w:w="240" w:type="pct"/>
            <w:gridSpan w:val="2"/>
            <w:textDirection w:val="btLr"/>
          </w:tcPr>
          <w:p w14:paraId="6F18DEF7" w14:textId="2D0AE2DE" w:rsidR="003B0816" w:rsidRPr="0026051C"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22532D">
              <w:rPr>
                <w:rFonts w:eastAsia="Times New Roman" w:cstheme="minorHAnsi"/>
                <w:color w:val="000000"/>
                <w:szCs w:val="24"/>
                <w:lang w:eastAsia="pl-PL"/>
              </w:rPr>
              <w:t>Fundusze Europejskie na rzecz aktywnego Pomorza Zachodniego</w:t>
            </w:r>
          </w:p>
        </w:tc>
        <w:tc>
          <w:tcPr>
            <w:tcW w:w="235" w:type="pct"/>
            <w:gridSpan w:val="2"/>
            <w:textDirection w:val="btLr"/>
          </w:tcPr>
          <w:p w14:paraId="1FAD596C" w14:textId="3598FCFB" w:rsidR="003B0816" w:rsidRPr="0026051C"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3B0816">
              <w:rPr>
                <w:rFonts w:eastAsia="Times New Roman" w:cstheme="minorHAnsi"/>
                <w:color w:val="000000"/>
                <w:szCs w:val="24"/>
                <w:lang w:eastAsia="pl-PL"/>
              </w:rPr>
              <w:t>Fundusze Europejskie na rzecz partnerskiego Pomorza Zachodniego</w:t>
            </w:r>
          </w:p>
        </w:tc>
      </w:tr>
      <w:tr w:rsidR="00C17C7F" w:rsidRPr="0026051C" w14:paraId="42C46B1A" w14:textId="77777777" w:rsidTr="008D2A1E">
        <w:trPr>
          <w:trHeight w:val="276"/>
        </w:trPr>
        <w:tc>
          <w:tcPr>
            <w:cnfStyle w:val="001000000000" w:firstRow="0" w:lastRow="0" w:firstColumn="1" w:lastColumn="0" w:oddVBand="0" w:evenVBand="0" w:oddHBand="0" w:evenHBand="0" w:firstRowFirstColumn="0" w:firstRowLastColumn="0" w:lastRowFirstColumn="0" w:lastRowLastColumn="0"/>
            <w:tcW w:w="5000" w:type="pct"/>
            <w:gridSpan w:val="16"/>
          </w:tcPr>
          <w:p w14:paraId="7EF9732C" w14:textId="77777777" w:rsidR="00C17C7F" w:rsidRPr="00FF2DDD" w:rsidRDefault="00C17C7F" w:rsidP="0026051C">
            <w:pPr>
              <w:spacing w:before="0" w:line="276" w:lineRule="auto"/>
              <w:jc w:val="center"/>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Dokumenty strategiczne szczebla międzynarodowego i unijnego</w:t>
            </w:r>
          </w:p>
        </w:tc>
      </w:tr>
      <w:tr w:rsidR="00645FED" w:rsidRPr="0026051C" w14:paraId="41AA68F4" w14:textId="77777777" w:rsidTr="008D2A1E">
        <w:trPr>
          <w:trHeight w:val="510"/>
        </w:trPr>
        <w:tc>
          <w:tcPr>
            <w:cnfStyle w:val="001000000000" w:firstRow="0" w:lastRow="0" w:firstColumn="1" w:lastColumn="0" w:oddVBand="0" w:evenVBand="0" w:oddHBand="0" w:evenHBand="0" w:firstRowFirstColumn="0" w:firstRowLastColumn="0" w:lastRowFirstColumn="0" w:lastRowLastColumn="0"/>
            <w:tcW w:w="1117" w:type="pct"/>
            <w:hideMark/>
          </w:tcPr>
          <w:p w14:paraId="044D91B3" w14:textId="77777777" w:rsidR="00645FED" w:rsidRPr="00FF2DDD" w:rsidRDefault="00645FE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 xml:space="preserve">Rezolucja przyjęta przez Zgromadzenie Ogólne w dniu 25 września 2015 r. 70/1. Przekształcamy nasz świat: Agenda na rzecz zrównoważonego rozwoju 2030 </w:t>
            </w:r>
          </w:p>
        </w:tc>
        <w:tc>
          <w:tcPr>
            <w:tcW w:w="2214" w:type="pct"/>
            <w:hideMark/>
          </w:tcPr>
          <w:p w14:paraId="2EDB3DEB" w14:textId="77777777" w:rsidR="00645FED" w:rsidRPr="00FF2DDD" w:rsidRDefault="00645FE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 xml:space="preserve">Dokument określa cele rozwojowe do 2030 r. Wśród celów należy zwrócić uwagę na: Cel 6. Zapewnić wszystkim ludziom dostęp do wody i warunków sanitarnych poprzez zrównoważoną gospodarkę zasobami wodnymi, Cel 7. Zapewnić wszystkim dostęp do stabilnej, zrównoważonej i nowoczesnej energii po przystępnej cenie, Cel 9. Budować stabilną infrastrukturę, promować zrównoważone uprzemysłowienie oraz wspierać innowacyjność, Cel 11. Uczynić miasta i osiedla ludzkie bezpiecznymi, stabilnymi, zrównoważonymi oraz sprzyjającymi włączeniu społecznemu, Cel 13. Podjąć pilne działania w celu przeciwdziałania zmianom klimatu i ich skutkom, Cel 15. Chronić, przywrócić oraz promować zrównoważone użytkowanie ekosystemów oraz powstrzymać utratę różnorodności biologicznej. </w:t>
            </w:r>
          </w:p>
        </w:tc>
        <w:tc>
          <w:tcPr>
            <w:tcW w:w="238" w:type="pct"/>
            <w:gridSpan w:val="2"/>
            <w:noWrap/>
            <w:hideMark/>
          </w:tcPr>
          <w:p w14:paraId="2BE33B8F"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770B8F6"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A74914E"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4F7324D"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A51B36D"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3B5D3563"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08EB3059" w14:textId="6EBDDE43"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AC5850" w:rsidRPr="0026051C" w14:paraId="09F807F8" w14:textId="77777777" w:rsidTr="008D2A1E">
        <w:trPr>
          <w:trHeight w:val="720"/>
        </w:trPr>
        <w:tc>
          <w:tcPr>
            <w:cnfStyle w:val="001000000000" w:firstRow="0" w:lastRow="0" w:firstColumn="1" w:lastColumn="0" w:oddVBand="0" w:evenVBand="0" w:oddHBand="0" w:evenHBand="0" w:firstRowFirstColumn="0" w:firstRowLastColumn="0" w:lastRowFirstColumn="0" w:lastRowLastColumn="0"/>
            <w:tcW w:w="1117" w:type="pct"/>
            <w:hideMark/>
          </w:tcPr>
          <w:p w14:paraId="41891FF7" w14:textId="77777777" w:rsidR="00AC5850" w:rsidRPr="00FF2DDD" w:rsidRDefault="00AC5850"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 xml:space="preserve">Ramowa konwencja Narodów Zjednoczonych w sprawie zmian klimatu </w:t>
            </w:r>
          </w:p>
        </w:tc>
        <w:tc>
          <w:tcPr>
            <w:tcW w:w="2214" w:type="pct"/>
            <w:hideMark/>
          </w:tcPr>
          <w:p w14:paraId="449C0E49" w14:textId="77777777" w:rsidR="00AC5850" w:rsidRPr="00FF2DDD" w:rsidRDefault="00AC5850"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Głównym celem Konwencji jest doprowadzenie, do ustabilizowania koncentracji gazów cieplarnianych w atmosferze na poziomie, który zapobiegłby niebezpiecznej, antropogenicznej ingerencji w system klimatyczny. Dla uniknięcia zagrożenia produkcji żywności i dla umożliwienia zrównoważonego rozwoju ekonomicznego, poziom taki powinien być osiągnięty w okresie wystarczającym do naturalnej adaptacji ekosystemów do zmian klimatu.</w:t>
            </w:r>
          </w:p>
        </w:tc>
        <w:tc>
          <w:tcPr>
            <w:tcW w:w="238" w:type="pct"/>
            <w:gridSpan w:val="2"/>
            <w:noWrap/>
            <w:hideMark/>
          </w:tcPr>
          <w:p w14:paraId="31DCF245"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0446FC30"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2457CFA"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ED85DDC"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D958EFF"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2D9BB0D1"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17ED6994" w14:textId="34734E2A"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AC5850" w:rsidRPr="0026051C" w14:paraId="3D224ED3" w14:textId="77777777" w:rsidTr="008D2A1E">
        <w:trPr>
          <w:trHeight w:val="720"/>
        </w:trPr>
        <w:tc>
          <w:tcPr>
            <w:cnfStyle w:val="001000000000" w:firstRow="0" w:lastRow="0" w:firstColumn="1" w:lastColumn="0" w:oddVBand="0" w:evenVBand="0" w:oddHBand="0" w:evenHBand="0" w:firstRowFirstColumn="0" w:firstRowLastColumn="0" w:lastRowFirstColumn="0" w:lastRowLastColumn="0"/>
            <w:tcW w:w="1117" w:type="pct"/>
            <w:hideMark/>
          </w:tcPr>
          <w:p w14:paraId="0B566739" w14:textId="77777777" w:rsidR="00AC5850" w:rsidRPr="00FF2DDD" w:rsidRDefault="00AC5850"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Porozumienie Paryskie</w:t>
            </w:r>
          </w:p>
        </w:tc>
        <w:tc>
          <w:tcPr>
            <w:tcW w:w="2214" w:type="pct"/>
            <w:hideMark/>
          </w:tcPr>
          <w:p w14:paraId="0CC2BD0B" w14:textId="5F07E8C2" w:rsidR="00AC5850" w:rsidRPr="00FF2DDD" w:rsidRDefault="00AC5850"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Głównym celem jest ograniczenie wzrostu średniej temperatury globalnej do poziomu znacznie niższego niż 2 °C powyżej poziomu przedindustrialnego oraz podejmowanie wysiłków mających na celu ograniczenie wzrostu temperatury do 1,5 °C powyżej poziomu przedindustrialnego, uznając, że to znacząco zmniejszy ryzyka związane ze zmianami klimatu i ich skutki</w:t>
            </w:r>
            <w:r>
              <w:rPr>
                <w:rFonts w:eastAsia="Times New Roman" w:cstheme="minorHAnsi"/>
                <w:color w:val="000000"/>
                <w:szCs w:val="24"/>
                <w:lang w:eastAsia="pl-PL"/>
              </w:rPr>
              <w:t>.</w:t>
            </w:r>
          </w:p>
        </w:tc>
        <w:tc>
          <w:tcPr>
            <w:tcW w:w="238" w:type="pct"/>
            <w:gridSpan w:val="2"/>
            <w:noWrap/>
            <w:hideMark/>
          </w:tcPr>
          <w:p w14:paraId="25DAFF7A"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5D87B2CD"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9E34740"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F3147DA"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09E5BBA"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5631A6C4"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6DB7BEDE" w14:textId="468A7DF2"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AC5850" w:rsidRPr="0026051C" w14:paraId="26298B95" w14:textId="77777777" w:rsidTr="008D2A1E">
        <w:trPr>
          <w:trHeight w:val="720"/>
        </w:trPr>
        <w:tc>
          <w:tcPr>
            <w:cnfStyle w:val="001000000000" w:firstRow="0" w:lastRow="0" w:firstColumn="1" w:lastColumn="0" w:oddVBand="0" w:evenVBand="0" w:oddHBand="0" w:evenHBand="0" w:firstRowFirstColumn="0" w:firstRowLastColumn="0" w:lastRowFirstColumn="0" w:lastRowLastColumn="0"/>
            <w:tcW w:w="1117" w:type="pct"/>
            <w:hideMark/>
          </w:tcPr>
          <w:p w14:paraId="6836B803" w14:textId="77777777" w:rsidR="00AC5850" w:rsidRPr="00FF2DDD" w:rsidRDefault="00AC5850"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 xml:space="preserve">Konwencja o różnorodności biologicznej </w:t>
            </w:r>
          </w:p>
        </w:tc>
        <w:tc>
          <w:tcPr>
            <w:tcW w:w="2214" w:type="pct"/>
            <w:hideMark/>
          </w:tcPr>
          <w:p w14:paraId="163E303F" w14:textId="77777777" w:rsidR="00AC5850" w:rsidRPr="00FF2DDD" w:rsidRDefault="00AC5850"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Celami konwencji są: ochrona różnorodności biologicznej, zrównoważone użytkowanie jej elementów oraz uczciwy i sprawiedliwy podział korzyści, wynikających z wykorzystywania zasobów genetycznych, w tym przez odpowiedni dostęp do zasobów genetycznych i transfer właściwych technologii, z uwzględnieniem wszystkich praw do tych zasobów i technologii, a także odpowiednie finansowanie ochrony różnorodności biologicznej.</w:t>
            </w:r>
          </w:p>
        </w:tc>
        <w:tc>
          <w:tcPr>
            <w:tcW w:w="238" w:type="pct"/>
            <w:gridSpan w:val="2"/>
            <w:noWrap/>
            <w:hideMark/>
          </w:tcPr>
          <w:p w14:paraId="6ACD9C9A"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CFDB73B"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C6B32DD"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178B3FCC"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541B4415"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350FC4B4"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687330F1"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AC5850" w:rsidRPr="0026051C" w14:paraId="39A45FF4" w14:textId="77777777" w:rsidTr="008D2A1E">
        <w:trPr>
          <w:trHeight w:val="720"/>
        </w:trPr>
        <w:tc>
          <w:tcPr>
            <w:cnfStyle w:val="001000000000" w:firstRow="0" w:lastRow="0" w:firstColumn="1" w:lastColumn="0" w:oddVBand="0" w:evenVBand="0" w:oddHBand="0" w:evenHBand="0" w:firstRowFirstColumn="0" w:firstRowLastColumn="0" w:lastRowFirstColumn="0" w:lastRowLastColumn="0"/>
            <w:tcW w:w="1117" w:type="pct"/>
            <w:hideMark/>
          </w:tcPr>
          <w:p w14:paraId="22DC9A8A" w14:textId="77777777" w:rsidR="00AC5850" w:rsidRPr="00FF2DDD" w:rsidRDefault="00AC5850"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 xml:space="preserve">Europejska konwencja krajobrazowa </w:t>
            </w:r>
          </w:p>
        </w:tc>
        <w:tc>
          <w:tcPr>
            <w:tcW w:w="2214" w:type="pct"/>
            <w:hideMark/>
          </w:tcPr>
          <w:p w14:paraId="04215795" w14:textId="77777777" w:rsidR="00AC5850" w:rsidRPr="00FF2DDD" w:rsidRDefault="00AC5850"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 xml:space="preserve">Celami konwencji są: promowanie ochrony, gospodarki i planowania krajobrazu, a także organizowanie współpracy europejskiej w zakresie zagadnień dotyczących krajobrazu. Strony konwencji zobowiązały się wdrożyć jej postanowienia zgodnie z ich zasadami konstytucyjnymi i organizacją administracyjną oraz poszanowaniem zasady subsydiarności, przy uwzględnieniu Europejskiej Karty Samorządu Lokalnego oraz zharmonizować jej wdrażanie z polityką. </w:t>
            </w:r>
          </w:p>
        </w:tc>
        <w:tc>
          <w:tcPr>
            <w:tcW w:w="238" w:type="pct"/>
            <w:gridSpan w:val="2"/>
            <w:noWrap/>
            <w:hideMark/>
          </w:tcPr>
          <w:p w14:paraId="0E29B27E"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0B14A90"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C865864"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8F9EBB1"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6D3A657"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50A1248E"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2CA46430" w14:textId="4A0E7AD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AC5850" w:rsidRPr="0026051C" w14:paraId="40F56339" w14:textId="77777777" w:rsidTr="008D2A1E">
        <w:trPr>
          <w:trHeight w:val="768"/>
        </w:trPr>
        <w:tc>
          <w:tcPr>
            <w:cnfStyle w:val="001000000000" w:firstRow="0" w:lastRow="0" w:firstColumn="1" w:lastColumn="0" w:oddVBand="0" w:evenVBand="0" w:oddHBand="0" w:evenHBand="0" w:firstRowFirstColumn="0" w:firstRowLastColumn="0" w:lastRowFirstColumn="0" w:lastRowLastColumn="0"/>
            <w:tcW w:w="1117" w:type="pct"/>
            <w:hideMark/>
          </w:tcPr>
          <w:p w14:paraId="7201D74C" w14:textId="77777777" w:rsidR="00AC5850" w:rsidRPr="00FF2DDD" w:rsidRDefault="00AC5850"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 xml:space="preserve">Konwencja w sprawie transgranicznego zanieczyszczania powietrza na dalekie odległości LRTAP </w:t>
            </w:r>
          </w:p>
        </w:tc>
        <w:tc>
          <w:tcPr>
            <w:tcW w:w="2214" w:type="pct"/>
            <w:hideMark/>
          </w:tcPr>
          <w:p w14:paraId="4BAD7FA3" w14:textId="77777777" w:rsidR="00AC5850" w:rsidRPr="00FF2DDD" w:rsidRDefault="00AC5850"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Priorytetami konwencji do 2020 r. są: ograniczenie emisji zanieczyszczeń powietrza z punktu widzenia wpływu na zdrowie (szczególnie w zakresie pyłów PM</w:t>
            </w:r>
            <w:r w:rsidRPr="00FF2DDD">
              <w:rPr>
                <w:rFonts w:eastAsia="Times New Roman" w:cstheme="minorHAnsi"/>
                <w:color w:val="000000"/>
                <w:szCs w:val="24"/>
                <w:vertAlign w:val="subscript"/>
                <w:lang w:eastAsia="pl-PL"/>
              </w:rPr>
              <w:t>2,5</w:t>
            </w:r>
            <w:r w:rsidRPr="00FF2DDD">
              <w:rPr>
                <w:rFonts w:eastAsia="Times New Roman" w:cstheme="minorHAnsi"/>
                <w:color w:val="000000"/>
                <w:szCs w:val="24"/>
                <w:lang w:eastAsia="pl-PL"/>
              </w:rPr>
              <w:t xml:space="preserve">), zwiększenie znaczenia monitoringu przy ocenie wywiązywania się państw z przyjętych zobowiązań w zakresie redukcji emisji zanieczyszczeń i poprawy jakości powietrza oraz zwiększenie znaczenia ocen zintegrowanych z punktu widzenia wpływu na ekosystemy. </w:t>
            </w:r>
          </w:p>
        </w:tc>
        <w:tc>
          <w:tcPr>
            <w:tcW w:w="238" w:type="pct"/>
            <w:gridSpan w:val="2"/>
            <w:noWrap/>
            <w:hideMark/>
          </w:tcPr>
          <w:p w14:paraId="5A0661F6"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1E8FABA"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1E77BAD"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88067F9"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121AA48"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038E3213"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51944A5B" w14:textId="288B605A"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AC5850" w:rsidRPr="0026051C" w14:paraId="6360133D" w14:textId="77777777" w:rsidTr="008D2A1E">
        <w:trPr>
          <w:trHeight w:val="2640"/>
        </w:trPr>
        <w:tc>
          <w:tcPr>
            <w:cnfStyle w:val="001000000000" w:firstRow="0" w:lastRow="0" w:firstColumn="1" w:lastColumn="0" w:oddVBand="0" w:evenVBand="0" w:oddHBand="0" w:evenHBand="0" w:firstRowFirstColumn="0" w:firstRowLastColumn="0" w:lastRowFirstColumn="0" w:lastRowLastColumn="0"/>
            <w:tcW w:w="1117" w:type="pct"/>
            <w:hideMark/>
          </w:tcPr>
          <w:p w14:paraId="20EC4D3D" w14:textId="77777777" w:rsidR="00AC5850" w:rsidRPr="00FF2DDD" w:rsidRDefault="00AC5850"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Komunikat Komisji do Parlamentu Europejskiego, Rady, Europejskiego Komitetu Ekonomiczno-Społecznego i Komitetu Regionów Europejski zielony ład (COM(2019) 640 final)</w:t>
            </w:r>
          </w:p>
        </w:tc>
        <w:tc>
          <w:tcPr>
            <w:tcW w:w="2214" w:type="pct"/>
            <w:hideMark/>
          </w:tcPr>
          <w:p w14:paraId="245BD43C" w14:textId="77777777" w:rsidR="00AC5850" w:rsidRPr="00FF2DDD" w:rsidRDefault="00AC5850"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 xml:space="preserve">Jest to nowa strategia na rzecz wzrostu, której celem jest przekształcenie UE w sprawiedliwe i prosperujące społeczeństwo żyjące w nowoczesnej, zasobooszczędnej i konkurencyjnej gospodarce, która w 2050 r. osiągnie zerowy poziom emisji gazów cieplarnianych netto i w ramach której wzrost gospodarczy będzie oddzielony od wykorzystania zasobów naturalnych. Zawiera m. in. następujące elementy: </w:t>
            </w:r>
            <w:r w:rsidRPr="00FF2DDD">
              <w:rPr>
                <w:rFonts w:eastAsia="Times New Roman" w:cstheme="minorHAnsi"/>
                <w:color w:val="000000"/>
                <w:szCs w:val="24"/>
                <w:lang w:eastAsia="pl-PL"/>
              </w:rPr>
              <w:br/>
              <w:t xml:space="preserve">- bardziej ambitne cele klimatyczne UE na lata 2030 (50-55% redukcji GHG w stosunku do 1990 r.) i 2050 (neutralność klimatyczna); </w:t>
            </w:r>
            <w:r w:rsidRPr="00FF2DDD">
              <w:rPr>
                <w:rFonts w:eastAsia="Times New Roman" w:cstheme="minorHAnsi"/>
                <w:color w:val="000000"/>
                <w:szCs w:val="24"/>
                <w:lang w:eastAsia="pl-PL"/>
              </w:rPr>
              <w:br/>
              <w:t xml:space="preserve">- dostarczenie czystej, dostępnej cenowo energii; </w:t>
            </w:r>
            <w:r w:rsidRPr="00FF2DDD">
              <w:rPr>
                <w:rFonts w:eastAsia="Times New Roman" w:cstheme="minorHAnsi"/>
                <w:color w:val="000000"/>
                <w:szCs w:val="24"/>
                <w:lang w:eastAsia="pl-PL"/>
              </w:rPr>
              <w:br/>
              <w:t xml:space="preserve">- zmobilizowanie sektora przemysłu do czystej i o obiegu zamkniętym gospodarki; </w:t>
            </w:r>
            <w:r w:rsidRPr="00FF2DDD">
              <w:rPr>
                <w:rFonts w:eastAsia="Times New Roman" w:cstheme="minorHAnsi"/>
                <w:color w:val="000000"/>
                <w:szCs w:val="24"/>
                <w:lang w:eastAsia="pl-PL"/>
              </w:rPr>
              <w:br/>
              <w:t xml:space="preserve">- budowanie i remontowanie w sposób oszczędzający energie i zasoby; </w:t>
            </w:r>
            <w:r w:rsidRPr="00FF2DDD">
              <w:rPr>
                <w:rFonts w:eastAsia="Times New Roman" w:cstheme="minorHAnsi"/>
                <w:color w:val="000000"/>
                <w:szCs w:val="24"/>
                <w:lang w:eastAsia="pl-PL"/>
              </w:rPr>
              <w:br/>
              <w:t xml:space="preserve">- zerowy poziom emisji zanieczyszczeń; </w:t>
            </w:r>
            <w:r w:rsidRPr="00FF2DDD">
              <w:rPr>
                <w:rFonts w:eastAsia="Times New Roman" w:cstheme="minorHAnsi"/>
                <w:color w:val="000000"/>
                <w:szCs w:val="24"/>
                <w:lang w:eastAsia="pl-PL"/>
              </w:rPr>
              <w:br/>
              <w:t>- ochrona i odbudowa ekosystemów i różnorodności biologicznej;</w:t>
            </w:r>
            <w:r w:rsidRPr="00FF2DDD">
              <w:rPr>
                <w:rFonts w:eastAsia="Times New Roman" w:cstheme="minorHAnsi"/>
                <w:color w:val="000000"/>
                <w:szCs w:val="24"/>
                <w:lang w:eastAsia="pl-PL"/>
              </w:rPr>
              <w:br/>
              <w:t xml:space="preserve">- "Od pola do stołu" zdrowy i przyjazny środowisku system żywnościowy; </w:t>
            </w:r>
            <w:r w:rsidRPr="00FF2DDD">
              <w:rPr>
                <w:rFonts w:eastAsia="Times New Roman" w:cstheme="minorHAnsi"/>
                <w:color w:val="000000"/>
                <w:szCs w:val="24"/>
                <w:lang w:eastAsia="pl-PL"/>
              </w:rPr>
              <w:br/>
              <w:t>- przyspieszenie przejścia na zrównoważoną i inteligentną mobilność.</w:t>
            </w:r>
          </w:p>
        </w:tc>
        <w:tc>
          <w:tcPr>
            <w:tcW w:w="238" w:type="pct"/>
            <w:gridSpan w:val="2"/>
            <w:noWrap/>
            <w:hideMark/>
          </w:tcPr>
          <w:p w14:paraId="71E9C8AD"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0C48E9B"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F9FB097"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C467A5B"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6D0C54F"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322E2FC8" w14:textId="77777777"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634EDC23" w14:textId="1AEF00B8" w:rsidR="00AC5850" w:rsidRPr="00FF2DDD" w:rsidRDefault="00AC5850"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656096" w:rsidRPr="0026051C" w14:paraId="6D254DDB" w14:textId="77777777" w:rsidTr="008D2A1E">
        <w:trPr>
          <w:trHeight w:val="907"/>
        </w:trPr>
        <w:tc>
          <w:tcPr>
            <w:cnfStyle w:val="001000000000" w:firstRow="0" w:lastRow="0" w:firstColumn="1" w:lastColumn="0" w:oddVBand="0" w:evenVBand="0" w:oddHBand="0" w:evenHBand="0" w:firstRowFirstColumn="0" w:firstRowLastColumn="0" w:lastRowFirstColumn="0" w:lastRowLastColumn="0"/>
            <w:tcW w:w="1117" w:type="pct"/>
            <w:hideMark/>
          </w:tcPr>
          <w:p w14:paraId="77CEF3E8" w14:textId="77777777" w:rsidR="00656096" w:rsidRPr="00FF2DDD" w:rsidRDefault="00656096"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Komunikaty Komisji do Parlamentu Europejskiego, Rady, Europejskiego Komitetu Ekonomiczno-Społecznego i Komitetu Regionów zawierające:</w:t>
            </w:r>
            <w:r w:rsidRPr="00FF2DDD">
              <w:rPr>
                <w:rFonts w:eastAsia="Times New Roman" w:cstheme="minorHAnsi"/>
                <w:b w:val="0"/>
                <w:bCs w:val="0"/>
                <w:color w:val="000000"/>
                <w:szCs w:val="24"/>
                <w:lang w:eastAsia="pl-PL"/>
              </w:rPr>
              <w:br/>
              <w:t xml:space="preserve">1) Decydujący moment dla Europy: naprawa i przygotowanie na następną generację, COM(2020) 456 final, </w:t>
            </w:r>
            <w:r w:rsidRPr="00FF2DDD">
              <w:rPr>
                <w:rFonts w:eastAsia="Times New Roman" w:cstheme="minorHAnsi"/>
                <w:b w:val="0"/>
                <w:bCs w:val="0"/>
                <w:color w:val="000000"/>
                <w:szCs w:val="24"/>
                <w:lang w:eastAsia="pl-PL"/>
              </w:rPr>
              <w:br/>
              <w:t>2) Propozycję budżetu do ww. planu pt.: The EU budżet powering the recoXery plan for Europe COM(2020)442 final.</w:t>
            </w:r>
            <w:r w:rsidRPr="00FF2DDD">
              <w:rPr>
                <w:rFonts w:eastAsia="Times New Roman" w:cstheme="minorHAnsi"/>
                <w:b w:val="0"/>
                <w:bCs w:val="0"/>
                <w:color w:val="000000"/>
                <w:szCs w:val="24"/>
                <w:lang w:eastAsia="pl-PL"/>
              </w:rPr>
              <w:br/>
            </w:r>
          </w:p>
        </w:tc>
        <w:tc>
          <w:tcPr>
            <w:tcW w:w="2214" w:type="pct"/>
            <w:hideMark/>
          </w:tcPr>
          <w:p w14:paraId="597008EF" w14:textId="77777777" w:rsidR="00656096" w:rsidRPr="00FF2DDD" w:rsidRDefault="0065609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Główne elementy Planu:</w:t>
            </w:r>
            <w:r w:rsidRPr="00FF2DDD">
              <w:rPr>
                <w:rFonts w:eastAsia="Times New Roman" w:cstheme="minorHAnsi"/>
                <w:color w:val="000000"/>
                <w:szCs w:val="24"/>
                <w:lang w:eastAsia="pl-PL"/>
              </w:rPr>
              <w:br/>
              <w:t>- masowa fala renowacji budynków i infrastruktury,</w:t>
            </w:r>
            <w:r w:rsidRPr="00FF2DDD">
              <w:rPr>
                <w:rFonts w:eastAsia="Times New Roman" w:cstheme="minorHAnsi"/>
                <w:color w:val="000000"/>
                <w:szCs w:val="24"/>
                <w:lang w:eastAsia="pl-PL"/>
              </w:rPr>
              <w:br/>
              <w:t>- gospodarka o obiegu zamkniętym, przynoszącą lokalne miejsca pracy;</w:t>
            </w:r>
            <w:r w:rsidRPr="00FF2DDD">
              <w:rPr>
                <w:rFonts w:eastAsia="Times New Roman" w:cstheme="minorHAnsi"/>
                <w:color w:val="000000"/>
                <w:szCs w:val="24"/>
                <w:lang w:eastAsia="pl-PL"/>
              </w:rPr>
              <w:br/>
              <w:t>- wdrażanie projektów w zakresie energii odnawialnej, zwłaszcza wiatru, energii słonecznej, oraz rozpoczęcie czystej gospodarki wodorowej w Europie;</w:t>
            </w:r>
            <w:r w:rsidRPr="00FF2DDD">
              <w:rPr>
                <w:rFonts w:eastAsia="Times New Roman" w:cstheme="minorHAnsi"/>
                <w:color w:val="000000"/>
                <w:szCs w:val="24"/>
                <w:lang w:eastAsia="pl-PL"/>
              </w:rPr>
              <w:br/>
              <w:t>- czystszy transport i logistyka, w tym instalacja miliona punktów ładowania pojazdów elektrycznych oraz zwiększenie liczby podróży koleją i czysta mobilność w naszych miastach i regionach;</w:t>
            </w:r>
            <w:r w:rsidRPr="00FF2DDD">
              <w:rPr>
                <w:rFonts w:eastAsia="Times New Roman" w:cstheme="minorHAnsi"/>
                <w:color w:val="000000"/>
                <w:szCs w:val="24"/>
                <w:lang w:eastAsia="pl-PL"/>
              </w:rPr>
              <w:br/>
              <w:t>- wzmocnienie funduszu Just Transition w celu wspierania przekwalifikowania, pomagając przedsiębiorstwom tworzyć nowe możliwości gospodarcze.</w:t>
            </w:r>
            <w:r w:rsidRPr="00FF2DDD">
              <w:rPr>
                <w:rFonts w:eastAsia="Times New Roman" w:cstheme="minorHAnsi"/>
                <w:color w:val="000000"/>
                <w:szCs w:val="24"/>
                <w:lang w:eastAsia="pl-PL"/>
              </w:rPr>
              <w:br/>
              <w:t>Podkreślono też konieczność realizacji strategii - Europejskiego zielonego ładu, która powinna przyczynić się do tworzenia nowych miejsc pracy.</w:t>
            </w:r>
          </w:p>
        </w:tc>
        <w:tc>
          <w:tcPr>
            <w:tcW w:w="238" w:type="pct"/>
            <w:gridSpan w:val="2"/>
            <w:noWrap/>
            <w:hideMark/>
          </w:tcPr>
          <w:p w14:paraId="3A13AA31"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F74ECD3"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3AE1804"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8DC4897"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5D99B5A"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2829A503"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4807C535" w14:textId="71E49B8E"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656096" w:rsidRPr="0026051C" w14:paraId="7858AA33" w14:textId="77777777" w:rsidTr="008D2A1E">
        <w:trPr>
          <w:trHeight w:val="1440"/>
        </w:trPr>
        <w:tc>
          <w:tcPr>
            <w:cnfStyle w:val="001000000000" w:firstRow="0" w:lastRow="0" w:firstColumn="1" w:lastColumn="0" w:oddVBand="0" w:evenVBand="0" w:oddHBand="0" w:evenHBand="0" w:firstRowFirstColumn="0" w:firstRowLastColumn="0" w:lastRowFirstColumn="0" w:lastRowLastColumn="0"/>
            <w:tcW w:w="1117" w:type="pct"/>
            <w:hideMark/>
          </w:tcPr>
          <w:p w14:paraId="4B28AEF6" w14:textId="77777777" w:rsidR="00656096" w:rsidRPr="00FF2DDD" w:rsidRDefault="00656096"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 xml:space="preserve">Prawo klimatyczne Propozycja Rozporządzenia Parlamentu Europejskiego oraz Rady ustalająca ramy dla osiągnięcia neutralności klimatycznej oraz zmieniająca Rozporządzenie (EU) 2018/1999 (European Climate Law) COM (2020) 80 final </w:t>
            </w:r>
          </w:p>
        </w:tc>
        <w:tc>
          <w:tcPr>
            <w:tcW w:w="2214" w:type="pct"/>
            <w:hideMark/>
          </w:tcPr>
          <w:p w14:paraId="72CCFC7D" w14:textId="77777777" w:rsidR="00656096" w:rsidRPr="00FF2DDD" w:rsidRDefault="0065609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Prawo Klimatyczne ustanawia definicję „trajektorii osiągnięcia neutralności klimatycznej” na okres 2030–2050, w oparciu o cel dotyczący ograniczenia emisji CO2 do 2030 r. (50-55%). W przypadku niedotrzymania przez państwa członkowskie Komisja Europejska przyjmie, w drodze aktów delegowanych, dodatkowe środki mające na celu osiągnięcie neutralności klimatycznej do 2050 r. Oceny monitorujące postępy Unii będą przeprowadzane co 5 lat od 2023 r.</w:t>
            </w:r>
          </w:p>
        </w:tc>
        <w:tc>
          <w:tcPr>
            <w:tcW w:w="238" w:type="pct"/>
            <w:gridSpan w:val="2"/>
            <w:noWrap/>
            <w:hideMark/>
          </w:tcPr>
          <w:p w14:paraId="3CFF418B"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7824E56"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D03EEBE"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AEABD07"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A626C65"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7CE510AA"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4BAE49F9" w14:textId="21223599"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8D2A1E" w:rsidRPr="0026051C" w14:paraId="51B842B6" w14:textId="77777777" w:rsidTr="008D2A1E">
        <w:trPr>
          <w:trHeight w:val="170"/>
        </w:trPr>
        <w:tc>
          <w:tcPr>
            <w:cnfStyle w:val="001000000000" w:firstRow="0" w:lastRow="0" w:firstColumn="1" w:lastColumn="0" w:oddVBand="0" w:evenVBand="0" w:oddHBand="0" w:evenHBand="0" w:firstRowFirstColumn="0" w:firstRowLastColumn="0" w:lastRowFirstColumn="0" w:lastRowLastColumn="0"/>
            <w:tcW w:w="1117" w:type="pct"/>
            <w:hideMark/>
          </w:tcPr>
          <w:p w14:paraId="7C865112" w14:textId="77777777" w:rsidR="00C17C7F" w:rsidRPr="00FF2DDD" w:rsidRDefault="00C17C7F"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Komunikat Komisji do Parlamentu Europejskiego, Rady, Europejskiego Komitetu Ekonomiczno-Społecznego i Komitetu Regionów, Nowy Plan działania UE dotyczący gospodarki o obiegu zamkniętym na rzecz czystej i bardziej konkurencyjnej Europy, COM(2020)98 final z załącznikiem</w:t>
            </w:r>
          </w:p>
        </w:tc>
        <w:tc>
          <w:tcPr>
            <w:tcW w:w="2214" w:type="pct"/>
            <w:hideMark/>
          </w:tcPr>
          <w:p w14:paraId="47E12B21" w14:textId="77777777" w:rsidR="00C17C7F" w:rsidRPr="00FF2DDD" w:rsidRDefault="00C17C7F"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Dokument określa kompleks działań w kierunku transformacji do gospodarki obiegu zamkniętego m. in. w zakresie</w:t>
            </w:r>
            <w:r w:rsidRPr="00FF2DDD">
              <w:rPr>
                <w:rFonts w:eastAsia="Times New Roman" w:cstheme="minorHAnsi"/>
                <w:color w:val="000000"/>
                <w:szCs w:val="24"/>
                <w:lang w:eastAsia="pl-PL"/>
              </w:rPr>
              <w:br/>
              <w:t>- polityki zrównoważonych produktów,</w:t>
            </w:r>
            <w:r w:rsidRPr="00FF2DDD">
              <w:rPr>
                <w:rFonts w:eastAsia="Times New Roman" w:cstheme="minorHAnsi"/>
                <w:color w:val="000000"/>
                <w:szCs w:val="24"/>
                <w:lang w:eastAsia="pl-PL"/>
              </w:rPr>
              <w:br/>
              <w:t>- kluczowych łańcuchów produktów (elektronika, ICT, baterie, akumulatory, pojazdy, opakowania, tworzywa sztuczne, wyroby włókiennicze, budownictwo, żywność , woda itp.,</w:t>
            </w:r>
            <w:r w:rsidRPr="00FF2DDD">
              <w:rPr>
                <w:rFonts w:eastAsia="Times New Roman" w:cstheme="minorHAnsi"/>
                <w:color w:val="000000"/>
                <w:szCs w:val="24"/>
                <w:lang w:eastAsia="pl-PL"/>
              </w:rPr>
              <w:br/>
              <w:t>- zmniejszenie ilości odpadów i zwiększenie ich wartości,</w:t>
            </w:r>
            <w:r w:rsidRPr="00FF2DDD">
              <w:rPr>
                <w:rFonts w:eastAsia="Times New Roman" w:cstheme="minorHAnsi"/>
                <w:color w:val="000000"/>
                <w:szCs w:val="24"/>
                <w:lang w:eastAsia="pl-PL"/>
              </w:rPr>
              <w:br/>
              <w:t>- dostosowanie obiegu zamkniętego do potrzeb ludzi, regionów i miast,</w:t>
            </w:r>
            <w:r w:rsidRPr="00FF2DDD">
              <w:rPr>
                <w:rFonts w:eastAsia="Times New Roman" w:cstheme="minorHAnsi"/>
                <w:color w:val="000000"/>
                <w:szCs w:val="24"/>
                <w:lang w:eastAsia="pl-PL"/>
              </w:rPr>
              <w:br/>
              <w:t>- działań przekrojowych jak stworzenie obiegu zamkniętego jako warunku neutralności klimatycznej, badań naukowych,</w:t>
            </w:r>
            <w:r w:rsidRPr="00FF2DDD">
              <w:rPr>
                <w:rFonts w:eastAsia="Times New Roman" w:cstheme="minorHAnsi"/>
                <w:color w:val="000000"/>
                <w:szCs w:val="24"/>
                <w:lang w:eastAsia="pl-PL"/>
              </w:rPr>
              <w:br/>
              <w:t>- monitoringu postępu.</w:t>
            </w:r>
          </w:p>
        </w:tc>
        <w:tc>
          <w:tcPr>
            <w:tcW w:w="209" w:type="pct"/>
            <w:noWrap/>
            <w:hideMark/>
          </w:tcPr>
          <w:p w14:paraId="24407A1D"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09" w:type="pct"/>
            <w:gridSpan w:val="2"/>
            <w:noWrap/>
            <w:hideMark/>
          </w:tcPr>
          <w:p w14:paraId="58997E4E"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09" w:type="pct"/>
            <w:gridSpan w:val="2"/>
            <w:noWrap/>
            <w:hideMark/>
          </w:tcPr>
          <w:p w14:paraId="138F5306"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09" w:type="pct"/>
            <w:gridSpan w:val="2"/>
            <w:noWrap/>
            <w:hideMark/>
          </w:tcPr>
          <w:p w14:paraId="7C70DB1A"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09" w:type="pct"/>
            <w:gridSpan w:val="2"/>
            <w:noWrap/>
            <w:hideMark/>
          </w:tcPr>
          <w:p w14:paraId="1092710E"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09" w:type="pct"/>
            <w:gridSpan w:val="2"/>
          </w:tcPr>
          <w:p w14:paraId="5D07DC42"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12" w:type="pct"/>
            <w:gridSpan w:val="2"/>
            <w:noWrap/>
            <w:hideMark/>
          </w:tcPr>
          <w:p w14:paraId="1199B655"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03" w:type="pct"/>
          </w:tcPr>
          <w:p w14:paraId="50F49300" w14:textId="386EE38F"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656096" w:rsidRPr="0026051C" w14:paraId="48FFE85B" w14:textId="77777777" w:rsidTr="008D2A1E">
        <w:trPr>
          <w:trHeight w:val="960"/>
        </w:trPr>
        <w:tc>
          <w:tcPr>
            <w:cnfStyle w:val="001000000000" w:firstRow="0" w:lastRow="0" w:firstColumn="1" w:lastColumn="0" w:oddVBand="0" w:evenVBand="0" w:oddHBand="0" w:evenHBand="0" w:firstRowFirstColumn="0" w:firstRowLastColumn="0" w:lastRowFirstColumn="0" w:lastRowLastColumn="0"/>
            <w:tcW w:w="1117" w:type="pct"/>
            <w:hideMark/>
          </w:tcPr>
          <w:p w14:paraId="24E4268C" w14:textId="77777777" w:rsidR="00656096" w:rsidRPr="00FF2DDD" w:rsidRDefault="00656096"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Komunikat Komisji do Parlamentu Europejskiego, Rady, Europejskiego Komitetu Ekonomiczno-Społecznego i Komitetu Regionów, Nowa strategia przemysłowa dla Europy, COM(2020) 102 final</w:t>
            </w:r>
          </w:p>
        </w:tc>
        <w:tc>
          <w:tcPr>
            <w:tcW w:w="2214" w:type="pct"/>
            <w:hideMark/>
          </w:tcPr>
          <w:p w14:paraId="5FA787F3" w14:textId="77777777" w:rsidR="00656096" w:rsidRPr="00FF2DDD" w:rsidRDefault="0065609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Strategia przewiduje dwojaką transformacja – ekologiczną i cyfrową, która wpłynie na każdy aspekt naszej gospodarki i społeczeństwa. Wymagać będzie nowych technologii, którym towarzyszyć muszą odpowiednie inwestycje i innowacje. Dzięki tej transformacji powstaną nowe produkty, usługi, rynki i modele biznesowe. Ukształtują się nowe rodzaje miejsc pracy, wymagające umiejętności, których jeszcze nie posiadamy. Transformacja oznaczać będzie przejście z produkcji linearnej na nisko/zero emisyjną gospodarkę o obiegu zamkniętym.</w:t>
            </w:r>
          </w:p>
        </w:tc>
        <w:tc>
          <w:tcPr>
            <w:tcW w:w="238" w:type="pct"/>
            <w:gridSpan w:val="2"/>
            <w:noWrap/>
            <w:hideMark/>
          </w:tcPr>
          <w:p w14:paraId="39174CDF"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DECC773"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FAC68B6"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439D11A"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917BB1F"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3E726496"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4B6DA92C" w14:textId="442A0430"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656096" w:rsidRPr="0026051C" w14:paraId="65CECD7E" w14:textId="77777777" w:rsidTr="008D2A1E">
        <w:trPr>
          <w:trHeight w:val="960"/>
        </w:trPr>
        <w:tc>
          <w:tcPr>
            <w:cnfStyle w:val="001000000000" w:firstRow="0" w:lastRow="0" w:firstColumn="1" w:lastColumn="0" w:oddVBand="0" w:evenVBand="0" w:oddHBand="0" w:evenHBand="0" w:firstRowFirstColumn="0" w:firstRowLastColumn="0" w:lastRowFirstColumn="0" w:lastRowLastColumn="0"/>
            <w:tcW w:w="1117" w:type="pct"/>
            <w:hideMark/>
          </w:tcPr>
          <w:p w14:paraId="1C81D010" w14:textId="77777777" w:rsidR="00656096" w:rsidRPr="00FF2DDD" w:rsidRDefault="00656096" w:rsidP="0026051C">
            <w:pPr>
              <w:spacing w:before="0" w:line="276" w:lineRule="auto"/>
              <w:rPr>
                <w:rFonts w:eastAsia="Times New Roman" w:cstheme="minorHAnsi"/>
                <w:b w:val="0"/>
                <w:bCs w:val="0"/>
                <w:color w:val="000000"/>
                <w:szCs w:val="24"/>
                <w:lang w:val="en-US" w:eastAsia="pl-PL"/>
              </w:rPr>
            </w:pPr>
            <w:r w:rsidRPr="00FF2DDD">
              <w:rPr>
                <w:rFonts w:eastAsia="Times New Roman" w:cstheme="minorHAnsi"/>
                <w:b w:val="0"/>
                <w:bCs w:val="0"/>
                <w:color w:val="000000"/>
                <w:szCs w:val="24"/>
                <w:lang w:val="en-US" w:eastAsia="pl-PL"/>
              </w:rPr>
              <w:t>A roadmap for recovery. Towards a more resilient, sustainable and fair Europe</w:t>
            </w:r>
          </w:p>
        </w:tc>
        <w:tc>
          <w:tcPr>
            <w:tcW w:w="2214" w:type="pct"/>
            <w:hideMark/>
          </w:tcPr>
          <w:p w14:paraId="3B17C9F5" w14:textId="77777777" w:rsidR="00656096" w:rsidRPr="00FF2DDD" w:rsidRDefault="0065609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W Planie odbudowy podkreśla się, że zielona transformacja oraz informatyzacja będą odgrywały centralną i priorytetową rolę w ponownym uruchomieniu i modernizacji gospodarki. Ważne przy tym będą inwestycje w czyste i zinformatyzowane technologie z jednoczesnym przejściem na gospodarkę obiegu zamkniętego, co spowoduje wzrost gospodarczy oraz zwiększenie zatrudnienia. Powinno to pozwolić Europie na zajecie korzystnej pozycji, w skali globalnej, w odbudowie gospodarki po koronawirusie.</w:t>
            </w:r>
          </w:p>
        </w:tc>
        <w:tc>
          <w:tcPr>
            <w:tcW w:w="238" w:type="pct"/>
            <w:gridSpan w:val="2"/>
            <w:noWrap/>
            <w:hideMark/>
          </w:tcPr>
          <w:p w14:paraId="1AAB952C"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386724E"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7DBF274"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BF116FE"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B0BF9B9"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3577F3F7"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3A40DF99" w14:textId="146D325E"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656096" w:rsidRPr="0026051C" w14:paraId="49519F1E" w14:textId="77777777" w:rsidTr="008D2A1E">
        <w:trPr>
          <w:trHeight w:val="480"/>
        </w:trPr>
        <w:tc>
          <w:tcPr>
            <w:cnfStyle w:val="001000000000" w:firstRow="0" w:lastRow="0" w:firstColumn="1" w:lastColumn="0" w:oddVBand="0" w:evenVBand="0" w:oddHBand="0" w:evenHBand="0" w:firstRowFirstColumn="0" w:firstRowLastColumn="0" w:lastRowFirstColumn="0" w:lastRowLastColumn="0"/>
            <w:tcW w:w="1117" w:type="pct"/>
            <w:hideMark/>
          </w:tcPr>
          <w:p w14:paraId="49AE3D9B" w14:textId="77777777" w:rsidR="00656096" w:rsidRPr="00FF2DDD" w:rsidRDefault="00656096"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 xml:space="preserve">Pakiet legislacyjny dla polityki spójności 2021-2027 </w:t>
            </w:r>
          </w:p>
        </w:tc>
        <w:tc>
          <w:tcPr>
            <w:tcW w:w="2214" w:type="pct"/>
            <w:noWrap/>
            <w:hideMark/>
          </w:tcPr>
          <w:p w14:paraId="3C7E2D30" w14:textId="77777777" w:rsidR="00656096" w:rsidRPr="00FF2DDD" w:rsidRDefault="0065609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Określa zasady realizacji funduszu polityki spójności UE</w:t>
            </w:r>
          </w:p>
        </w:tc>
        <w:tc>
          <w:tcPr>
            <w:tcW w:w="238" w:type="pct"/>
            <w:gridSpan w:val="2"/>
            <w:noWrap/>
            <w:hideMark/>
          </w:tcPr>
          <w:p w14:paraId="4F986806"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4DB8300"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43D6228"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1EB5321"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BE0CE1E"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4A50000F"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13F21663" w14:textId="2ED573A5"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656096" w:rsidRPr="0026051C" w14:paraId="5BFFDA18" w14:textId="77777777" w:rsidTr="008D2A1E">
        <w:trPr>
          <w:trHeight w:val="2400"/>
        </w:trPr>
        <w:tc>
          <w:tcPr>
            <w:cnfStyle w:val="001000000000" w:firstRow="0" w:lastRow="0" w:firstColumn="1" w:lastColumn="0" w:oddVBand="0" w:evenVBand="0" w:oddHBand="0" w:evenHBand="0" w:firstRowFirstColumn="0" w:firstRowLastColumn="0" w:lastRowFirstColumn="0" w:lastRowLastColumn="0"/>
            <w:tcW w:w="1117" w:type="pct"/>
            <w:hideMark/>
          </w:tcPr>
          <w:p w14:paraId="5B5222DB" w14:textId="77777777" w:rsidR="00656096" w:rsidRPr="00FF2DDD" w:rsidRDefault="00656096"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 xml:space="preserve">Dokument roboczy służb Komisji Sprawozdanie krajowe – Polska 2019 towarzyszący dokumentowi: Komunikat Komisji do Parlamentu Europejskiego, Rady, Europejskiego Banku Centralnego i Eurogrupy Europejski semestr 2019: Ocena postępów w zakresie reform strukturalnych, zapobiegania zakłóceniom równowagi makroekonomicznej i ich korygowania oraz wyniki szczegółowych ocen sytuacji na mocy rozporządzenia (UE) nr 1176/2011 {COM(2019) 150 final} </w:t>
            </w:r>
          </w:p>
        </w:tc>
        <w:tc>
          <w:tcPr>
            <w:tcW w:w="2214" w:type="pct"/>
            <w:hideMark/>
          </w:tcPr>
          <w:p w14:paraId="7910070B" w14:textId="77777777" w:rsidR="00656096" w:rsidRPr="00FF2DDD" w:rsidRDefault="0065609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 xml:space="preserve">Zawiera ocenę postępu w realizacji reform strukturalnych w Polsce oraz wskazuje kierunki inwestycji w zakresie finansowania polityki spójności na lata 2021-2027: </w:t>
            </w:r>
            <w:r w:rsidRPr="00FF2DDD">
              <w:rPr>
                <w:rFonts w:eastAsia="Times New Roman" w:cstheme="minorHAnsi"/>
                <w:color w:val="000000"/>
                <w:szCs w:val="24"/>
                <w:lang w:eastAsia="pl-PL"/>
              </w:rPr>
              <w:br/>
              <w:t xml:space="preserve">1) Bardziej inteligentna Europa – innowacyjna i inteligentna transformacja gospodarcza, </w:t>
            </w:r>
            <w:r w:rsidRPr="00FF2DDD">
              <w:rPr>
                <w:rFonts w:eastAsia="Times New Roman" w:cstheme="minorHAnsi"/>
                <w:color w:val="000000"/>
                <w:szCs w:val="24"/>
                <w:lang w:eastAsia="pl-PL"/>
              </w:rPr>
              <w:br/>
              <w:t xml:space="preserve">2) Bardziej przyjazna dla środowiska niskoemisyjna Europa – czysta i sprawiedliwa transformacja energetyki, zielone i niebieskie inwestycje, gospodarka o obiegu zamkniętym, przystosowanie się do zmiany klimatu oraz zapobieganie ryzyku, </w:t>
            </w:r>
            <w:r w:rsidRPr="00FF2DDD">
              <w:rPr>
                <w:rFonts w:eastAsia="Times New Roman" w:cstheme="minorHAnsi"/>
                <w:color w:val="000000"/>
                <w:szCs w:val="24"/>
                <w:lang w:eastAsia="pl-PL"/>
              </w:rPr>
              <w:br/>
              <w:t>3) Lepiej połączona Europa – mobilność oraz regionalne sieci informacyjne i komunikacyjne (ICT),</w:t>
            </w:r>
            <w:r w:rsidRPr="00FF2DDD">
              <w:rPr>
                <w:rFonts w:eastAsia="Times New Roman" w:cstheme="minorHAnsi"/>
                <w:color w:val="000000"/>
                <w:szCs w:val="24"/>
                <w:lang w:eastAsia="pl-PL"/>
              </w:rPr>
              <w:br/>
              <w:t>4) Europa o silniejszym wymiarze społecznym – wdrożenie Europejskiego filaru praw socjalnych,</w:t>
            </w:r>
            <w:r w:rsidRPr="00FF2DDD">
              <w:rPr>
                <w:rFonts w:eastAsia="Times New Roman" w:cstheme="minorHAnsi"/>
                <w:color w:val="000000"/>
                <w:szCs w:val="24"/>
                <w:lang w:eastAsia="pl-PL"/>
              </w:rPr>
              <w:br/>
              <w:t>5) Europa bliżej obywateli dzięki wspieraniu zrównoważonego i zintegrowanego rozwoju obszarów miejskich, wiejskich i przybrzeżnych w ramach inicjatyw lokalnych.</w:t>
            </w:r>
          </w:p>
        </w:tc>
        <w:tc>
          <w:tcPr>
            <w:tcW w:w="238" w:type="pct"/>
            <w:gridSpan w:val="2"/>
            <w:noWrap/>
            <w:hideMark/>
          </w:tcPr>
          <w:p w14:paraId="76EB28E1"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68C318E"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B55EB21"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A2A22F5"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D8C0644"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2FD942CF" w14:textId="77777777"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30843C08" w14:textId="244FDECC" w:rsidR="00656096" w:rsidRPr="00FF2DDD" w:rsidRDefault="0065609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8D2A1E" w:rsidRPr="0026051C" w14:paraId="13B471BA" w14:textId="77777777" w:rsidTr="008D2A1E">
        <w:trPr>
          <w:trHeight w:val="1196"/>
        </w:trPr>
        <w:tc>
          <w:tcPr>
            <w:cnfStyle w:val="001000000000" w:firstRow="0" w:lastRow="0" w:firstColumn="1" w:lastColumn="0" w:oddVBand="0" w:evenVBand="0" w:oddHBand="0" w:evenHBand="0" w:firstRowFirstColumn="0" w:firstRowLastColumn="0" w:lastRowFirstColumn="0" w:lastRowLastColumn="0"/>
            <w:tcW w:w="1117" w:type="pct"/>
            <w:hideMark/>
          </w:tcPr>
          <w:p w14:paraId="015EA6BC" w14:textId="77777777" w:rsidR="00C17C7F" w:rsidRPr="00FF2DDD" w:rsidRDefault="00C17C7F"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Komunikat Komisji do Parlamentu Europejskiego, Rady, Europejskiego Komitetu Ekonomiczno - Społecznego i Komitetu Regionów Czysta planeta dla wszystkich - Europejska długoterminowa wizja strategiczna dobrze prosperującej, nowoczesnej, konkurencyjnej i neutralnej dla klimatu gospodarki</w:t>
            </w:r>
            <w:r w:rsidRPr="00FF2DDD">
              <w:rPr>
                <w:rFonts w:eastAsia="Times New Roman" w:cstheme="minorHAnsi"/>
                <w:b w:val="0"/>
                <w:bCs w:val="0"/>
                <w:color w:val="000000"/>
                <w:szCs w:val="24"/>
                <w:lang w:eastAsia="pl-PL"/>
              </w:rPr>
              <w:br/>
              <w:t>COM(2018) 773 Final</w:t>
            </w:r>
            <w:r w:rsidRPr="00FF2DDD">
              <w:rPr>
                <w:rFonts w:eastAsia="Times New Roman" w:cstheme="minorHAnsi"/>
                <w:b w:val="0"/>
                <w:bCs w:val="0"/>
                <w:color w:val="000000"/>
                <w:szCs w:val="24"/>
                <w:lang w:eastAsia="pl-PL"/>
              </w:rPr>
              <w:br/>
            </w:r>
          </w:p>
        </w:tc>
        <w:tc>
          <w:tcPr>
            <w:tcW w:w="2214" w:type="pct"/>
            <w:hideMark/>
          </w:tcPr>
          <w:p w14:paraId="272F2FDF" w14:textId="77777777" w:rsidR="00C17C7F" w:rsidRPr="00FF2DDD" w:rsidRDefault="00C17C7F" w:rsidP="0026051C">
            <w:pPr>
              <w:spacing w:before="0"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 xml:space="preserve">Dokument jest zgodny z celami Porozumienia Paryskiego i wyznacza proponowane kierunki działań do 2050 r. w 7 obszarach strategicznych: efektywność energetyczna; energia ze źródeł odnawialnych; czysta, bezpieczna i oparta na sieci mobilność; konkurencyjny przemysł i gospodarka o obiegu zamkniętym; infrastruktura i połączenia międzysystemowe; biogospodarka i naturalne pochłaniacze dwutlenku węgla; wychwytywanie i składowanie dwutlenku węgla oraz jego wykorzystanie. </w:t>
            </w:r>
            <w:r w:rsidRPr="00FF2DDD">
              <w:rPr>
                <w:rFonts w:eastAsia="Times New Roman" w:cstheme="minorHAnsi"/>
                <w:color w:val="000000"/>
                <w:szCs w:val="24"/>
                <w:lang w:eastAsia="pl-PL"/>
              </w:rPr>
              <w:br/>
              <w:t xml:space="preserve">Dokument wskazuje na konieczność osiągnięcia do 2050 r. neutralnej dla klimatu gospodarki (z uwzględnieniem działań w zakresie pochłaniania gazów cieplarnianych). </w:t>
            </w:r>
          </w:p>
        </w:tc>
        <w:tc>
          <w:tcPr>
            <w:tcW w:w="209" w:type="pct"/>
            <w:noWrap/>
            <w:hideMark/>
          </w:tcPr>
          <w:p w14:paraId="584C52FB"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09" w:type="pct"/>
            <w:gridSpan w:val="2"/>
            <w:noWrap/>
            <w:hideMark/>
          </w:tcPr>
          <w:p w14:paraId="03184BC7"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09" w:type="pct"/>
            <w:gridSpan w:val="2"/>
            <w:noWrap/>
            <w:hideMark/>
          </w:tcPr>
          <w:p w14:paraId="561FD254"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09" w:type="pct"/>
            <w:gridSpan w:val="2"/>
            <w:noWrap/>
            <w:hideMark/>
          </w:tcPr>
          <w:p w14:paraId="1DD4D3D6"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09" w:type="pct"/>
            <w:gridSpan w:val="2"/>
            <w:noWrap/>
            <w:hideMark/>
          </w:tcPr>
          <w:p w14:paraId="08CF71C4"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09" w:type="pct"/>
            <w:gridSpan w:val="2"/>
          </w:tcPr>
          <w:p w14:paraId="194C2873"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12" w:type="pct"/>
            <w:gridSpan w:val="2"/>
            <w:noWrap/>
            <w:hideMark/>
          </w:tcPr>
          <w:p w14:paraId="19B878C1" w14:textId="77777777"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03" w:type="pct"/>
          </w:tcPr>
          <w:p w14:paraId="54FD47B3" w14:textId="27357B06" w:rsidR="00C17C7F" w:rsidRPr="00FF2DDD" w:rsidRDefault="00C17C7F"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B03DE5" w:rsidRPr="0026051C" w14:paraId="2A471415" w14:textId="77777777" w:rsidTr="008D2A1E">
        <w:trPr>
          <w:trHeight w:val="1920"/>
        </w:trPr>
        <w:tc>
          <w:tcPr>
            <w:cnfStyle w:val="001000000000" w:firstRow="0" w:lastRow="0" w:firstColumn="1" w:lastColumn="0" w:oddVBand="0" w:evenVBand="0" w:oddHBand="0" w:evenHBand="0" w:firstRowFirstColumn="0" w:firstRowLastColumn="0" w:lastRowFirstColumn="0" w:lastRowLastColumn="0"/>
            <w:tcW w:w="1117" w:type="pct"/>
            <w:hideMark/>
          </w:tcPr>
          <w:p w14:paraId="0C7B9BEE" w14:textId="77777777" w:rsidR="00B03DE5" w:rsidRPr="00FF2DDD" w:rsidRDefault="00B03DE5"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Biała Księga: Adaptacja do zmian klimatu: europejskie ramy działania (2009), COM(2009) 147 final</w:t>
            </w:r>
          </w:p>
        </w:tc>
        <w:tc>
          <w:tcPr>
            <w:tcW w:w="2214" w:type="pct"/>
            <w:hideMark/>
          </w:tcPr>
          <w:p w14:paraId="7D19A524" w14:textId="77777777" w:rsidR="00B03DE5" w:rsidRPr="00FF2DDD" w:rsidRDefault="00B03DE5"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Celem jest osiągnięcie w UE takiej zdolności adaptacji, by mogła ona stawić czoła skutkom zmian klimatu. Zawiera następujące kierunki działań:</w:t>
            </w:r>
            <w:r w:rsidRPr="00FF2DDD">
              <w:rPr>
                <w:rFonts w:eastAsia="Times New Roman" w:cstheme="minorHAnsi"/>
                <w:color w:val="000000"/>
                <w:szCs w:val="24"/>
                <w:lang w:eastAsia="pl-PL"/>
              </w:rPr>
              <w:br/>
              <w:t>- Tworzenie podstaw wiedzy,</w:t>
            </w:r>
            <w:r w:rsidRPr="00FF2DDD">
              <w:rPr>
                <w:rFonts w:eastAsia="Times New Roman" w:cstheme="minorHAnsi"/>
                <w:color w:val="000000"/>
                <w:szCs w:val="24"/>
                <w:lang w:eastAsia="pl-PL"/>
              </w:rPr>
              <w:br/>
              <w:t>- Włączenie kwestii adaptacji do polityki UE w poszczególnych dziedzinach,</w:t>
            </w:r>
            <w:r w:rsidRPr="00FF2DDD">
              <w:rPr>
                <w:rFonts w:eastAsia="Times New Roman" w:cstheme="minorHAnsi"/>
                <w:color w:val="000000"/>
                <w:szCs w:val="24"/>
                <w:lang w:eastAsia="pl-PL"/>
              </w:rPr>
              <w:br/>
              <w:t>- Poprawa zdolności adaptacji polityki zdrowotnej i społecznej,</w:t>
            </w:r>
            <w:r w:rsidRPr="00FF2DDD">
              <w:rPr>
                <w:rFonts w:eastAsia="Times New Roman" w:cstheme="minorHAnsi"/>
                <w:color w:val="000000"/>
                <w:szCs w:val="24"/>
                <w:lang w:eastAsia="pl-PL"/>
              </w:rPr>
              <w:br/>
              <w:t>- Poprawa zdolności adaptacji sektora rolnictwa i leśnictwa,</w:t>
            </w:r>
            <w:r w:rsidRPr="00FF2DDD">
              <w:rPr>
                <w:rFonts w:eastAsia="Times New Roman" w:cstheme="minorHAnsi"/>
                <w:color w:val="000000"/>
                <w:szCs w:val="24"/>
                <w:lang w:eastAsia="pl-PL"/>
              </w:rPr>
              <w:br/>
              <w:t>- Poprawa zdolności adaptacji różnorodności biologicznej, ekosystemów i wody,</w:t>
            </w:r>
            <w:r w:rsidRPr="00FF2DDD">
              <w:rPr>
                <w:rFonts w:eastAsia="Times New Roman" w:cstheme="minorHAnsi"/>
                <w:color w:val="000000"/>
                <w:szCs w:val="24"/>
                <w:lang w:eastAsia="pl-PL"/>
              </w:rPr>
              <w:br/>
              <w:t>- Poprawa zdolności adaptacji obszarów przybrzeżnych i morskich,</w:t>
            </w:r>
            <w:r w:rsidRPr="00FF2DDD">
              <w:rPr>
                <w:rFonts w:eastAsia="Times New Roman" w:cstheme="minorHAnsi"/>
                <w:color w:val="000000"/>
                <w:szCs w:val="24"/>
                <w:lang w:eastAsia="pl-PL"/>
              </w:rPr>
              <w:br/>
              <w:t>- Poprawa zdolności adaptacji systemów produkcyjnych i infrastruktury fizycznej.</w:t>
            </w:r>
          </w:p>
        </w:tc>
        <w:tc>
          <w:tcPr>
            <w:tcW w:w="238" w:type="pct"/>
            <w:gridSpan w:val="2"/>
            <w:noWrap/>
            <w:hideMark/>
          </w:tcPr>
          <w:p w14:paraId="5BE1524F"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E1F80D4"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99E46F1"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8146431"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1548112"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41E85E24"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1238DB70" w14:textId="49BD4ECD"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B03DE5" w:rsidRPr="0026051C" w14:paraId="716F2E56" w14:textId="77777777" w:rsidTr="008D2A1E">
        <w:trPr>
          <w:trHeight w:val="567"/>
        </w:trPr>
        <w:tc>
          <w:tcPr>
            <w:cnfStyle w:val="001000000000" w:firstRow="0" w:lastRow="0" w:firstColumn="1" w:lastColumn="0" w:oddVBand="0" w:evenVBand="0" w:oddHBand="0" w:evenHBand="0" w:firstRowFirstColumn="0" w:firstRowLastColumn="0" w:lastRowFirstColumn="0" w:lastRowLastColumn="0"/>
            <w:tcW w:w="1117" w:type="pct"/>
            <w:hideMark/>
          </w:tcPr>
          <w:p w14:paraId="03DA2C8B" w14:textId="77777777" w:rsidR="00B03DE5" w:rsidRPr="00FF2DDD" w:rsidRDefault="00B03DE5"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Komunikat Komisji do Parlamentu Europejskiego, Rady, Europejskiego Komitetu Ekonomiczno - Społecznego i Komitetu Regionów, Strategia UE adaptacji do zmiany klimatu (COM(2013)216 wersja ostateczna)</w:t>
            </w:r>
          </w:p>
        </w:tc>
        <w:tc>
          <w:tcPr>
            <w:tcW w:w="2214" w:type="pct"/>
            <w:hideMark/>
          </w:tcPr>
          <w:p w14:paraId="63EB8BD6" w14:textId="77777777" w:rsidR="00B03DE5" w:rsidRPr="00FF2DDD" w:rsidRDefault="00B03DE5"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Strategia określa działania w celu poprawy odporności Europy na zmiany klimatu. Wskazuje na konieczność zwiększenia gotowości i zdolności do reagowania na skutki zmian klimatu na szczeblu lokalnym, regionalnym, krajowym i unijnym oraz opracowania spójnego podejścia i poprawy koordynacji działań.</w:t>
            </w:r>
          </w:p>
        </w:tc>
        <w:tc>
          <w:tcPr>
            <w:tcW w:w="238" w:type="pct"/>
            <w:gridSpan w:val="2"/>
            <w:noWrap/>
            <w:hideMark/>
          </w:tcPr>
          <w:p w14:paraId="5E608B8C"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38D66EE6"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5693CC2"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14C91BB"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17F6FB3"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40ED0BC8"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04E8C8E2" w14:textId="5D2E0FE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B03DE5" w:rsidRPr="0026051C" w14:paraId="3796260B" w14:textId="77777777" w:rsidTr="008D2A1E">
        <w:trPr>
          <w:trHeight w:val="204"/>
        </w:trPr>
        <w:tc>
          <w:tcPr>
            <w:cnfStyle w:val="001000000000" w:firstRow="0" w:lastRow="0" w:firstColumn="1" w:lastColumn="0" w:oddVBand="0" w:evenVBand="0" w:oddHBand="0" w:evenHBand="0" w:firstRowFirstColumn="0" w:firstRowLastColumn="0" w:lastRowFirstColumn="0" w:lastRowLastColumn="0"/>
            <w:tcW w:w="1117" w:type="pct"/>
            <w:hideMark/>
          </w:tcPr>
          <w:p w14:paraId="515187D6" w14:textId="77777777" w:rsidR="00B03DE5" w:rsidRPr="00FF2DDD" w:rsidRDefault="00B03DE5"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Biała Księga: Plan utworzenia jednolitego europejskiego obszaru transportu – dążenie do osiągnięcia konkurencyjnego i zasobooszczędnego systemu transportu (COM(2011) 144 final)</w:t>
            </w:r>
          </w:p>
        </w:tc>
        <w:tc>
          <w:tcPr>
            <w:tcW w:w="2214" w:type="pct"/>
            <w:hideMark/>
          </w:tcPr>
          <w:p w14:paraId="3FD4FA7A" w14:textId="77777777" w:rsidR="00B03DE5" w:rsidRPr="00FF2DDD" w:rsidRDefault="00B03DE5"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 xml:space="preserve">Dokument przewiduje następujące kierunki działań: </w:t>
            </w:r>
            <w:r w:rsidRPr="00FF2DDD">
              <w:rPr>
                <w:rFonts w:eastAsia="Times New Roman" w:cstheme="minorHAnsi"/>
                <w:color w:val="000000"/>
                <w:szCs w:val="24"/>
                <w:lang w:eastAsia="pl-PL"/>
              </w:rPr>
              <w:br/>
              <w:t xml:space="preserve">- zapewnienie wzrostu sektora transportu i wspieranie mobilności przy jednoczesnym osiągnięciu celu obniżenia emisji o 60 %. W tym min.: </w:t>
            </w:r>
            <w:r w:rsidRPr="00FF2DDD">
              <w:rPr>
                <w:rFonts w:eastAsia="Times New Roman" w:cstheme="minorHAnsi"/>
                <w:color w:val="000000"/>
                <w:szCs w:val="24"/>
                <w:lang w:eastAsia="pl-PL"/>
              </w:rPr>
              <w:br/>
              <w:t xml:space="preserve">- zmniejszenie o połowę liczby samochodów o napędzie konwencjonalnym w transporcie miejskim do 2030 r.; eliminacja ich z miast do 2050 r.; osiągnięcie zasadniczo wolnej od emisji CO2 logistyki w dużych ośrodkach miejskich do 2030; osiągnięcie poziomu 40 % wykorzystania paliwa niskoemisyjnego w lotnictwie do 2050 r.; ograniczenie emisji z morskich paliw płynnych o 40 % do 2050 r.; </w:t>
            </w:r>
            <w:r w:rsidRPr="00FF2DDD">
              <w:rPr>
                <w:rFonts w:eastAsia="Times New Roman" w:cstheme="minorHAnsi"/>
                <w:color w:val="000000"/>
                <w:szCs w:val="24"/>
                <w:lang w:eastAsia="pl-PL"/>
              </w:rPr>
              <w:br/>
              <w:t>- przeniesienie do 2030 r. 30 % drogowego transportu towarów na odległościach większych niż 300 km na inne środki transportu, np. kolej lub transport wodny, zaś do 2050 r. powinno to być ponad 50 % tego typu transportu),</w:t>
            </w:r>
            <w:r w:rsidRPr="00FF2DDD">
              <w:rPr>
                <w:rFonts w:eastAsia="Times New Roman" w:cstheme="minorHAnsi"/>
                <w:color w:val="000000"/>
                <w:szCs w:val="24"/>
                <w:lang w:eastAsia="pl-PL"/>
              </w:rPr>
              <w:br/>
              <w:t>- ukończenie szybkiej europejskiej sieci kolejowej do 2050 r. Trzykrotny wzrost istniejącej sieci szybkich kolei do 2030 r. oraz zachowanie gęstej sieci kolejowej we wszystkich państwach członkowskich. Do 2050 r.</w:t>
            </w:r>
            <w:r w:rsidRPr="00FF2DDD">
              <w:rPr>
                <w:rFonts w:eastAsia="Times New Roman" w:cstheme="minorHAnsi"/>
                <w:color w:val="000000"/>
                <w:szCs w:val="24"/>
                <w:lang w:eastAsia="pl-PL"/>
              </w:rPr>
              <w:br/>
              <w:t>- stworzenie do 2030 r. w pełni funkcjonalnej ogólnounijnej multimodalnej sieci bazowej TEN-T, zaś do 2050 r. osiągnięcie wysokiej jakości i przepustowości tej sieci,</w:t>
            </w:r>
            <w:r w:rsidRPr="00FF2DDD">
              <w:rPr>
                <w:rFonts w:eastAsia="Times New Roman" w:cstheme="minorHAnsi"/>
                <w:color w:val="000000"/>
                <w:szCs w:val="24"/>
                <w:lang w:eastAsia="pl-PL"/>
              </w:rPr>
              <w:br/>
              <w:t>- do 2050 r. połączenie wszystkich lotnisk należących do sieci bazowej z siecią kolejową, najlepiej z szybkimi kolejami; zapewnienie, aby wszystkie najważniejsze porty morskie miały dobre połączenie z kolejowym transportem towarów oraz, w miarę możliwości, systemem wodnego transportu śródlądowego.</w:t>
            </w:r>
            <w:r w:rsidRPr="00FF2DDD">
              <w:rPr>
                <w:rFonts w:eastAsia="Times New Roman" w:cstheme="minorHAnsi"/>
                <w:color w:val="000000"/>
                <w:szCs w:val="24"/>
                <w:lang w:eastAsia="pl-PL"/>
              </w:rPr>
              <w:br/>
              <w:t xml:space="preserve">- efektywna sieć multimodalnego podróżowania i transportu między miastami </w:t>
            </w:r>
            <w:r w:rsidRPr="00FF2DDD">
              <w:rPr>
                <w:rFonts w:eastAsia="Times New Roman" w:cstheme="minorHAnsi"/>
                <w:color w:val="000000"/>
                <w:szCs w:val="24"/>
                <w:lang w:eastAsia="pl-PL"/>
              </w:rPr>
              <w:br/>
              <w:t>- równe szanse na całym świecie dla podróżowania na dalekie odległości i międzykontynentalnego transportu towarów,</w:t>
            </w:r>
            <w:r w:rsidRPr="00FF2DDD">
              <w:rPr>
                <w:rFonts w:eastAsia="Times New Roman" w:cstheme="minorHAnsi"/>
                <w:color w:val="000000"/>
                <w:szCs w:val="24"/>
                <w:lang w:eastAsia="pl-PL"/>
              </w:rPr>
              <w:br/>
              <w:t>- ekologiczny transport miejski i dojazdy do pracy.</w:t>
            </w:r>
          </w:p>
        </w:tc>
        <w:tc>
          <w:tcPr>
            <w:tcW w:w="238" w:type="pct"/>
            <w:gridSpan w:val="2"/>
            <w:noWrap/>
            <w:hideMark/>
          </w:tcPr>
          <w:p w14:paraId="6899FD13"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68EAB2C"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A49BF0E"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A335087"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DA54014"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479834D4"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7AB61D7C" w14:textId="73F49BB1"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B03DE5" w:rsidRPr="0026051C" w14:paraId="1E867FBF" w14:textId="77777777" w:rsidTr="008D2A1E">
        <w:trPr>
          <w:trHeight w:val="2608"/>
        </w:trPr>
        <w:tc>
          <w:tcPr>
            <w:cnfStyle w:val="001000000000" w:firstRow="0" w:lastRow="0" w:firstColumn="1" w:lastColumn="0" w:oddVBand="0" w:evenVBand="0" w:oddHBand="0" w:evenHBand="0" w:firstRowFirstColumn="0" w:firstRowLastColumn="0" w:lastRowFirstColumn="0" w:lastRowLastColumn="0"/>
            <w:tcW w:w="1117" w:type="pct"/>
            <w:hideMark/>
          </w:tcPr>
          <w:p w14:paraId="163E418D" w14:textId="77777777" w:rsidR="00B03DE5" w:rsidRPr="00FF2DDD" w:rsidRDefault="00B03DE5"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Komunikat Komisji do Parlamentu Europejskiego, Rady, Europejskiego Komitetu Ekonomiczno - Społecznego i Komitetu Regionów, Strategia na rzecz zrównoważonej i inteligentnej mobilności - europejski transport na drodze ku przyszlości (COM) 789 final)</w:t>
            </w:r>
          </w:p>
        </w:tc>
        <w:tc>
          <w:tcPr>
            <w:tcW w:w="2214" w:type="pct"/>
            <w:hideMark/>
          </w:tcPr>
          <w:p w14:paraId="6D65719F" w14:textId="77777777" w:rsidR="00B03DE5" w:rsidRPr="00FF2DDD" w:rsidRDefault="00B03DE5"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Strategia określa cel do 2050 r. - ograniczenie emisji gazów cieplarnianych o 90%. Cele pośrednie:</w:t>
            </w:r>
            <w:r w:rsidRPr="00FF2DDD">
              <w:rPr>
                <w:rFonts w:eastAsia="Times New Roman" w:cstheme="minorHAnsi"/>
                <w:color w:val="000000"/>
                <w:szCs w:val="24"/>
                <w:lang w:eastAsia="pl-PL"/>
              </w:rPr>
              <w:br/>
              <w:t>do 2030 r.:</w:t>
            </w:r>
            <w:r w:rsidRPr="00FF2DDD">
              <w:rPr>
                <w:rFonts w:eastAsia="Times New Roman" w:cstheme="minorHAnsi"/>
                <w:color w:val="000000"/>
                <w:szCs w:val="24"/>
                <w:lang w:eastAsia="pl-PL"/>
              </w:rPr>
              <w:br/>
              <w:t>- po europejskich drogach będzie jeździć co najmniej 30 mln pojazdów bezemisyjnych; 100 europejskich miast będzie neutralnych dla klimatu; dwukrotnie zwiększy się ruch kolei dużych prędkości; regularny transport zbiorowy do 500 km powinien być neutralny pod względem emisji dwutlenku węgla w obrębie UE; wdrożenie na szeroką skalę zautomatyzowanej mobilności; przygotowanie bezemisyjnych statków do wprowadzenia na rynek;</w:t>
            </w:r>
            <w:r w:rsidRPr="00FF2DDD">
              <w:rPr>
                <w:rFonts w:eastAsia="Times New Roman" w:cstheme="minorHAnsi"/>
                <w:color w:val="000000"/>
                <w:szCs w:val="24"/>
                <w:lang w:eastAsia="pl-PL"/>
              </w:rPr>
              <w:br/>
              <w:t>do 2035 r.:</w:t>
            </w:r>
            <w:r w:rsidRPr="00FF2DDD">
              <w:rPr>
                <w:rFonts w:eastAsia="Times New Roman" w:cstheme="minorHAnsi"/>
                <w:color w:val="000000"/>
                <w:szCs w:val="24"/>
                <w:lang w:eastAsia="pl-PL"/>
              </w:rPr>
              <w:br/>
              <w:t>- przygotowanie bezemisyjnych dużych statków powietrznych do wprowadzenia na rynek;</w:t>
            </w:r>
            <w:r w:rsidRPr="00FF2DDD">
              <w:rPr>
                <w:rFonts w:eastAsia="Times New Roman" w:cstheme="minorHAnsi"/>
                <w:color w:val="000000"/>
                <w:szCs w:val="24"/>
                <w:lang w:eastAsia="pl-PL"/>
              </w:rPr>
              <w:br/>
              <w:t>do 2050 r.:</w:t>
            </w:r>
            <w:r w:rsidRPr="00FF2DDD">
              <w:rPr>
                <w:rFonts w:eastAsia="Times New Roman" w:cstheme="minorHAnsi"/>
                <w:color w:val="000000"/>
                <w:szCs w:val="24"/>
                <w:lang w:eastAsia="pl-PL"/>
              </w:rPr>
              <w:br/>
              <w:t>- niemal wszystkie samochody osobowe, samochody dostawcze, autobusy oraz nowe pojazdy ciężkie będą bezemisyjne; dwukrotnie zwiększy się ruch, jeżeli chodzi o kolejowe przewozy towarowe; trzykrotnie zwiększy się ruch kolei dużych prędkości; multimodalna transeuropejska sieć transportowa (TEN-T) wyposażona na potrzeby zrównoważonego i inteligentnego transportu zapewniającego szybkie połączenia będzie działać w ramach sieci kompleksowej.</w:t>
            </w:r>
          </w:p>
        </w:tc>
        <w:tc>
          <w:tcPr>
            <w:tcW w:w="238" w:type="pct"/>
            <w:gridSpan w:val="2"/>
            <w:noWrap/>
            <w:hideMark/>
          </w:tcPr>
          <w:p w14:paraId="67C4D1D4"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4B28F9B"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13BDBC3"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06AB95C"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955B905"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08A7A9F2"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6B726480" w14:textId="2678926E"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B03DE5" w:rsidRPr="0026051C" w14:paraId="4BB52094" w14:textId="77777777" w:rsidTr="008D2A1E">
        <w:trPr>
          <w:trHeight w:val="1125"/>
        </w:trPr>
        <w:tc>
          <w:tcPr>
            <w:cnfStyle w:val="001000000000" w:firstRow="0" w:lastRow="0" w:firstColumn="1" w:lastColumn="0" w:oddVBand="0" w:evenVBand="0" w:oddHBand="0" w:evenHBand="0" w:firstRowFirstColumn="0" w:firstRowLastColumn="0" w:lastRowFirstColumn="0" w:lastRowLastColumn="0"/>
            <w:tcW w:w="1117" w:type="pct"/>
            <w:hideMark/>
          </w:tcPr>
          <w:p w14:paraId="28DF7A36" w14:textId="77777777" w:rsidR="00B03DE5" w:rsidRPr="00FF2DDD" w:rsidRDefault="00B03DE5"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Rozporządzenie Parlamentu Europejskiego i Rady (UE) Nr 1315/2013 z dnia 11 grudnia 2013 r. w sprawie unijnych wytycznych dotyczących rozwoju transeuropejskiej sieci transportowej i uchylające decyzję nr 661/2010/UE</w:t>
            </w:r>
          </w:p>
        </w:tc>
        <w:tc>
          <w:tcPr>
            <w:tcW w:w="2214" w:type="pct"/>
            <w:hideMark/>
          </w:tcPr>
          <w:p w14:paraId="20602975" w14:textId="77777777" w:rsidR="00B03DE5" w:rsidRPr="00FF2DDD" w:rsidRDefault="00B03DE5"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 xml:space="preserve">Cele wskazane w Rozporządzeniu: </w:t>
            </w:r>
            <w:r w:rsidRPr="00FF2DDD">
              <w:rPr>
                <w:rFonts w:eastAsia="Times New Roman" w:cstheme="minorHAnsi"/>
                <w:color w:val="000000"/>
                <w:szCs w:val="24"/>
                <w:lang w:eastAsia="pl-PL"/>
              </w:rPr>
              <w:br/>
              <w:t xml:space="preserve">- Przyczynianie się, zgodnie ze strategią „Europa 2020”, do inteligentnego i zrównoważonego rozwoju sprzyjającego włączeniu społecznemu poprzez tworzenie nowoczesnych i wysoce efektywnych sieci transeuropejskich uwzględniających oczekiwane przyszłe przepływy ruchu, </w:t>
            </w:r>
            <w:r w:rsidRPr="00FF2DDD">
              <w:rPr>
                <w:rFonts w:eastAsia="Times New Roman" w:cstheme="minorHAnsi"/>
                <w:color w:val="000000"/>
                <w:szCs w:val="24"/>
                <w:lang w:eastAsia="pl-PL"/>
              </w:rPr>
              <w:br/>
              <w:t xml:space="preserve">- Umożliwienie Unii osiągnięcie do 2020 r. poziomów docelowych w zakresie zrównoważonego rozwoju, w tym zmniejszenia emisji gazów cieplarnianych o co najmniej 20 % w porównaniu z poziomem z 1990 r. i zwiększenia efektywności energetycznej o 20 %, a tak że podniesienia udziału energii ze źródeł odnawialnych do 20 %, </w:t>
            </w:r>
            <w:r w:rsidRPr="00FF2DDD">
              <w:rPr>
                <w:rFonts w:eastAsia="Times New Roman" w:cstheme="minorHAnsi"/>
                <w:color w:val="000000"/>
                <w:szCs w:val="24"/>
                <w:lang w:eastAsia="pl-PL"/>
              </w:rPr>
              <w:br/>
              <w:t xml:space="preserve">- Zapewnienie zrównoważonych i efektywnych systemów transportowych w długim okresie, umożliwiających dekarbonizację wszystkich rodzajów transportu przez przejście na innowacyjne, niskoemisyjne i energooszczędne technologie transportowe. </w:t>
            </w:r>
            <w:r w:rsidRPr="00FF2DDD">
              <w:rPr>
                <w:rFonts w:eastAsia="Times New Roman" w:cstheme="minorHAnsi"/>
                <w:color w:val="000000"/>
                <w:szCs w:val="24"/>
                <w:lang w:eastAsia="pl-PL"/>
              </w:rPr>
              <w:br/>
              <w:t>- Przyczynienie się do zrównoważonego rozwoju i ochrony środowiska, między innymi poprzez włączenie energii pochodzącej ze źródeł odnawialnych do sieci przesyłowej oraz poprzez rozwój inteligentnych sieci energetycznych i sieci telekomunikacyjnych.</w:t>
            </w:r>
          </w:p>
        </w:tc>
        <w:tc>
          <w:tcPr>
            <w:tcW w:w="238" w:type="pct"/>
            <w:gridSpan w:val="2"/>
            <w:noWrap/>
            <w:hideMark/>
          </w:tcPr>
          <w:p w14:paraId="24233E0E"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77105CAD"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9C03E86"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F2B8740"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3F083A7"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6CF7A2F7"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22E5247A" w14:textId="1DB7640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B03DE5" w:rsidRPr="0026051C" w14:paraId="2DE98CDA" w14:textId="77777777" w:rsidTr="008D2A1E">
        <w:trPr>
          <w:trHeight w:val="1692"/>
        </w:trPr>
        <w:tc>
          <w:tcPr>
            <w:cnfStyle w:val="001000000000" w:firstRow="0" w:lastRow="0" w:firstColumn="1" w:lastColumn="0" w:oddVBand="0" w:evenVBand="0" w:oddHBand="0" w:evenHBand="0" w:firstRowFirstColumn="0" w:firstRowLastColumn="0" w:lastRowFirstColumn="0" w:lastRowLastColumn="0"/>
            <w:tcW w:w="1117" w:type="pct"/>
            <w:hideMark/>
          </w:tcPr>
          <w:p w14:paraId="7EAFB9CF" w14:textId="77777777" w:rsidR="00B03DE5" w:rsidRPr="00FF2DDD" w:rsidRDefault="00B03DE5" w:rsidP="0026051C">
            <w:pPr>
              <w:spacing w:before="0" w:line="276" w:lineRule="auto"/>
              <w:jc w:val="both"/>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Rozporządzenie Parlamentu Europejskiego i Rady (UE) z dnia 11 grudnia 2013 r. nr 1316/2013 ustanawiające instrument Łącząc Europę, zmieniające rozporządzenie (UE) nr 913/2010 oraz uchylające rozporządzenia (WE) nr 680/2007 i (WE) nr 67/2010</w:t>
            </w:r>
          </w:p>
        </w:tc>
        <w:tc>
          <w:tcPr>
            <w:tcW w:w="2214" w:type="pct"/>
            <w:hideMark/>
          </w:tcPr>
          <w:p w14:paraId="3678378E" w14:textId="77777777" w:rsidR="00B03DE5" w:rsidRPr="00FF2DDD" w:rsidRDefault="00B03DE5"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 xml:space="preserve">Cele wskazane w Rozporządzeniu: </w:t>
            </w:r>
            <w:r w:rsidRPr="00FF2DDD">
              <w:rPr>
                <w:rFonts w:eastAsia="Times New Roman" w:cstheme="minorHAnsi"/>
                <w:color w:val="000000"/>
                <w:szCs w:val="24"/>
                <w:lang w:eastAsia="pl-PL"/>
              </w:rPr>
              <w:br/>
              <w:t xml:space="preserve">- Przyczynianie się, zgodnie ze strategią „Europa 2020”, do inteligentnego i zrównoważonego rozwoju sprzyjającego włączeniu społecznemu poprzez tworzenie nowoczesnych i wysoce efektywnych sieci transeuropejskich uwzględniających oczekiwane przyszłe przepływy ruchu, </w:t>
            </w:r>
            <w:r w:rsidRPr="00FF2DDD">
              <w:rPr>
                <w:rFonts w:eastAsia="Times New Roman" w:cstheme="minorHAnsi"/>
                <w:color w:val="000000"/>
                <w:szCs w:val="24"/>
                <w:lang w:eastAsia="pl-PL"/>
              </w:rPr>
              <w:br/>
              <w:t xml:space="preserve">- Umożliwienie Unii osiągnięcie do 2020 r. poziomów docelowych w zakresie zrównoważonego rozwoju, w tym zmniejszenia emisji gazów cieplarnianych o co najmniej 20 % w porównaniu z poziomem z 1990 r. i zwiększenia efektywności energetycznej o 20 %, a tak że podniesienia udziału energii ze źródeł odnawialnych do 20 %, </w:t>
            </w:r>
            <w:r w:rsidRPr="00FF2DDD">
              <w:rPr>
                <w:rFonts w:eastAsia="Times New Roman" w:cstheme="minorHAnsi"/>
                <w:color w:val="000000"/>
                <w:szCs w:val="24"/>
                <w:lang w:eastAsia="pl-PL"/>
              </w:rPr>
              <w:br/>
              <w:t xml:space="preserve">- Zapewnienie zrównoważonych i efektywnych systemów transportowych w długim okresie, umożliwiających dekarbonizację wszystkich rodzajów transportu przez przejście na innowacyjne, niskoemisyjne i energooszczędne technologie transportowe. </w:t>
            </w:r>
            <w:r w:rsidRPr="00FF2DDD">
              <w:rPr>
                <w:rFonts w:eastAsia="Times New Roman" w:cstheme="minorHAnsi"/>
                <w:color w:val="000000"/>
                <w:szCs w:val="24"/>
                <w:lang w:eastAsia="pl-PL"/>
              </w:rPr>
              <w:br/>
              <w:t>- Przyczynienie się do zrównoważonego rozwoju i ochrony środowiska, między innymi poprzez włączenie energii pochodzącej ze źródeł odnawialnych do sieci przesyłowej oraz poprzez rozwój inteligentnych sieci energetycznych i sieci przesyłowych dwutlenku węgla.</w:t>
            </w:r>
          </w:p>
        </w:tc>
        <w:tc>
          <w:tcPr>
            <w:tcW w:w="238" w:type="pct"/>
            <w:gridSpan w:val="2"/>
            <w:noWrap/>
            <w:hideMark/>
          </w:tcPr>
          <w:p w14:paraId="3CF81814"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4C09AC6"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BFE59CC"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7C7C5F8"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6029349"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1BD92958"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1502F7CF" w14:textId="62F57D59"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B03DE5" w:rsidRPr="0026051C" w14:paraId="360932C2" w14:textId="77777777" w:rsidTr="008D2A1E">
        <w:trPr>
          <w:trHeight w:val="2400"/>
        </w:trPr>
        <w:tc>
          <w:tcPr>
            <w:cnfStyle w:val="001000000000" w:firstRow="0" w:lastRow="0" w:firstColumn="1" w:lastColumn="0" w:oddVBand="0" w:evenVBand="0" w:oddHBand="0" w:evenHBand="0" w:firstRowFirstColumn="0" w:firstRowLastColumn="0" w:lastRowFirstColumn="0" w:lastRowLastColumn="0"/>
            <w:tcW w:w="1117" w:type="pct"/>
            <w:hideMark/>
          </w:tcPr>
          <w:p w14:paraId="73CD5A10" w14:textId="77777777" w:rsidR="00B03DE5" w:rsidRPr="00FF2DDD" w:rsidRDefault="00B03DE5"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XII Ogólny unijny program działań w zakresie środowiska do 2020 r. Dobrze żyć w granicach naszej planety (7 EAP)</w:t>
            </w:r>
          </w:p>
        </w:tc>
        <w:tc>
          <w:tcPr>
            <w:tcW w:w="2214" w:type="pct"/>
            <w:hideMark/>
          </w:tcPr>
          <w:p w14:paraId="280513F8" w14:textId="77777777" w:rsidR="00B03DE5" w:rsidRPr="00FF2DDD" w:rsidRDefault="00B03DE5"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Zawiera następujące kierunki działań:</w:t>
            </w:r>
            <w:r w:rsidRPr="00FF2DDD">
              <w:rPr>
                <w:rFonts w:eastAsia="Times New Roman" w:cstheme="minorHAnsi"/>
                <w:color w:val="000000"/>
                <w:szCs w:val="24"/>
                <w:lang w:eastAsia="pl-PL"/>
              </w:rPr>
              <w:br/>
              <w:t>- ochrona, zachowanie i poprawa kapitału naturalnego Unii,</w:t>
            </w:r>
            <w:r w:rsidRPr="00FF2DDD">
              <w:rPr>
                <w:rFonts w:eastAsia="Times New Roman" w:cstheme="minorHAnsi"/>
                <w:color w:val="000000"/>
                <w:szCs w:val="24"/>
                <w:lang w:eastAsia="pl-PL"/>
              </w:rPr>
              <w:br/>
              <w:t>- przekształcenie Unii w zasobooszczędną, zieloną i konkurencyjną gospodarkę niskoemisyjną,</w:t>
            </w:r>
            <w:r w:rsidRPr="00FF2DDD">
              <w:rPr>
                <w:rFonts w:eastAsia="Times New Roman" w:cstheme="minorHAnsi"/>
                <w:color w:val="000000"/>
                <w:szCs w:val="24"/>
                <w:lang w:eastAsia="pl-PL"/>
              </w:rPr>
              <w:br/>
              <w:t>- ochrona obywateli Unii przed związanymi ze środowiskiem presjami i zagrożeniami dla zdrowia i dobrostanu,</w:t>
            </w:r>
            <w:r w:rsidRPr="00FF2DDD">
              <w:rPr>
                <w:rFonts w:eastAsia="Times New Roman" w:cstheme="minorHAnsi"/>
                <w:color w:val="000000"/>
                <w:szCs w:val="24"/>
                <w:lang w:eastAsia="pl-PL"/>
              </w:rPr>
              <w:br/>
              <w:t>- maksymalizacja korzyści płynących z prawodawstwa Unii w zakresie środowiska poprzez lepsze wdrażanie tego prawodawstwa,</w:t>
            </w:r>
            <w:r w:rsidRPr="00FF2DDD">
              <w:rPr>
                <w:rFonts w:eastAsia="Times New Roman" w:cstheme="minorHAnsi"/>
                <w:color w:val="000000"/>
                <w:szCs w:val="24"/>
                <w:lang w:eastAsia="pl-PL"/>
              </w:rPr>
              <w:br/>
              <w:t>- doskonalenie bazy wiedzy i bazy dowodowej unijnej polityki w zakresie środowiska,</w:t>
            </w:r>
            <w:r w:rsidRPr="00FF2DDD">
              <w:rPr>
                <w:rFonts w:eastAsia="Times New Roman" w:cstheme="minorHAnsi"/>
                <w:color w:val="000000"/>
                <w:szCs w:val="24"/>
                <w:lang w:eastAsia="pl-PL"/>
              </w:rPr>
              <w:br/>
              <w:t>- zabezpieczenie inwestycji na rzecz polityki w zakresie środowiska i klimatu oraz podjęcie kwestii ekologicznych efektów zewnętrznych,</w:t>
            </w:r>
            <w:r w:rsidRPr="00FF2DDD">
              <w:rPr>
                <w:rFonts w:eastAsia="Times New Roman" w:cstheme="minorHAnsi"/>
                <w:color w:val="000000"/>
                <w:szCs w:val="24"/>
                <w:lang w:eastAsia="pl-PL"/>
              </w:rPr>
              <w:br/>
              <w:t>- wspieranie zrównoważonego charakteru miast Unii,</w:t>
            </w:r>
            <w:r w:rsidRPr="00FF2DDD">
              <w:rPr>
                <w:rFonts w:eastAsia="Times New Roman" w:cstheme="minorHAnsi"/>
                <w:color w:val="000000"/>
                <w:szCs w:val="24"/>
                <w:lang w:eastAsia="pl-PL"/>
              </w:rPr>
              <w:br/>
              <w:t>- zwiększenie efektywności Unii w podejmowaniu międzynarodowych wyzwań związanych ze środowiskiem i klimatem.</w:t>
            </w:r>
          </w:p>
        </w:tc>
        <w:tc>
          <w:tcPr>
            <w:tcW w:w="238" w:type="pct"/>
            <w:gridSpan w:val="2"/>
            <w:noWrap/>
            <w:hideMark/>
          </w:tcPr>
          <w:p w14:paraId="65DBEA2E"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0B3E5CA"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083529E"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905683D"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F7CDB21"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33EF5B34" w14:textId="77777777"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625D72C7" w14:textId="39973D43" w:rsidR="00B03DE5" w:rsidRPr="00FF2DDD" w:rsidRDefault="00B03DE5"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3B0816" w:rsidRPr="0026051C" w14:paraId="5A007566" w14:textId="77777777" w:rsidTr="008D2A1E">
        <w:trPr>
          <w:trHeight w:val="1200"/>
        </w:trPr>
        <w:tc>
          <w:tcPr>
            <w:cnfStyle w:val="001000000000" w:firstRow="0" w:lastRow="0" w:firstColumn="1" w:lastColumn="0" w:oddVBand="0" w:evenVBand="0" w:oddHBand="0" w:evenHBand="0" w:firstRowFirstColumn="0" w:firstRowLastColumn="0" w:lastRowFirstColumn="0" w:lastRowLastColumn="0"/>
            <w:tcW w:w="1117" w:type="pct"/>
            <w:hideMark/>
          </w:tcPr>
          <w:p w14:paraId="19ED0216" w14:textId="77777777" w:rsidR="003B0816" w:rsidRPr="00FF2DDD" w:rsidRDefault="003B0816"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 xml:space="preserve">Komunikat Komisji do Parlamentu Europejskiego, Rady, Europejskiego Komitetu Ekonomiczno - Społecznego i Komitetu Regionów, Europa, która chroni czyste powietrze dla wszystkich, t. zw. Pakiet czyste powietrze, COM(2018) 330 final </w:t>
            </w:r>
          </w:p>
        </w:tc>
        <w:tc>
          <w:tcPr>
            <w:tcW w:w="2214" w:type="pct"/>
            <w:hideMark/>
          </w:tcPr>
          <w:p w14:paraId="3475D604" w14:textId="77777777" w:rsidR="003B0816" w:rsidRPr="00FF2DDD" w:rsidRDefault="003B081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Pakiet zawiera:</w:t>
            </w:r>
            <w:r w:rsidRPr="00FF2DDD">
              <w:rPr>
                <w:rFonts w:eastAsia="Times New Roman" w:cstheme="minorHAnsi"/>
                <w:color w:val="000000"/>
                <w:szCs w:val="24"/>
                <w:lang w:eastAsia="pl-PL"/>
              </w:rPr>
              <w:br/>
              <w:t>- nowy Program czystego powietrza dla Europy z propozycją środków dla poprawy jakości powietrza w krótkim terminie oraz cele do 2030r.,</w:t>
            </w:r>
            <w:r w:rsidRPr="00FF2DDD">
              <w:rPr>
                <w:rFonts w:eastAsia="Times New Roman" w:cstheme="minorHAnsi"/>
                <w:color w:val="000000"/>
                <w:szCs w:val="24"/>
                <w:lang w:eastAsia="pl-PL"/>
              </w:rPr>
              <w:br/>
              <w:t>- rewizje Dyrektywy pułapowej (zmiana protokołu z Goeteborga do Konwencji LRTAP), ograniczającą poważnie krajowe pułapy emisji zanieczyszczeń powietrza,</w:t>
            </w:r>
            <w:r w:rsidRPr="00FF2DDD">
              <w:rPr>
                <w:rFonts w:eastAsia="Times New Roman" w:cstheme="minorHAnsi"/>
                <w:color w:val="000000"/>
                <w:szCs w:val="24"/>
                <w:lang w:eastAsia="pl-PL"/>
              </w:rPr>
              <w:br/>
              <w:t>- propozycję nowej dyrektywy na temat redukcji emisji zanieczyszczeń ze średniej wielkości instalacji o mocy 1-50 MW.</w:t>
            </w:r>
            <w:r w:rsidRPr="00FF2DDD">
              <w:rPr>
                <w:rFonts w:eastAsia="Times New Roman" w:cstheme="minorHAnsi"/>
                <w:color w:val="000000"/>
                <w:szCs w:val="24"/>
                <w:lang w:eastAsia="pl-PL"/>
              </w:rPr>
              <w:br/>
              <w:t>Proponowane Pakietem działania legislacyjne zostały zrealizowane.</w:t>
            </w:r>
          </w:p>
        </w:tc>
        <w:tc>
          <w:tcPr>
            <w:tcW w:w="238" w:type="pct"/>
            <w:gridSpan w:val="2"/>
            <w:noWrap/>
            <w:hideMark/>
          </w:tcPr>
          <w:p w14:paraId="27A030FF"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47845C6F"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BDAF833"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A708941"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A4E5C74"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1B3D9FD1"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058BA9DF" w14:textId="56803E14"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3B0816" w:rsidRPr="0026051C" w14:paraId="03EA62AB" w14:textId="77777777" w:rsidTr="008D2A1E">
        <w:trPr>
          <w:trHeight w:val="58"/>
        </w:trPr>
        <w:tc>
          <w:tcPr>
            <w:cnfStyle w:val="001000000000" w:firstRow="0" w:lastRow="0" w:firstColumn="1" w:lastColumn="0" w:oddVBand="0" w:evenVBand="0" w:oddHBand="0" w:evenHBand="0" w:firstRowFirstColumn="0" w:firstRowLastColumn="0" w:lastRowFirstColumn="0" w:lastRowLastColumn="0"/>
            <w:tcW w:w="1117" w:type="pct"/>
            <w:hideMark/>
          </w:tcPr>
          <w:p w14:paraId="5EA4BC65" w14:textId="77777777" w:rsidR="003B0816" w:rsidRPr="00FF2DDD" w:rsidRDefault="003B0816"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Komunikat Komisji do Parlamentu Europejskiego, Rady, Europejskiego Komitetu Ekonomiczno - Społecznego i Komitetu Regionów, Czysta energia dla wszystkich Europejczyków tzw. Pakiet zimowy COM(2016) 860</w:t>
            </w:r>
          </w:p>
        </w:tc>
        <w:tc>
          <w:tcPr>
            <w:tcW w:w="2214" w:type="pct"/>
            <w:hideMark/>
          </w:tcPr>
          <w:p w14:paraId="70DC4F92" w14:textId="77777777" w:rsidR="003B0816" w:rsidRPr="00FF2DDD" w:rsidRDefault="003B081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Głównymi priorytetami pakietu są: wzmocnienie bezpieczeństwa energetycznego oraz praw konsumentów, sprawiedliwe wsparcie wszystkich regionów tak, aby osiągnąć równomierny poziom wzrostu gospodarczego i równocześnie wyeliminować ubóstwo energetyczne. Realizacja tych celów ma umożliwić UE osiągnięcie przywództwa w realizacji celów Porozumienia Paryskiego.</w:t>
            </w:r>
            <w:r w:rsidRPr="00FF2DDD">
              <w:rPr>
                <w:rFonts w:eastAsia="Times New Roman" w:cstheme="minorHAnsi"/>
                <w:color w:val="000000"/>
                <w:szCs w:val="24"/>
                <w:lang w:eastAsia="pl-PL"/>
              </w:rPr>
              <w:br/>
              <w:t>W ramach działań objętych pakietem zostało przyjętych szereg dokumentów. Mają one umożliwić osiągnięcie do 2030 roku głównych Unijnych celów energetycznych jakimi są m. in.: ograniczenie emisji gazów cieplarnianych o minimum 40%, osiągnięcie 32% udziału odnawialnych źródeł energii w końcowym zużyciu energii brutto oraz zwiększenie efektywności energetycznej o 32,5 % , jednocześnie zakładając, iż w 2030 r. zużycie energii pierwotnej nie będzie większe niż 1 273 Mtoe, co stanowi ok. 53,3 mln TJ. Ponadto przyjęto szereg innych dokumentów dotyczących m. in. zarządzania Unią Energetyczną, efektywności energetycznej budynków, emisji z transportu itp.</w:t>
            </w:r>
          </w:p>
        </w:tc>
        <w:tc>
          <w:tcPr>
            <w:tcW w:w="238" w:type="pct"/>
            <w:gridSpan w:val="2"/>
            <w:noWrap/>
            <w:hideMark/>
          </w:tcPr>
          <w:p w14:paraId="4EE58EEC"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7A8C960"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1425952"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969526A"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88B8C1F"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6C8B3782"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4F40CC4C" w14:textId="080EEDD6"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3B0816" w:rsidRPr="0026051C" w14:paraId="3A372EE7" w14:textId="77777777" w:rsidTr="008D2A1E">
        <w:trPr>
          <w:trHeight w:val="694"/>
        </w:trPr>
        <w:tc>
          <w:tcPr>
            <w:cnfStyle w:val="001000000000" w:firstRow="0" w:lastRow="0" w:firstColumn="1" w:lastColumn="0" w:oddVBand="0" w:evenVBand="0" w:oddHBand="0" w:evenHBand="0" w:firstRowFirstColumn="0" w:firstRowLastColumn="0" w:lastRowFirstColumn="0" w:lastRowLastColumn="0"/>
            <w:tcW w:w="1117" w:type="pct"/>
            <w:hideMark/>
          </w:tcPr>
          <w:p w14:paraId="51D7F28B" w14:textId="77777777" w:rsidR="003B0816" w:rsidRPr="00FF2DDD" w:rsidRDefault="003B0816"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Komunikat Komisji do Parlamentu Europejskiego, Rady, Europejskiego Komitetu Ekonomiczno - Społecznego i Komitetu Regionów, EU Biodiversity Strategy for 2030, Bringing nature back into our lives COM(2020) 380 final</w:t>
            </w:r>
            <w:r w:rsidRPr="00FF2DDD">
              <w:rPr>
                <w:rFonts w:eastAsia="Times New Roman" w:cstheme="minorHAnsi"/>
                <w:b w:val="0"/>
                <w:bCs w:val="0"/>
                <w:color w:val="000000"/>
                <w:szCs w:val="24"/>
                <w:lang w:eastAsia="pl-PL"/>
              </w:rPr>
              <w:br/>
            </w:r>
          </w:p>
        </w:tc>
        <w:tc>
          <w:tcPr>
            <w:tcW w:w="2214" w:type="pct"/>
            <w:hideMark/>
          </w:tcPr>
          <w:p w14:paraId="64808FB7" w14:textId="77777777" w:rsidR="003B0816" w:rsidRPr="00FF2DDD" w:rsidRDefault="003B081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Głównymi celami Strategii jest:</w:t>
            </w:r>
            <w:r w:rsidRPr="00FF2DDD">
              <w:rPr>
                <w:rFonts w:eastAsia="Times New Roman" w:cstheme="minorHAnsi"/>
                <w:color w:val="000000"/>
                <w:szCs w:val="24"/>
                <w:lang w:eastAsia="pl-PL"/>
              </w:rPr>
              <w:br/>
              <w:t>• Ustanowienie większej ogólnounijnej sieci obszarów chronionych na lądzie i morzu, w oparciu o istniejące obszary Natura 2000, ze ścisłą ochroną dla obszarów o bardzo wysokiej różnorodności biologicznej i wartości klimatycznej (minimum 30% powierzchni mórz i lądu w UE powinno podlegać ochronie, w ty 10% tych powierzchni powinno podlegać ścisłej ochronie).</w:t>
            </w:r>
            <w:r w:rsidRPr="00FF2DDD">
              <w:rPr>
                <w:rFonts w:eastAsia="Times New Roman" w:cstheme="minorHAnsi"/>
                <w:color w:val="000000"/>
                <w:szCs w:val="24"/>
                <w:lang w:eastAsia="pl-PL"/>
              </w:rPr>
              <w:br/>
              <w:t>• Unijny plan odbudowy przyrody - szereg konkretnych zobowiązań i działań mających na celu przywrócenie zdegradowanych ekosystemów w całej UE do 2030 r. I zarządzanie nimi w sposób zrównoważony, uwzględniając główne czynniki utraty różnorodności biologicznej.</w:t>
            </w:r>
            <w:r w:rsidRPr="00FF2DDD">
              <w:rPr>
                <w:rFonts w:eastAsia="Times New Roman" w:cstheme="minorHAnsi"/>
                <w:color w:val="000000"/>
                <w:szCs w:val="24"/>
                <w:lang w:eastAsia="pl-PL"/>
              </w:rPr>
              <w:br/>
              <w:t>• Zestaw środków umożliwiających niezbędne zmiany transformacyjne: uruchomienie nowych, wzmocnionych ram zarządzania w celu zapewnienia lepszego wdrażania i śledzenia postępów, poprawy wiedzy, finansowania i inwestycji oraz lepszego poszanowania natury w podejmowaniu decyzji publicznych i biznesowych.</w:t>
            </w:r>
            <w:r w:rsidRPr="00FF2DDD">
              <w:rPr>
                <w:rFonts w:eastAsia="Times New Roman" w:cstheme="minorHAnsi"/>
                <w:color w:val="000000"/>
                <w:szCs w:val="24"/>
                <w:lang w:eastAsia="pl-PL"/>
              </w:rPr>
              <w:br/>
              <w:t>• Środki mające na celu rozwiązanie globalnego wyzwania w zakresie różnorodności biologicznej, pokazujące, że UE jest gotowa dawać przykład w kierunku pomyślnego przyjęcia ambitnych globalnych ram dotyczących różnorodności biologicznej na mocy Konwencji o różnorodności biologicznej.</w:t>
            </w:r>
          </w:p>
        </w:tc>
        <w:tc>
          <w:tcPr>
            <w:tcW w:w="238" w:type="pct"/>
            <w:gridSpan w:val="2"/>
            <w:noWrap/>
            <w:hideMark/>
          </w:tcPr>
          <w:p w14:paraId="33165BCA"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7BCC14F8"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F4D5DF6"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361A878D"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32CEF641"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48C9E0C6"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183EBF22" w14:textId="1B472DD4"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3B0816" w:rsidRPr="0026051C" w14:paraId="274CC11C" w14:textId="77777777" w:rsidTr="008D2A1E">
        <w:trPr>
          <w:trHeight w:val="1440"/>
        </w:trPr>
        <w:tc>
          <w:tcPr>
            <w:cnfStyle w:val="001000000000" w:firstRow="0" w:lastRow="0" w:firstColumn="1" w:lastColumn="0" w:oddVBand="0" w:evenVBand="0" w:oddHBand="0" w:evenHBand="0" w:firstRowFirstColumn="0" w:firstRowLastColumn="0" w:lastRowFirstColumn="0" w:lastRowLastColumn="0"/>
            <w:tcW w:w="1117" w:type="pct"/>
            <w:hideMark/>
          </w:tcPr>
          <w:p w14:paraId="720F2C8E" w14:textId="77777777" w:rsidR="003B0816" w:rsidRPr="00FF2DDD" w:rsidRDefault="003B0816"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Agenda Terytorialna Unii Europejskiej W kierunku sprzyjającej społecznemu włączeniu, inteligentnej i zrównoważonej Europy zróżnicowanych regionów</w:t>
            </w:r>
            <w:r w:rsidRPr="00FF2DDD">
              <w:rPr>
                <w:rFonts w:eastAsia="Times New Roman" w:cstheme="minorHAnsi"/>
                <w:b w:val="0"/>
                <w:bCs w:val="0"/>
                <w:color w:val="000000"/>
                <w:szCs w:val="24"/>
                <w:lang w:eastAsia="pl-PL"/>
              </w:rPr>
              <w:br/>
            </w:r>
          </w:p>
        </w:tc>
        <w:tc>
          <w:tcPr>
            <w:tcW w:w="2214" w:type="pct"/>
            <w:hideMark/>
          </w:tcPr>
          <w:p w14:paraId="4B2D3F38" w14:textId="77777777" w:rsidR="003B0816" w:rsidRPr="00FF2DDD" w:rsidRDefault="003B081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Celem dokumentu jest ochrona wysokiej wartości europejskich krajobrazów miejskich i wiejskich oraz poprawianie ich jakości. W tym zakresie wskazuje na potrzebę poprawy zarządzania i budowanie powiązań między ekologicznymi, krajobrazowymi i kulturowymi walorami regionów w tym: wspólne zarządzanie ryzykiem uwzględniające zróżnicowane specyficzne cechy geograficzne, włączanie systemów ekologicznych i obszarów chronionych, ze względu na ich wartości przyrodnicze, do sieci infrastruktury ekologicznej na wszystkich szczeblach.</w:t>
            </w:r>
          </w:p>
        </w:tc>
        <w:tc>
          <w:tcPr>
            <w:tcW w:w="238" w:type="pct"/>
            <w:gridSpan w:val="2"/>
            <w:noWrap/>
            <w:hideMark/>
          </w:tcPr>
          <w:p w14:paraId="21DF1618"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65F6CE4"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5E115F6"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7143B81"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E3BCC75"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371F8370"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2431D889" w14:textId="31B658C9"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3B0816" w:rsidRPr="0026051C" w14:paraId="36A62913" w14:textId="77777777" w:rsidTr="008D2A1E">
        <w:trPr>
          <w:trHeight w:val="1680"/>
        </w:trPr>
        <w:tc>
          <w:tcPr>
            <w:cnfStyle w:val="001000000000" w:firstRow="0" w:lastRow="0" w:firstColumn="1" w:lastColumn="0" w:oddVBand="0" w:evenVBand="0" w:oddHBand="0" w:evenHBand="0" w:firstRowFirstColumn="0" w:firstRowLastColumn="0" w:lastRowFirstColumn="0" w:lastRowLastColumn="0"/>
            <w:tcW w:w="1117" w:type="pct"/>
            <w:hideMark/>
          </w:tcPr>
          <w:p w14:paraId="469911A2" w14:textId="77777777" w:rsidR="003B0816" w:rsidRPr="00FF2DDD" w:rsidRDefault="003B0816"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 xml:space="preserve">Horyzont 2020 i Horyzont Europa; </w:t>
            </w:r>
          </w:p>
        </w:tc>
        <w:tc>
          <w:tcPr>
            <w:tcW w:w="2214" w:type="pct"/>
            <w:hideMark/>
          </w:tcPr>
          <w:p w14:paraId="7946521C" w14:textId="77777777" w:rsidR="003B0816" w:rsidRPr="00FF2DDD" w:rsidRDefault="003B081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Horyzont 2020 – Program ramowy w zakresie badań naukowych i innowacji jest największym programem UE integrującym badania naukowe i innowacje z budżetem na lata 2014-2020 wynoszącym ok. 80 mld Euro. w ramach nowej perspektywy finansowej na nową wersję Programu – Horyzont Europa przewiduje się ok. 100 mld Euro. Aktualnie finansowane projekty dotyczą 3 głównych wzajemnie wspierających się priorytetów: doskonała baza naukowa, wiodąca rola w przemyśle oraz wyzwania społeczne. Konkursy dotyczące energii znajdują się w priorytecie Wyzwania Społeczne (Social Challenges) w temacie SC 3 bezpieczna, czysta i efektywna energia. Dostępne są również konkursy w tematach przekrojowych dotyczące: efektywności energetycznej, OZE, inteligentnej i czystej energii, inteligentnych systemów energetycznych, inteligentne miasta (smart cities), zero emisji ze źródeł węglowych itp. Wypracowane w ramach Programu innowacje mają wspierać m. in. transformacje w kierunku gospodarki niskoemisyjnej oraz gospodarki obiegu zamkniętego.</w:t>
            </w:r>
          </w:p>
        </w:tc>
        <w:tc>
          <w:tcPr>
            <w:tcW w:w="238" w:type="pct"/>
            <w:gridSpan w:val="2"/>
            <w:noWrap/>
            <w:hideMark/>
          </w:tcPr>
          <w:p w14:paraId="19C8E958"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BACA178"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8BB63E4"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7F3FFDE"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6AB998D"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702E8F03"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0ED5AEF8" w14:textId="44665250"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3B0816" w:rsidRPr="0026051C" w14:paraId="0D50CBCE" w14:textId="77777777" w:rsidTr="008D2A1E">
        <w:trPr>
          <w:trHeight w:val="1200"/>
        </w:trPr>
        <w:tc>
          <w:tcPr>
            <w:cnfStyle w:val="001000000000" w:firstRow="0" w:lastRow="0" w:firstColumn="1" w:lastColumn="0" w:oddVBand="0" w:evenVBand="0" w:oddHBand="0" w:evenHBand="0" w:firstRowFirstColumn="0" w:firstRowLastColumn="0" w:lastRowFirstColumn="0" w:lastRowLastColumn="0"/>
            <w:tcW w:w="1117" w:type="pct"/>
            <w:hideMark/>
          </w:tcPr>
          <w:p w14:paraId="1F829499" w14:textId="77777777" w:rsidR="003B0816" w:rsidRPr="00FF2DDD" w:rsidRDefault="003B0816" w:rsidP="0026051C">
            <w:pPr>
              <w:spacing w:before="0" w:line="276" w:lineRule="auto"/>
              <w:rPr>
                <w:rFonts w:eastAsia="Times New Roman" w:cstheme="minorHAnsi"/>
                <w:b w:val="0"/>
                <w:bCs w:val="0"/>
                <w:color w:val="000000"/>
                <w:szCs w:val="24"/>
                <w:lang w:val="en-US" w:eastAsia="pl-PL"/>
              </w:rPr>
            </w:pPr>
            <w:r w:rsidRPr="00FF2DDD">
              <w:rPr>
                <w:rFonts w:eastAsia="Times New Roman" w:cstheme="minorHAnsi"/>
                <w:b w:val="0"/>
                <w:bCs w:val="0"/>
                <w:color w:val="000000"/>
                <w:szCs w:val="24"/>
                <w:lang w:val="en-US" w:eastAsia="pl-PL"/>
              </w:rPr>
              <w:t>The European Parliament resolution; European Year of Greener Cities 2020</w:t>
            </w:r>
          </w:p>
        </w:tc>
        <w:tc>
          <w:tcPr>
            <w:tcW w:w="2214" w:type="pct"/>
            <w:hideMark/>
          </w:tcPr>
          <w:p w14:paraId="6F8B6B20" w14:textId="77777777" w:rsidR="003B0816" w:rsidRPr="00FF2DDD" w:rsidRDefault="003B081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Inicjatywa, której celem jest podkreślenie faktu, że wprowadzanie przyrody do miast i zazielenianie naszych dzielnic jest jedną z największych niewykorzystanych szans na poprawę jakości życia obywateli Europy, poprawę ilości i jakości badań oraz wspieranie rozwoju innowacji. Ponadto ma zachęcać obywateli do działania na rzecz poprawy własnych dzielnic; stworzyć kulturę doceniania naszych zielonych przestrzeni; zwiększyć liczbę projektów zielonej infrastruktury; stworzyć mapę drogową ekologizacji miast europejskich do 2030 r., a ostatecznie połączyć wszystkie istniejące inicjatywy w dziedzinie zielonej infrastruktury, dzielić się najlepszymi praktykami i nadać impet ogólnemu programowi na szczeblu lokalnym, krajowym i UE.</w:t>
            </w:r>
          </w:p>
        </w:tc>
        <w:tc>
          <w:tcPr>
            <w:tcW w:w="238" w:type="pct"/>
            <w:gridSpan w:val="2"/>
            <w:noWrap/>
            <w:hideMark/>
          </w:tcPr>
          <w:p w14:paraId="529997A5"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695B79DE"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55F2D2F"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F5567B9"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6A790397"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3F8B9A76"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58F6C0D7" w14:textId="151C3D4F"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3B0816" w:rsidRPr="0026051C" w14:paraId="27CCB0D3" w14:textId="77777777" w:rsidTr="008D2A1E">
        <w:trPr>
          <w:trHeight w:val="1920"/>
        </w:trPr>
        <w:tc>
          <w:tcPr>
            <w:cnfStyle w:val="001000000000" w:firstRow="0" w:lastRow="0" w:firstColumn="1" w:lastColumn="0" w:oddVBand="0" w:evenVBand="0" w:oddHBand="0" w:evenHBand="0" w:firstRowFirstColumn="0" w:firstRowLastColumn="0" w:lastRowFirstColumn="0" w:lastRowLastColumn="0"/>
            <w:tcW w:w="1117" w:type="pct"/>
            <w:hideMark/>
          </w:tcPr>
          <w:p w14:paraId="6FA74D30" w14:textId="77777777" w:rsidR="003B0816" w:rsidRPr="00FF2DDD" w:rsidRDefault="003B0816"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Komunikat Komisji do Parlamentu Europejskiego, Rady, Europejskiego Komitetu Ekonomiczno - Społecznego i Komitetu Regionów, Strategia „od pola do stołu” Na rzecz sprawiedliwego, zdrowego i przyjaznego dla środowiska systemu żywnościowego, COM(2020)381</w:t>
            </w:r>
          </w:p>
        </w:tc>
        <w:tc>
          <w:tcPr>
            <w:tcW w:w="2214" w:type="pct"/>
            <w:hideMark/>
          </w:tcPr>
          <w:p w14:paraId="004922DA" w14:textId="77777777" w:rsidR="003B0816" w:rsidRPr="00FF2DDD" w:rsidRDefault="003B081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Cele dokumentu do 2030 r.:</w:t>
            </w:r>
            <w:r w:rsidRPr="00FF2DDD">
              <w:rPr>
                <w:rFonts w:eastAsia="Times New Roman" w:cstheme="minorHAnsi"/>
                <w:color w:val="000000"/>
                <w:szCs w:val="24"/>
                <w:lang w:eastAsia="pl-PL"/>
              </w:rPr>
              <w:br/>
              <w:t>- Ograniczenie zużycia pestycydów o 50 %,</w:t>
            </w:r>
            <w:r w:rsidRPr="00FF2DDD">
              <w:rPr>
                <w:rFonts w:eastAsia="Times New Roman" w:cstheme="minorHAnsi"/>
                <w:color w:val="000000"/>
                <w:szCs w:val="24"/>
                <w:lang w:eastAsia="pl-PL"/>
              </w:rPr>
              <w:br/>
              <w:t>- Ograniczenie zużycia nawozów sztucznych o 20%,</w:t>
            </w:r>
            <w:r w:rsidRPr="00FF2DDD">
              <w:rPr>
                <w:rFonts w:eastAsia="Times New Roman" w:cstheme="minorHAnsi"/>
                <w:color w:val="000000"/>
                <w:szCs w:val="24"/>
                <w:lang w:eastAsia="pl-PL"/>
              </w:rPr>
              <w:br/>
              <w:t>- Ograniczenie zużycia antybiotyków o 50%,</w:t>
            </w:r>
            <w:r w:rsidRPr="00FF2DDD">
              <w:rPr>
                <w:rFonts w:eastAsia="Times New Roman" w:cstheme="minorHAnsi"/>
                <w:color w:val="000000"/>
                <w:szCs w:val="24"/>
                <w:lang w:eastAsia="pl-PL"/>
              </w:rPr>
              <w:br/>
              <w:t>W stosunku do obecnego zużycia oraz:</w:t>
            </w:r>
            <w:r w:rsidRPr="00FF2DDD">
              <w:rPr>
                <w:rFonts w:eastAsia="Times New Roman" w:cstheme="minorHAnsi"/>
                <w:color w:val="000000"/>
                <w:szCs w:val="24"/>
                <w:lang w:eastAsia="pl-PL"/>
              </w:rPr>
              <w:br/>
              <w:t>- Przeznaczenia 20% areału na gospodarstwa organiczne,</w:t>
            </w:r>
            <w:r w:rsidRPr="00FF2DDD">
              <w:rPr>
                <w:rFonts w:eastAsia="Times New Roman" w:cstheme="minorHAnsi"/>
                <w:color w:val="000000"/>
                <w:szCs w:val="24"/>
                <w:lang w:eastAsia="pl-PL"/>
              </w:rPr>
              <w:br/>
              <w:t>- Restaurację naturalnego środowiska UE i transformację co najmniej 30% obszaru lądów i mórz UE w efektywnie zarządzane obszary chronione, żeby odwrócić negatywny trend utraty bioróżnorodności.</w:t>
            </w:r>
          </w:p>
        </w:tc>
        <w:tc>
          <w:tcPr>
            <w:tcW w:w="238" w:type="pct"/>
            <w:gridSpan w:val="2"/>
            <w:noWrap/>
            <w:hideMark/>
          </w:tcPr>
          <w:p w14:paraId="10CAB4C7"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B85F6E2"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D5D13F9"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26D41BA3"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32351083"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38C73254"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2BEC6ADF"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3B0816" w:rsidRPr="0026051C" w14:paraId="2E0DA1B1" w14:textId="77777777" w:rsidTr="008D2A1E">
        <w:trPr>
          <w:trHeight w:val="720"/>
        </w:trPr>
        <w:tc>
          <w:tcPr>
            <w:cnfStyle w:val="001000000000" w:firstRow="0" w:lastRow="0" w:firstColumn="1" w:lastColumn="0" w:oddVBand="0" w:evenVBand="0" w:oddHBand="0" w:evenHBand="0" w:firstRowFirstColumn="0" w:firstRowLastColumn="0" w:lastRowFirstColumn="0" w:lastRowLastColumn="0"/>
            <w:tcW w:w="1117" w:type="pct"/>
            <w:hideMark/>
          </w:tcPr>
          <w:p w14:paraId="72A850E3" w14:textId="77777777" w:rsidR="003B0816" w:rsidRPr="00FF2DDD" w:rsidRDefault="003B0816"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Konkluzje Rady Europejskiej z 12 grudnia 2019 r.</w:t>
            </w:r>
          </w:p>
        </w:tc>
        <w:tc>
          <w:tcPr>
            <w:tcW w:w="2214" w:type="pct"/>
            <w:hideMark/>
          </w:tcPr>
          <w:p w14:paraId="3E34042F" w14:textId="77777777" w:rsidR="003B0816" w:rsidRPr="00FF2DDD" w:rsidRDefault="003B0816"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 xml:space="preserve">Rada Europejska zatwierdza cel polegający na osiągnięciu przez UE neutralności klimatycznej do 2050 r., zgodnie z celami Porozumienia Paryskiego." </w:t>
            </w:r>
          </w:p>
        </w:tc>
        <w:tc>
          <w:tcPr>
            <w:tcW w:w="238" w:type="pct"/>
            <w:gridSpan w:val="2"/>
            <w:noWrap/>
            <w:hideMark/>
          </w:tcPr>
          <w:p w14:paraId="6C915251"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E0FE610"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2F9B85F"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122F612"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546D70C"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19B4BE47" w14:textId="77777777"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4EB5C32E" w14:textId="4EF66378" w:rsidR="003B0816" w:rsidRPr="00FF2DDD" w:rsidRDefault="003B081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C17C7F" w:rsidRPr="0026051C" w14:paraId="23AA13DF" w14:textId="77777777" w:rsidTr="008D2A1E">
        <w:trPr>
          <w:trHeight w:val="276"/>
        </w:trPr>
        <w:tc>
          <w:tcPr>
            <w:cnfStyle w:val="001000000000" w:firstRow="0" w:lastRow="0" w:firstColumn="1" w:lastColumn="0" w:oddVBand="0" w:evenVBand="0" w:oddHBand="0" w:evenHBand="0" w:firstRowFirstColumn="0" w:firstRowLastColumn="0" w:lastRowFirstColumn="0" w:lastRowLastColumn="0"/>
            <w:tcW w:w="5000" w:type="pct"/>
            <w:gridSpan w:val="16"/>
          </w:tcPr>
          <w:p w14:paraId="5C00BEF1" w14:textId="77777777" w:rsidR="00C17C7F" w:rsidRPr="00FF2DDD" w:rsidRDefault="00C17C7F" w:rsidP="0026051C">
            <w:pPr>
              <w:spacing w:before="0" w:line="276" w:lineRule="auto"/>
              <w:jc w:val="center"/>
              <w:rPr>
                <w:rFonts w:eastAsia="Times New Roman" w:cstheme="minorHAnsi"/>
                <w:b w:val="0"/>
                <w:bCs w:val="0"/>
                <w:i/>
                <w:iCs/>
                <w:color w:val="000000"/>
                <w:szCs w:val="24"/>
                <w:lang w:eastAsia="pl-PL"/>
              </w:rPr>
            </w:pPr>
            <w:r w:rsidRPr="00FF2DDD">
              <w:rPr>
                <w:rFonts w:eastAsia="Times New Roman" w:cstheme="minorHAnsi"/>
                <w:b w:val="0"/>
                <w:bCs w:val="0"/>
                <w:color w:val="000000"/>
                <w:szCs w:val="24"/>
                <w:lang w:eastAsia="pl-PL"/>
              </w:rPr>
              <w:t>Dokumenty strategiczne szczebla krajowego</w:t>
            </w:r>
          </w:p>
        </w:tc>
      </w:tr>
      <w:tr w:rsidR="00B85E11" w:rsidRPr="0026051C" w14:paraId="0032E9FD" w14:textId="77777777" w:rsidTr="008D2A1E">
        <w:trPr>
          <w:trHeight w:val="1920"/>
        </w:trPr>
        <w:tc>
          <w:tcPr>
            <w:cnfStyle w:val="001000000000" w:firstRow="0" w:lastRow="0" w:firstColumn="1" w:lastColumn="0" w:oddVBand="0" w:evenVBand="0" w:oddHBand="0" w:evenHBand="0" w:firstRowFirstColumn="0" w:firstRowLastColumn="0" w:lastRowFirstColumn="0" w:lastRowLastColumn="0"/>
            <w:tcW w:w="1117" w:type="pct"/>
            <w:hideMark/>
          </w:tcPr>
          <w:p w14:paraId="4EC91034" w14:textId="77777777" w:rsidR="00B85E11" w:rsidRPr="00FF2DDD" w:rsidRDefault="00B85E11"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Strategia na rzecz odpowiedzialnego rozwoju do roku 2020 (z perspektywą do 2030 r.)</w:t>
            </w:r>
          </w:p>
        </w:tc>
        <w:tc>
          <w:tcPr>
            <w:tcW w:w="2214" w:type="pct"/>
            <w:hideMark/>
          </w:tcPr>
          <w:p w14:paraId="127F6B97" w14:textId="77777777" w:rsidR="00B85E11" w:rsidRPr="00FF2DDD" w:rsidRDefault="00B85E11"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Jest obowiązującym, kluczowym dokumentem państwa polskiego w obszarze średnio i długofalowej polityki gospodarczej definiującym główny cel rozwoju jakim jest „tworzenie warunków dla wzrostu dochodów mieszkańców Polski przy jednoczesnym wzroście spójności w wymiarze społecznym, ekonomicznym, środowiskowym i terytorialnym”. Cele szczegółowe to:</w:t>
            </w:r>
            <w:r w:rsidRPr="00FF2DDD">
              <w:rPr>
                <w:rFonts w:eastAsia="Times New Roman" w:cstheme="minorHAnsi"/>
                <w:color w:val="000000"/>
                <w:szCs w:val="24"/>
                <w:lang w:eastAsia="pl-PL"/>
              </w:rPr>
              <w:br/>
              <w:t>• Trwały wzrost gospodarczy oparty coraz silniej o wiedzę, dane i doskonałość organizacyjną,</w:t>
            </w:r>
            <w:r w:rsidRPr="00FF2DDD">
              <w:rPr>
                <w:rFonts w:eastAsia="Times New Roman" w:cstheme="minorHAnsi"/>
                <w:color w:val="000000"/>
                <w:szCs w:val="24"/>
                <w:lang w:eastAsia="pl-PL"/>
              </w:rPr>
              <w:br/>
              <w:t>• Rozwój społecznie wrażliwy i terytorialnie zrównoważony,</w:t>
            </w:r>
            <w:r w:rsidRPr="00FF2DDD">
              <w:rPr>
                <w:rFonts w:eastAsia="Times New Roman" w:cstheme="minorHAnsi"/>
                <w:color w:val="000000"/>
                <w:szCs w:val="24"/>
                <w:lang w:eastAsia="pl-PL"/>
              </w:rPr>
              <w:br/>
              <w:t>• Skuteczne państwo i instytucje służące wzrostowi oraz włączeniu społecznemu i gospodarczemu,</w:t>
            </w:r>
            <w:r w:rsidRPr="00FF2DDD">
              <w:rPr>
                <w:rFonts w:eastAsia="Times New Roman" w:cstheme="minorHAnsi"/>
                <w:color w:val="000000"/>
                <w:szCs w:val="24"/>
                <w:lang w:eastAsia="pl-PL"/>
              </w:rPr>
              <w:br/>
              <w:t>Strategia określa nowe ramy dla polityk publicznych i jest podstawą do zmian w systemie zarządzania rozwojem kraju oraz do aktualizacji dokumentów strategicznych takich jak strategie, polityki i programy, we wszystkich dziedzinach gospodarki i życia społecznego.</w:t>
            </w:r>
          </w:p>
        </w:tc>
        <w:tc>
          <w:tcPr>
            <w:tcW w:w="238" w:type="pct"/>
            <w:gridSpan w:val="2"/>
            <w:noWrap/>
            <w:hideMark/>
          </w:tcPr>
          <w:p w14:paraId="3D4F4B62" w14:textId="77777777"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60BCC0A" w14:textId="77777777"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D9F6284" w14:textId="77777777"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6933559" w14:textId="77777777"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872778A" w14:textId="77777777"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0A60CBAB" w14:textId="77777777"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386E72B2" w14:textId="476CECF4"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B85E11" w:rsidRPr="0026051C" w14:paraId="33005CC8" w14:textId="77777777" w:rsidTr="008D2A1E">
        <w:trPr>
          <w:trHeight w:val="269"/>
        </w:trPr>
        <w:tc>
          <w:tcPr>
            <w:cnfStyle w:val="001000000000" w:firstRow="0" w:lastRow="0" w:firstColumn="1" w:lastColumn="0" w:oddVBand="0" w:evenVBand="0" w:oddHBand="0" w:evenHBand="0" w:firstRowFirstColumn="0" w:firstRowLastColumn="0" w:lastRowFirstColumn="0" w:lastRowLastColumn="0"/>
            <w:tcW w:w="1117" w:type="pct"/>
            <w:hideMark/>
          </w:tcPr>
          <w:p w14:paraId="3C4741C9" w14:textId="77777777" w:rsidR="00B85E11" w:rsidRPr="00FF2DDD" w:rsidRDefault="00B85E11"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Krajowa strategia rozwoju regionalnego 2030</w:t>
            </w:r>
          </w:p>
        </w:tc>
        <w:tc>
          <w:tcPr>
            <w:tcW w:w="2214" w:type="pct"/>
            <w:hideMark/>
          </w:tcPr>
          <w:p w14:paraId="14B3A2AD" w14:textId="77777777" w:rsidR="00B85E11" w:rsidRPr="00FF2DDD" w:rsidRDefault="00B85E11"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W strategii przedstawiono cele polityki regionalnej oraz działania i zadania, jakie do ich osiągnięcia powinien podjąć rząd, samorządy: wojewódzkie, powiatowe i gminne oraz pozostałe podmioty uczestniczące w realizacji tej polityki w perspektywie roku 2030. Obejmuje zakres:</w:t>
            </w:r>
            <w:r w:rsidRPr="00FF2DDD">
              <w:rPr>
                <w:rFonts w:eastAsia="Times New Roman" w:cstheme="minorHAnsi"/>
                <w:color w:val="000000"/>
                <w:szCs w:val="24"/>
                <w:lang w:eastAsia="pl-PL"/>
              </w:rPr>
              <w:br/>
              <w:t>- adaptacja do zmian klimatu oraz ograniczanie zagrożeń dla środowiska,</w:t>
            </w:r>
            <w:r w:rsidRPr="00FF2DDD">
              <w:rPr>
                <w:rFonts w:eastAsia="Times New Roman" w:cstheme="minorHAnsi"/>
                <w:color w:val="000000"/>
                <w:szCs w:val="24"/>
                <w:lang w:eastAsia="pl-PL"/>
              </w:rPr>
              <w:br/>
              <w:t>- przeciwdziałanie negatywnym skutkom procesów demograficznych,</w:t>
            </w:r>
            <w:r w:rsidRPr="00FF2DDD">
              <w:rPr>
                <w:rFonts w:eastAsia="Times New Roman" w:cstheme="minorHAnsi"/>
                <w:color w:val="000000"/>
                <w:szCs w:val="24"/>
                <w:lang w:eastAsia="pl-PL"/>
              </w:rPr>
              <w:br/>
              <w:t>- rozwój i wsparcie kapitału ludzkiego i społecznego,</w:t>
            </w:r>
            <w:r w:rsidRPr="00FF2DDD">
              <w:rPr>
                <w:rFonts w:eastAsia="Times New Roman" w:cstheme="minorHAnsi"/>
                <w:color w:val="000000"/>
                <w:szCs w:val="24"/>
                <w:lang w:eastAsia="pl-PL"/>
              </w:rPr>
              <w:br/>
              <w:t>- wzrost produktywności i innowacyjności regionalnych gospodarce,</w:t>
            </w:r>
            <w:r w:rsidRPr="00FF2DDD">
              <w:rPr>
                <w:rFonts w:eastAsia="Times New Roman" w:cstheme="minorHAnsi"/>
                <w:color w:val="000000"/>
                <w:szCs w:val="24"/>
                <w:lang w:eastAsia="pl-PL"/>
              </w:rPr>
              <w:br/>
              <w:t>- rozwój infrastruktury podnoszącej konkurencyjność, atrakcyjność inwestycyjną i warunki życia w regionach,</w:t>
            </w:r>
            <w:r w:rsidRPr="00FF2DDD">
              <w:rPr>
                <w:rFonts w:eastAsia="Times New Roman" w:cstheme="minorHAnsi"/>
                <w:color w:val="000000"/>
                <w:szCs w:val="24"/>
                <w:lang w:eastAsia="pl-PL"/>
              </w:rPr>
              <w:br/>
              <w:t>- zwiększenie efektywności zarządzania rozwojem (w tym finansowania działań rozwojowych) oraz współpracy między samorządami terytorialnymi i między sektorami,</w:t>
            </w:r>
            <w:r w:rsidRPr="00FF2DDD">
              <w:rPr>
                <w:rFonts w:eastAsia="Times New Roman" w:cstheme="minorHAnsi"/>
                <w:color w:val="000000"/>
                <w:szCs w:val="24"/>
                <w:lang w:eastAsia="pl-PL"/>
              </w:rPr>
              <w:br/>
              <w:t xml:space="preserve">- przeciwdziałanie nierównościom terytorialnym i przestrzennej koncentracji problemów rozwojowych oraz niwelowanie sytuacji kryzysowych na obszarach zdegradowanych. </w:t>
            </w:r>
          </w:p>
        </w:tc>
        <w:tc>
          <w:tcPr>
            <w:tcW w:w="238" w:type="pct"/>
            <w:gridSpan w:val="2"/>
            <w:noWrap/>
            <w:hideMark/>
          </w:tcPr>
          <w:p w14:paraId="4A7482DD" w14:textId="77777777"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2CD4514" w14:textId="77777777"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7E00694" w14:textId="77777777"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8692E69" w14:textId="77777777"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6265965" w14:textId="77777777"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38405D38" w14:textId="77777777"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2BE95F79" w14:textId="333313F9" w:rsidR="00B85E11" w:rsidRPr="00FF2DDD" w:rsidRDefault="00B85E11"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057B9A" w:rsidRPr="0026051C" w14:paraId="1C0694F4" w14:textId="77777777" w:rsidTr="00280070">
        <w:trPr>
          <w:trHeight w:val="4328"/>
        </w:trPr>
        <w:tc>
          <w:tcPr>
            <w:cnfStyle w:val="001000000000" w:firstRow="0" w:lastRow="0" w:firstColumn="1" w:lastColumn="0" w:oddVBand="0" w:evenVBand="0" w:oddHBand="0" w:evenHBand="0" w:firstRowFirstColumn="0" w:firstRowLastColumn="0" w:lastRowFirstColumn="0" w:lastRowLastColumn="0"/>
            <w:tcW w:w="1117" w:type="pct"/>
            <w:hideMark/>
          </w:tcPr>
          <w:p w14:paraId="2FF4247F" w14:textId="77777777" w:rsidR="00057B9A" w:rsidRPr="00FF2DDD" w:rsidRDefault="00057B9A"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Polityka energetyczna Polski do 2040 roku</w:t>
            </w:r>
          </w:p>
        </w:tc>
        <w:tc>
          <w:tcPr>
            <w:tcW w:w="2214" w:type="pct"/>
            <w:hideMark/>
          </w:tcPr>
          <w:p w14:paraId="4428ECAF" w14:textId="60FB6A5D" w:rsidR="00057B9A" w:rsidRPr="00FF2DDD" w:rsidRDefault="00057B9A" w:rsidP="0026051C">
            <w:pPr>
              <w:spacing w:before="0" w:after="24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Celem Polityki jest zagwarantowanie bezpieczeństwa energetycznego przy zapewnieniu konkurencyjności gospodarki, efektywności energetycznej i zmniejszenia oddziaływania sektora energii na środowisko, przy optymalnym wykorzystaniu własnych zasobów energetycznych i uzyskanie:</w:t>
            </w:r>
            <w:r>
              <w:rPr>
                <w:rFonts w:eastAsia="Times New Roman" w:cstheme="minorHAnsi"/>
                <w:color w:val="000000"/>
                <w:szCs w:val="24"/>
                <w:lang w:eastAsia="pl-PL"/>
              </w:rPr>
              <w:t xml:space="preserve"> </w:t>
            </w:r>
            <w:r w:rsidRPr="00FF2DDD">
              <w:rPr>
                <w:rFonts w:eastAsia="Times New Roman" w:cstheme="minorHAnsi"/>
                <w:color w:val="000000"/>
                <w:szCs w:val="24"/>
                <w:lang w:eastAsia="pl-PL"/>
              </w:rPr>
              <w:t>56-60% udziału węgla w wytwarzaniu energii elektrycznej w 2030 r.</w:t>
            </w:r>
            <w:r>
              <w:rPr>
                <w:rFonts w:eastAsia="Times New Roman" w:cstheme="minorHAnsi"/>
                <w:color w:val="000000"/>
                <w:szCs w:val="24"/>
                <w:lang w:eastAsia="pl-PL"/>
              </w:rPr>
              <w:t xml:space="preserve">; </w:t>
            </w:r>
            <w:r w:rsidRPr="00FF2DDD">
              <w:rPr>
                <w:rFonts w:eastAsia="Times New Roman" w:cstheme="minorHAnsi"/>
                <w:color w:val="000000"/>
                <w:szCs w:val="24"/>
                <w:lang w:eastAsia="pl-PL"/>
              </w:rPr>
              <w:t>21-23% OZE w finalnym zużyciu energii brutto w 2030 r.</w:t>
            </w:r>
            <w:r>
              <w:rPr>
                <w:rFonts w:eastAsia="Times New Roman" w:cstheme="minorHAnsi"/>
                <w:color w:val="000000"/>
                <w:szCs w:val="24"/>
                <w:lang w:eastAsia="pl-PL"/>
              </w:rPr>
              <w:t xml:space="preserve">; </w:t>
            </w:r>
            <w:r w:rsidRPr="00FF2DDD">
              <w:rPr>
                <w:rFonts w:eastAsia="Times New Roman" w:cstheme="minorHAnsi"/>
                <w:color w:val="000000"/>
                <w:szCs w:val="24"/>
                <w:lang w:eastAsia="pl-PL"/>
              </w:rPr>
              <w:t>wdrożenie energetyki jądrowej w 2033 r.</w:t>
            </w:r>
            <w:r>
              <w:rPr>
                <w:rFonts w:eastAsia="Times New Roman" w:cstheme="minorHAnsi"/>
                <w:color w:val="000000"/>
                <w:szCs w:val="24"/>
                <w:lang w:eastAsia="pl-PL"/>
              </w:rPr>
              <w:t xml:space="preserve">; </w:t>
            </w:r>
            <w:r w:rsidRPr="00FF2DDD">
              <w:rPr>
                <w:rFonts w:eastAsia="Times New Roman" w:cstheme="minorHAnsi"/>
                <w:color w:val="000000"/>
                <w:szCs w:val="24"/>
                <w:lang w:eastAsia="pl-PL"/>
              </w:rPr>
              <w:t>ograniczenie emisji CO2 o 30% do 2030 r. (w stosunku do 1990 r.)</w:t>
            </w:r>
            <w:r>
              <w:rPr>
                <w:rFonts w:eastAsia="Times New Roman" w:cstheme="minorHAnsi"/>
                <w:color w:val="000000"/>
                <w:szCs w:val="24"/>
                <w:lang w:eastAsia="pl-PL"/>
              </w:rPr>
              <w:t xml:space="preserve">; </w:t>
            </w:r>
            <w:r w:rsidRPr="00FF2DDD">
              <w:rPr>
                <w:rFonts w:eastAsia="Times New Roman" w:cstheme="minorHAnsi"/>
                <w:color w:val="000000"/>
                <w:szCs w:val="24"/>
                <w:lang w:eastAsia="pl-PL"/>
              </w:rPr>
              <w:t>wzrost efektywności energetycznej o 23% do 2030 r. (w stosunku do prognoz energii pierwotnej z 2007 r.)</w:t>
            </w:r>
          </w:p>
        </w:tc>
        <w:tc>
          <w:tcPr>
            <w:tcW w:w="238" w:type="pct"/>
            <w:gridSpan w:val="2"/>
            <w:noWrap/>
            <w:hideMark/>
          </w:tcPr>
          <w:p w14:paraId="710CD987" w14:textId="77777777" w:rsidR="00057B9A" w:rsidRPr="00FF2DDD" w:rsidRDefault="00057B9A"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501F5B9" w14:textId="77777777" w:rsidR="00057B9A" w:rsidRPr="00FF2DDD" w:rsidRDefault="00057B9A"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73C806B" w14:textId="77777777" w:rsidR="00057B9A" w:rsidRPr="00FF2DDD" w:rsidRDefault="00057B9A"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71743EA" w14:textId="77777777" w:rsidR="00057B9A" w:rsidRPr="00FF2DDD" w:rsidRDefault="00057B9A"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29546F2" w14:textId="77777777" w:rsidR="00057B9A" w:rsidRPr="00FF2DDD" w:rsidRDefault="00057B9A"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03CF6AB7" w14:textId="77777777" w:rsidR="00057B9A" w:rsidRPr="00FF2DDD" w:rsidRDefault="00057B9A"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20A95AA1" w14:textId="128F174B" w:rsidR="00057B9A" w:rsidRPr="00FF2DDD" w:rsidRDefault="00057B9A"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23704D" w:rsidRPr="0026051C" w14:paraId="437673DF" w14:textId="77777777" w:rsidTr="008D2A1E">
        <w:trPr>
          <w:trHeight w:val="912"/>
        </w:trPr>
        <w:tc>
          <w:tcPr>
            <w:cnfStyle w:val="001000000000" w:firstRow="0" w:lastRow="0" w:firstColumn="1" w:lastColumn="0" w:oddVBand="0" w:evenVBand="0" w:oddHBand="0" w:evenHBand="0" w:firstRowFirstColumn="0" w:firstRowLastColumn="0" w:lastRowFirstColumn="0" w:lastRowLastColumn="0"/>
            <w:tcW w:w="1117" w:type="pct"/>
            <w:hideMark/>
          </w:tcPr>
          <w:p w14:paraId="438D0C8A" w14:textId="77777777" w:rsidR="0023704D" w:rsidRPr="00FF2DDD" w:rsidRDefault="0023704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Strategia zrównoważonego rozwoju transportu do 2030 roku</w:t>
            </w:r>
          </w:p>
        </w:tc>
        <w:tc>
          <w:tcPr>
            <w:tcW w:w="2214" w:type="pct"/>
            <w:hideMark/>
          </w:tcPr>
          <w:p w14:paraId="1526D0F1"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Strategia wyznacza najważniejsze kierunki interwencji i działań w celu osiągnięcia celu głównego, jakim jest zwiększenie dostępności transportowej oraz bezpieczeństwa uczestników ruchu i efektywności sektora transportowego przez tworzenie spójnego, zrównoważonego, innowacyjnego i przyjaznego użytkownikowi systemu transportowego w wymiarze krajowym, europejskim i globalnym.</w:t>
            </w:r>
            <w:r w:rsidRPr="00FF2DDD">
              <w:rPr>
                <w:rFonts w:eastAsia="Times New Roman" w:cstheme="minorHAnsi"/>
                <w:color w:val="000000"/>
                <w:szCs w:val="24"/>
                <w:lang w:eastAsia="pl-PL"/>
              </w:rPr>
              <w:br/>
              <w:t>Strategia ma się przyczynić do rozwoju transportu, jako jednego z elementów napędzającego rozwój gospodarki. Polski system transportowy ma być nowoczesny, wykorzystujący pojazdy bezemisyjne i niskoemisyjne, z nowymi rodzajami napędu, a także dążący do stopniowego rozwoju technologii automatyzujących.</w:t>
            </w:r>
            <w:r w:rsidRPr="00FF2DDD">
              <w:rPr>
                <w:rFonts w:eastAsia="Times New Roman" w:cstheme="minorHAnsi"/>
                <w:color w:val="000000"/>
                <w:szCs w:val="24"/>
                <w:lang w:eastAsia="pl-PL"/>
              </w:rPr>
              <w:br/>
              <w:t>Strategia zakłada między innymi, rozwój łańcuchów ekomobilności w miastach i ich obszarach funkcjonalnych, działania zmierzające do wymiany taboru wykorzystywanego do świadczenia usług publicznego transportu na ekologiczny i niskoemisyjny, wykorzystujący napęd elektryczny lub paliwa alternatywne. W tym celu przewiduje rozwój systemów ładowania i tankowania jednostek niskoemisyjnych.</w:t>
            </w:r>
          </w:p>
        </w:tc>
        <w:tc>
          <w:tcPr>
            <w:tcW w:w="238" w:type="pct"/>
            <w:gridSpan w:val="2"/>
            <w:noWrap/>
            <w:hideMark/>
          </w:tcPr>
          <w:p w14:paraId="0D2A79FB"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31965027"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E8DA3F5"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AD7EC42"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88F7C5D"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13A2D434"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4B8B8B93" w14:textId="167D4A73"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23704D" w:rsidRPr="0026051C" w14:paraId="45321E76" w14:textId="77777777" w:rsidTr="008D2A1E">
        <w:trPr>
          <w:trHeight w:val="1440"/>
        </w:trPr>
        <w:tc>
          <w:tcPr>
            <w:cnfStyle w:val="001000000000" w:firstRow="0" w:lastRow="0" w:firstColumn="1" w:lastColumn="0" w:oddVBand="0" w:evenVBand="0" w:oddHBand="0" w:evenHBand="0" w:firstRowFirstColumn="0" w:firstRowLastColumn="0" w:lastRowFirstColumn="0" w:lastRowLastColumn="0"/>
            <w:tcW w:w="1117" w:type="pct"/>
            <w:hideMark/>
          </w:tcPr>
          <w:p w14:paraId="32481A50" w14:textId="77777777" w:rsidR="0023704D" w:rsidRPr="00FF2DDD" w:rsidRDefault="0023704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Polityka ekologiczna państwa 2030 – strategia rozwoju w obszarze środowiska i gospodarki wodnej</w:t>
            </w:r>
          </w:p>
        </w:tc>
        <w:tc>
          <w:tcPr>
            <w:tcW w:w="2214" w:type="pct"/>
            <w:noWrap/>
            <w:hideMark/>
          </w:tcPr>
          <w:p w14:paraId="132642E9" w14:textId="2A676C6A" w:rsidR="0023704D" w:rsidRPr="00FF2DDD" w:rsidRDefault="0023704D" w:rsidP="0026051C">
            <w:pPr>
              <w:spacing w:before="0"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Celem głównym Polityki jest rozwój potencjału środowiska na rzecz obywateli i przedsiębiorców. Cele szczegółowe uwzględniają najważniejsze trendy w obszarze środowiska, w sposób umożliwiający zharmonizowanie kwestii związanych z ochroną środowiska z potrzebami gospodarczymi i społecznymi. Temat energii jest uwzględniony w kierunkach interwencji dotyczących likwidacji źródeł emisji zanieczyszczeń powietrza. Określone są tu kierunki działań, które otrzymają wsparcie takie jak: inwestycje związane ze zwiększeniem udziału OZE, modernizację systemów elektrociepłowni, elektrowni i ciepłowni w celu zmniejszenia emisji zanieczyszczeń, rozwój transportu niskoemisyjnego, zmniejszenie strat energii związanych z jej przesyłem oraz rozwój klastrów energii i transformacji gmin</w:t>
            </w:r>
            <w:r>
              <w:rPr>
                <w:rFonts w:eastAsia="Times New Roman" w:cstheme="minorHAnsi"/>
                <w:color w:val="000000"/>
                <w:szCs w:val="24"/>
                <w:lang w:eastAsia="pl-PL"/>
              </w:rPr>
              <w:t xml:space="preserve"> </w:t>
            </w:r>
            <w:r w:rsidRPr="00FF2DDD">
              <w:rPr>
                <w:rFonts w:eastAsia="Times New Roman" w:cstheme="minorHAnsi"/>
                <w:color w:val="000000"/>
                <w:szCs w:val="24"/>
                <w:lang w:eastAsia="pl-PL"/>
              </w:rPr>
              <w:t xml:space="preserve">w samowystarczalne energetycznie. </w:t>
            </w:r>
          </w:p>
        </w:tc>
        <w:tc>
          <w:tcPr>
            <w:tcW w:w="238" w:type="pct"/>
            <w:gridSpan w:val="2"/>
            <w:noWrap/>
            <w:hideMark/>
          </w:tcPr>
          <w:p w14:paraId="3DE1A1F0"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40E3DFF"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16D0FE5"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00776C4"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9642E59"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2352D5EA"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62FDFF25" w14:textId="76B03DAC"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E127FD" w:rsidRPr="0026051C" w14:paraId="56582D6E" w14:textId="77777777" w:rsidTr="00057B9A">
        <w:trPr>
          <w:trHeight w:val="1680"/>
        </w:trPr>
        <w:tc>
          <w:tcPr>
            <w:cnfStyle w:val="001000000000" w:firstRow="0" w:lastRow="0" w:firstColumn="1" w:lastColumn="0" w:oddVBand="0" w:evenVBand="0" w:oddHBand="0" w:evenHBand="0" w:firstRowFirstColumn="0" w:firstRowLastColumn="0" w:lastRowFirstColumn="0" w:lastRowLastColumn="0"/>
            <w:tcW w:w="1117" w:type="pct"/>
            <w:hideMark/>
          </w:tcPr>
          <w:p w14:paraId="2EC75D8D" w14:textId="77777777" w:rsidR="00E127FD" w:rsidRPr="00FF2DDD" w:rsidRDefault="00E127F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Krajowy plan na rzecz energii i klimatu na lata 2021-2030</w:t>
            </w:r>
          </w:p>
        </w:tc>
        <w:tc>
          <w:tcPr>
            <w:tcW w:w="2214" w:type="pct"/>
            <w:hideMark/>
          </w:tcPr>
          <w:p w14:paraId="315CA50B" w14:textId="77777777" w:rsidR="00E127FD" w:rsidRPr="00FF2DDD" w:rsidRDefault="00E127F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 xml:space="preserve">Cele na 2030 r.: </w:t>
            </w:r>
            <w:r w:rsidRPr="00FF2DDD">
              <w:rPr>
                <w:rFonts w:eastAsia="Times New Roman" w:cstheme="minorHAnsi"/>
                <w:color w:val="000000"/>
                <w:szCs w:val="24"/>
                <w:lang w:eastAsia="pl-PL"/>
              </w:rPr>
              <w:br/>
              <w:t>-7% redukcji emisji gazów cieplarnianych w sektorach nieobjętych systemem ETS w porównaniu do poziomu w roku 2005;</w:t>
            </w:r>
            <w:r w:rsidRPr="00FF2DDD">
              <w:rPr>
                <w:rFonts w:eastAsia="Times New Roman" w:cstheme="minorHAnsi"/>
                <w:color w:val="000000"/>
                <w:szCs w:val="24"/>
                <w:lang w:eastAsia="pl-PL"/>
              </w:rPr>
              <w:br/>
              <w:t>- 21-23% udziału OZE w finalnym zużyciu energii brutto (cel 23% będzie możliwy do osiągnięcia w sytuacji przyznania Polsce dodatkowych środków unijnych, w tym przeznaczonych na sprawiedliwą transformację), uwzględniając: 14% udziału OZE w transporcie, roczny wzrost udziału OZE w ciepłownictwie i chłodnictwie o 1,1 pkt. proc. średniorocznie;</w:t>
            </w:r>
            <w:r w:rsidRPr="00FF2DDD">
              <w:rPr>
                <w:rFonts w:eastAsia="Times New Roman" w:cstheme="minorHAnsi"/>
                <w:color w:val="000000"/>
                <w:szCs w:val="24"/>
                <w:lang w:eastAsia="pl-PL"/>
              </w:rPr>
              <w:br/>
              <w:t>- wzrost efektywności energetycznej o 23% w porównaniu z prognozami PRIMES2007;</w:t>
            </w:r>
            <w:r w:rsidRPr="00FF2DDD">
              <w:rPr>
                <w:rFonts w:eastAsia="Times New Roman" w:cstheme="minorHAnsi"/>
                <w:color w:val="000000"/>
                <w:szCs w:val="24"/>
                <w:lang w:eastAsia="pl-PL"/>
              </w:rPr>
              <w:br/>
              <w:t>- redukcję do 56-60% udziału węgla w produkcji energii elektrycznej.</w:t>
            </w:r>
          </w:p>
        </w:tc>
        <w:tc>
          <w:tcPr>
            <w:tcW w:w="238" w:type="pct"/>
            <w:gridSpan w:val="2"/>
            <w:noWrap/>
            <w:hideMark/>
          </w:tcPr>
          <w:p w14:paraId="4A346106" w14:textId="77777777" w:rsidR="00E127FD" w:rsidRPr="00FF2DDD" w:rsidRDefault="00E127F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67B0EB3" w14:textId="77777777" w:rsidR="00E127FD" w:rsidRPr="00FF2DDD" w:rsidRDefault="00E127F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9EFDBF8" w14:textId="77777777" w:rsidR="00E127FD" w:rsidRPr="00FF2DDD" w:rsidRDefault="00E127F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1D68500" w14:textId="77777777" w:rsidR="00E127FD" w:rsidRPr="00FF2DDD" w:rsidRDefault="00E127F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DB9048C" w14:textId="77777777" w:rsidR="00E127FD" w:rsidRPr="00FF2DDD" w:rsidRDefault="00E127F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6DF06DDC" w14:textId="77777777" w:rsidR="00E127FD" w:rsidRPr="00FF2DDD" w:rsidRDefault="00E127F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7226D221" w14:textId="48768DFC" w:rsidR="00E127FD" w:rsidRPr="00FF2DDD" w:rsidRDefault="00E127F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23704D" w:rsidRPr="0026051C" w14:paraId="3E344839" w14:textId="77777777" w:rsidTr="008D2A1E">
        <w:trPr>
          <w:trHeight w:val="269"/>
        </w:trPr>
        <w:tc>
          <w:tcPr>
            <w:cnfStyle w:val="001000000000" w:firstRow="0" w:lastRow="0" w:firstColumn="1" w:lastColumn="0" w:oddVBand="0" w:evenVBand="0" w:oddHBand="0" w:evenHBand="0" w:firstRowFirstColumn="0" w:firstRowLastColumn="0" w:lastRowFirstColumn="0" w:lastRowLastColumn="0"/>
            <w:tcW w:w="1117" w:type="pct"/>
            <w:hideMark/>
          </w:tcPr>
          <w:p w14:paraId="0FD3AF1A" w14:textId="77777777" w:rsidR="0023704D" w:rsidRPr="00FF2DDD" w:rsidRDefault="0023704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Krajowy program ograniczania zanieczyszczenia powietrza</w:t>
            </w:r>
          </w:p>
        </w:tc>
        <w:tc>
          <w:tcPr>
            <w:tcW w:w="2214" w:type="pct"/>
            <w:hideMark/>
          </w:tcPr>
          <w:p w14:paraId="46F13FA1"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Celem głównym programu jest ograniczenie wielkości emisji substancji objętych krajowymi zobowiązaniami w zakresie redukcji emisji określonych w dyrektywie NEC, cel ten będzie zrealizowany przez wskazane działania i środki wynikające z polityk, planów, programów oraz przyjętych aktów prawnych. Program określa działania we wszystkich sektorach dla dotrzymania zobowiązań jw.</w:t>
            </w:r>
          </w:p>
        </w:tc>
        <w:tc>
          <w:tcPr>
            <w:tcW w:w="238" w:type="pct"/>
            <w:gridSpan w:val="2"/>
            <w:noWrap/>
            <w:hideMark/>
          </w:tcPr>
          <w:p w14:paraId="3022CC65"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2080E6A"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A1DDC89"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6A2606A"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E59AAE2"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60FD7AFD"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57890291" w14:textId="564A0FE2"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23704D" w:rsidRPr="0026051C" w14:paraId="76A89E50" w14:textId="77777777" w:rsidTr="008D2A1E">
        <w:trPr>
          <w:trHeight w:val="274"/>
        </w:trPr>
        <w:tc>
          <w:tcPr>
            <w:cnfStyle w:val="001000000000" w:firstRow="0" w:lastRow="0" w:firstColumn="1" w:lastColumn="0" w:oddVBand="0" w:evenVBand="0" w:oddHBand="0" w:evenHBand="0" w:firstRowFirstColumn="0" w:firstRowLastColumn="0" w:lastRowFirstColumn="0" w:lastRowLastColumn="0"/>
            <w:tcW w:w="1117" w:type="pct"/>
            <w:hideMark/>
          </w:tcPr>
          <w:p w14:paraId="76C37A7C" w14:textId="77777777" w:rsidR="0023704D" w:rsidRPr="00FF2DDD" w:rsidRDefault="0023704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Aktualizacja Krajowego Programu ochrony powietrza do 2025 r. (z perspektywą do 2030 r. oraz do 2040 r.)</w:t>
            </w:r>
          </w:p>
        </w:tc>
        <w:tc>
          <w:tcPr>
            <w:tcW w:w="2214" w:type="pct"/>
            <w:hideMark/>
          </w:tcPr>
          <w:p w14:paraId="443EE7B3"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Program m. in obejmuje:</w:t>
            </w:r>
            <w:r w:rsidRPr="00FF2DDD">
              <w:rPr>
                <w:rFonts w:eastAsia="Times New Roman" w:cstheme="minorHAnsi"/>
                <w:color w:val="000000"/>
                <w:szCs w:val="24"/>
                <w:lang w:eastAsia="pl-PL"/>
              </w:rPr>
              <w:br/>
              <w:t>- Podniesienie rangi zagadnienia jakości powietrza poprzez skonsolidowanie działań na szczeblu krajowym,</w:t>
            </w:r>
            <w:r w:rsidRPr="00FF2DDD">
              <w:rPr>
                <w:rFonts w:eastAsia="Times New Roman" w:cstheme="minorHAnsi"/>
                <w:color w:val="000000"/>
                <w:szCs w:val="24"/>
                <w:lang w:eastAsia="pl-PL"/>
              </w:rPr>
              <w:br/>
              <w:t>- Stworzenie ram prawnych sprzyjających realizacji efektywnych działań mających na celu poprawę jakości powietrza,</w:t>
            </w:r>
            <w:r w:rsidRPr="00FF2DDD">
              <w:rPr>
                <w:rFonts w:eastAsia="Times New Roman" w:cstheme="minorHAnsi"/>
                <w:color w:val="000000"/>
                <w:szCs w:val="24"/>
                <w:lang w:eastAsia="pl-PL"/>
              </w:rPr>
              <w:br/>
              <w:t>- Włączenie społeczeństwa w działania na rzecz poprawy jakości powietrza poprzez zwiększenie świadomości społecznej oraz tworzenie trwałych platform dialogu z organizacjami społecznymi,</w:t>
            </w:r>
            <w:r w:rsidRPr="00FF2DDD">
              <w:rPr>
                <w:rFonts w:eastAsia="Times New Roman" w:cstheme="minorHAnsi"/>
                <w:color w:val="000000"/>
                <w:szCs w:val="24"/>
                <w:lang w:eastAsia="pl-PL"/>
              </w:rPr>
              <w:br/>
              <w:t>- Rozwój i rozpowszechnienie technologii sprzyjających poprawie jakości powietrza,</w:t>
            </w:r>
            <w:r w:rsidRPr="00FF2DDD">
              <w:rPr>
                <w:rFonts w:eastAsia="Times New Roman" w:cstheme="minorHAnsi"/>
                <w:color w:val="000000"/>
                <w:szCs w:val="24"/>
                <w:lang w:eastAsia="pl-PL"/>
              </w:rPr>
              <w:br/>
              <w:t>- Rozwój mechanizmów kontrolowania źródeł niskiej emisji sprzyjających poprawie jakości powietrza.</w:t>
            </w:r>
          </w:p>
        </w:tc>
        <w:tc>
          <w:tcPr>
            <w:tcW w:w="238" w:type="pct"/>
            <w:gridSpan w:val="2"/>
            <w:noWrap/>
            <w:hideMark/>
          </w:tcPr>
          <w:p w14:paraId="3C4B9339"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A5BB957"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BE20AF4"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9CB365D"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3F17436"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41042112"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75CDE3C9" w14:textId="3B7629A1"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23704D" w:rsidRPr="0026051C" w14:paraId="4864087B" w14:textId="77777777" w:rsidTr="008D2A1E">
        <w:trPr>
          <w:trHeight w:val="127"/>
        </w:trPr>
        <w:tc>
          <w:tcPr>
            <w:cnfStyle w:val="001000000000" w:firstRow="0" w:lastRow="0" w:firstColumn="1" w:lastColumn="0" w:oddVBand="0" w:evenVBand="0" w:oddHBand="0" w:evenHBand="0" w:firstRowFirstColumn="0" w:firstRowLastColumn="0" w:lastRowFirstColumn="0" w:lastRowLastColumn="0"/>
            <w:tcW w:w="1117" w:type="pct"/>
            <w:hideMark/>
          </w:tcPr>
          <w:p w14:paraId="3DCE4C7D" w14:textId="77777777" w:rsidR="0023704D" w:rsidRPr="00FF2DDD" w:rsidRDefault="0023704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Plan rozwoju elektromobilności</w:t>
            </w:r>
          </w:p>
        </w:tc>
        <w:tc>
          <w:tcPr>
            <w:tcW w:w="2214" w:type="pct"/>
            <w:noWrap/>
            <w:hideMark/>
          </w:tcPr>
          <w:p w14:paraId="2E5920C4" w14:textId="77777777" w:rsidR="0023704D" w:rsidRPr="00FF2DDD" w:rsidRDefault="0023704D" w:rsidP="0026051C">
            <w:pPr>
              <w:spacing w:before="0"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Plan jest jednym z trzech elementów opracowanego przez Ministerstwo Energii Pakietu na rzecz czystego transportu, na który składają się jeszcze: Krajowe ramy polityki infrastruktury paliw alternatywnych i Fundusz Niskoemisyjnego Transportu. Zakłada on stworzenie warunków dla rozwoju elektromobilności, rozwój przemysłu związanego z tym sektorem oraz stabilizację sieci elektroenergetycznej. Główne działania będą dotyczyć przygotowania infrastruktury do ładowania 1 miliona pojazdów elektrycznych, rozwinięcia systemu car-sharingu oraz produkcji polskiego samochodu elektrycznego.</w:t>
            </w:r>
          </w:p>
        </w:tc>
        <w:tc>
          <w:tcPr>
            <w:tcW w:w="238" w:type="pct"/>
            <w:gridSpan w:val="2"/>
            <w:noWrap/>
            <w:hideMark/>
          </w:tcPr>
          <w:p w14:paraId="2C4AD260"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D75782D"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E90453E"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FBD2EC4"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47B80DD6"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7AF7B5A9"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21A81616" w14:textId="54EA79DD"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23704D" w:rsidRPr="0026051C" w14:paraId="4AF7923D" w14:textId="77777777" w:rsidTr="008D2A1E">
        <w:trPr>
          <w:trHeight w:val="1440"/>
        </w:trPr>
        <w:tc>
          <w:tcPr>
            <w:cnfStyle w:val="001000000000" w:firstRow="0" w:lastRow="0" w:firstColumn="1" w:lastColumn="0" w:oddVBand="0" w:evenVBand="0" w:oddHBand="0" w:evenHBand="0" w:firstRowFirstColumn="0" w:firstRowLastColumn="0" w:lastRowFirstColumn="0" w:lastRowLastColumn="0"/>
            <w:tcW w:w="1117" w:type="pct"/>
            <w:hideMark/>
          </w:tcPr>
          <w:p w14:paraId="40A64341" w14:textId="77777777" w:rsidR="0023704D" w:rsidRPr="00FF2DDD" w:rsidRDefault="0023704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Krajowy plan gospodarki odpadami 2022</w:t>
            </w:r>
          </w:p>
        </w:tc>
        <w:tc>
          <w:tcPr>
            <w:tcW w:w="2214" w:type="pct"/>
            <w:hideMark/>
          </w:tcPr>
          <w:p w14:paraId="456EF605"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Plan określa politykę i sposób gospodarowania odpadami, zgodny z hierarchią sposobów postępowania z odpadami. Wśród celów, w dokumencie wymienione są między innymi: zmniejszenie ilości odpadów komunalnych ulegających biodegradacji kierowanych na składowiska odpadów, aby w 2020 r. nie było składowanych więcej niż 35% masy tych odpadów wytworzonych w 1995 r. W planie podkreślono, że należy przede wszystkim zapobiegać powstawaniu odpadów, następnie zapewnić ich przygotowanie do ponownego użycia, recykling i w dalszej kolejności zastosować inne procesy odzysku, a w ostateczności poddać unieszkodliwianiu. Gospodarowanie odpadami zgodnie ze wskazaną wyżej hierarchią ma umożliwić dalsze pogłębianie obserwowanego w ostatnich latach trendu, jakim jest oddzielanie wzrostu masy wytwarzanych odpadów od wzrostu gospodarczego (PKB).</w:t>
            </w:r>
          </w:p>
        </w:tc>
        <w:tc>
          <w:tcPr>
            <w:tcW w:w="238" w:type="pct"/>
            <w:gridSpan w:val="2"/>
            <w:noWrap/>
            <w:hideMark/>
          </w:tcPr>
          <w:p w14:paraId="4CE0FCC0"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E4D30E8"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25A2859"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77CA9FBE"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335F2BD1"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6520CB10"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479C1C54" w14:textId="4251FAB0"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23704D" w:rsidRPr="0026051C" w14:paraId="7E2B6F3E" w14:textId="77777777" w:rsidTr="008D2A1E">
        <w:trPr>
          <w:trHeight w:val="127"/>
        </w:trPr>
        <w:tc>
          <w:tcPr>
            <w:cnfStyle w:val="001000000000" w:firstRow="0" w:lastRow="0" w:firstColumn="1" w:lastColumn="0" w:oddVBand="0" w:evenVBand="0" w:oddHBand="0" w:evenHBand="0" w:firstRowFirstColumn="0" w:firstRowLastColumn="0" w:lastRowFirstColumn="0" w:lastRowLastColumn="0"/>
            <w:tcW w:w="1117" w:type="pct"/>
            <w:hideMark/>
          </w:tcPr>
          <w:p w14:paraId="16B21231" w14:textId="77777777" w:rsidR="0023704D" w:rsidRPr="00FF2DDD" w:rsidRDefault="0023704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Strategia Rozwoju Kapitału Społecznego (współdziałanie, kultura, kreatywność) 2030</w:t>
            </w:r>
          </w:p>
        </w:tc>
        <w:tc>
          <w:tcPr>
            <w:tcW w:w="2214" w:type="pct"/>
            <w:hideMark/>
          </w:tcPr>
          <w:p w14:paraId="4870A815"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Głównym celem Strategii jest wzrost jakości życia społecznego i kulturalnego Polaków. Cel główny realizowany będzie przez trzy cele szczegółowe:</w:t>
            </w:r>
          </w:p>
          <w:p w14:paraId="24ED1602"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1. Zwiększenie zaangażowania obywateli w życie publiczne,</w:t>
            </w:r>
          </w:p>
          <w:p w14:paraId="3671FF2D"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2. Wzmacnianie roli kultury w budowaniu tożsamości i postaw obywatelskich,</w:t>
            </w:r>
          </w:p>
          <w:p w14:paraId="4E5740E1"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3. Zwiększenie wykorzystania potencjału kulturowego i kreatywnego dla rozwoju.</w:t>
            </w:r>
          </w:p>
        </w:tc>
        <w:tc>
          <w:tcPr>
            <w:tcW w:w="238" w:type="pct"/>
            <w:gridSpan w:val="2"/>
            <w:noWrap/>
            <w:hideMark/>
          </w:tcPr>
          <w:p w14:paraId="0460E849"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14BBE541"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0756B2F4"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241BE0EE"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5C90DD55"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3C87DBAC"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6C1BB63F" w14:textId="56AC3349"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23704D" w:rsidRPr="0026051C" w14:paraId="59978E63" w14:textId="77777777" w:rsidTr="008D2A1E">
        <w:trPr>
          <w:trHeight w:val="2091"/>
        </w:trPr>
        <w:tc>
          <w:tcPr>
            <w:cnfStyle w:val="001000000000" w:firstRow="0" w:lastRow="0" w:firstColumn="1" w:lastColumn="0" w:oddVBand="0" w:evenVBand="0" w:oddHBand="0" w:evenHBand="0" w:firstRowFirstColumn="0" w:firstRowLastColumn="0" w:lastRowFirstColumn="0" w:lastRowLastColumn="0"/>
            <w:tcW w:w="1117" w:type="pct"/>
          </w:tcPr>
          <w:p w14:paraId="63578E24" w14:textId="77777777" w:rsidR="0023704D" w:rsidRPr="00FF2DDD" w:rsidRDefault="0023704D" w:rsidP="0026051C">
            <w:pPr>
              <w:spacing w:before="0" w:line="276" w:lineRule="auto"/>
              <w:rPr>
                <w:rFonts w:eastAsia="Times New Roman" w:cstheme="minorHAnsi"/>
                <w:b w:val="0"/>
                <w:bCs w:val="0"/>
                <w:color w:val="000000"/>
                <w:szCs w:val="24"/>
                <w:lang w:eastAsia="pl-PL"/>
              </w:rPr>
            </w:pPr>
            <w:r w:rsidRPr="00FF2DDD">
              <w:rPr>
                <w:b w:val="0"/>
                <w:bCs w:val="0"/>
                <w:szCs w:val="24"/>
              </w:rPr>
              <w:t>Strategia Rozwoju Kapitału Ludzkiego 2030</w:t>
            </w:r>
          </w:p>
        </w:tc>
        <w:tc>
          <w:tcPr>
            <w:tcW w:w="2214" w:type="pct"/>
          </w:tcPr>
          <w:p w14:paraId="30F4D538"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Celem głównym strategii jest wzrost kapitału ludzkiego i spójności społecznej w Polsce. Cele szczegółowe zaś to:</w:t>
            </w:r>
          </w:p>
          <w:p w14:paraId="3BA48C87"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1: Podniesienie poziomu kompetencji oraz kwalifikacji obywateli, w tym cyfrowych;</w:t>
            </w:r>
          </w:p>
          <w:p w14:paraId="32AFDFF3"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2: Poprawa zdrowia obywateli oraz efektywności systemu opieki zdrowotnej;</w:t>
            </w:r>
          </w:p>
          <w:p w14:paraId="202F3D01"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3: Wzrost i poprawa wykorzystania potencjału kapitału ludzkiego na rynku pracy;</w:t>
            </w:r>
          </w:p>
          <w:p w14:paraId="4F440D07"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4: Redukcja ubóstwa i wykluczenia społecznego oraz poprawa dostępu do usług świadczonych w odpowiedzi na wyzwania demograficzne.</w:t>
            </w:r>
          </w:p>
        </w:tc>
        <w:tc>
          <w:tcPr>
            <w:tcW w:w="238" w:type="pct"/>
            <w:gridSpan w:val="2"/>
            <w:noWrap/>
          </w:tcPr>
          <w:p w14:paraId="00B4B231"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tcPr>
          <w:p w14:paraId="2F24C3D0"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tcPr>
          <w:p w14:paraId="3078DD61"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tcPr>
          <w:p w14:paraId="27D196E9"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tcPr>
          <w:p w14:paraId="2E974179"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7BB79276"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tcPr>
          <w:p w14:paraId="1AC02D53" w14:textId="766CCD84"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23704D" w:rsidRPr="0026051C" w14:paraId="03339205" w14:textId="77777777" w:rsidTr="008D2A1E">
        <w:trPr>
          <w:trHeight w:val="58"/>
        </w:trPr>
        <w:tc>
          <w:tcPr>
            <w:cnfStyle w:val="001000000000" w:firstRow="0" w:lastRow="0" w:firstColumn="1" w:lastColumn="0" w:oddVBand="0" w:evenVBand="0" w:oddHBand="0" w:evenHBand="0" w:firstRowFirstColumn="0" w:firstRowLastColumn="0" w:lastRowFirstColumn="0" w:lastRowLastColumn="0"/>
            <w:tcW w:w="1117" w:type="pct"/>
            <w:hideMark/>
          </w:tcPr>
          <w:p w14:paraId="263E3F83" w14:textId="77777777" w:rsidR="0023704D" w:rsidRPr="00FF2DDD" w:rsidRDefault="0023704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Aktualizacja krajowego programu oczyszczania ścieków komunalnych (VI)</w:t>
            </w:r>
          </w:p>
        </w:tc>
        <w:tc>
          <w:tcPr>
            <w:tcW w:w="2214" w:type="pct"/>
            <w:hideMark/>
          </w:tcPr>
          <w:p w14:paraId="3D174C5F"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 xml:space="preserve">Celem Programu jest ograniczenie zrzutów niedostatecznie oczyszczanych ścieków, a co za tym idzie – ochrona środowiska wodnego przed ich niekorzystnymi skutkami. W ramach piątej aktualizacji planowane jest wybudowanie 116 nowych oczyszczalni ścieków oraz przeprowadzenie innych inwestycji na 1010 oczyszczalniach. Planowane jest również wybudowanie 14 661 km nowej sieci kanalizacyjnej oraz zmodernizowanie 3 506 km sieci istniejącej. </w:t>
            </w:r>
          </w:p>
        </w:tc>
        <w:tc>
          <w:tcPr>
            <w:tcW w:w="238" w:type="pct"/>
            <w:gridSpan w:val="2"/>
            <w:noWrap/>
            <w:hideMark/>
          </w:tcPr>
          <w:p w14:paraId="41D9B2CD"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57AD3797"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B3A82E2"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7EBBE892"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09D62C64"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7871BBD6"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367A0C38"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23704D" w:rsidRPr="0026051C" w14:paraId="274F1670" w14:textId="77777777" w:rsidTr="008D2A1E">
        <w:trPr>
          <w:trHeight w:val="62"/>
        </w:trPr>
        <w:tc>
          <w:tcPr>
            <w:cnfStyle w:val="001000000000" w:firstRow="0" w:lastRow="0" w:firstColumn="1" w:lastColumn="0" w:oddVBand="0" w:evenVBand="0" w:oddHBand="0" w:evenHBand="0" w:firstRowFirstColumn="0" w:firstRowLastColumn="0" w:lastRowFirstColumn="0" w:lastRowLastColumn="0"/>
            <w:tcW w:w="1117" w:type="pct"/>
            <w:hideMark/>
          </w:tcPr>
          <w:p w14:paraId="6C757CD7" w14:textId="77777777" w:rsidR="0023704D" w:rsidRPr="00FF2DDD" w:rsidRDefault="0023704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Plany zarządzania ryzykiem powodziowym;</w:t>
            </w:r>
          </w:p>
        </w:tc>
        <w:tc>
          <w:tcPr>
            <w:tcW w:w="2214" w:type="pct"/>
            <w:hideMark/>
          </w:tcPr>
          <w:p w14:paraId="724338B2"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Plany obejmują wszystkie elementy zarządzania ryzykiem powodziowym, ze szczególnym uwzględnieniem działań służących zapobieganiu powodzi i ochronie przed powodzią oraz informacji na temat stanu należytego przygotowania w przypadku wystąpienia powodzi. Zgodnie z ustawą - Prawo wodne ochronę przed powodzią prowadzi się z uwzględnieniem PZRP, a ustalenia tych dokumentów uwzględnia się w koncepcji przestrzennego zagospodarowania kraju, strategii rozwoju województwa, planach zagospodarowania przestrzennego województwa, studium uwarunkowań i kierunków zagospodarowania przestrzennego gminy oraz w miejscowych planach zagospodarowania przestrzennego. Zatwierdzone przez Radę Ministrów plany zostaną wykorzystane przy ocenie lokalizacji inwestycji.</w:t>
            </w:r>
          </w:p>
        </w:tc>
        <w:tc>
          <w:tcPr>
            <w:tcW w:w="238" w:type="pct"/>
            <w:gridSpan w:val="2"/>
            <w:noWrap/>
            <w:hideMark/>
          </w:tcPr>
          <w:p w14:paraId="17E2E77F"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76D7BD17"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D7DFFE9"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75CF5E7D"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2F68E13D"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6595B680"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4FF28E6F"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23704D" w:rsidRPr="0026051C" w14:paraId="2F2DA238" w14:textId="77777777" w:rsidTr="008D2A1E">
        <w:trPr>
          <w:trHeight w:val="1200"/>
        </w:trPr>
        <w:tc>
          <w:tcPr>
            <w:cnfStyle w:val="001000000000" w:firstRow="0" w:lastRow="0" w:firstColumn="1" w:lastColumn="0" w:oddVBand="0" w:evenVBand="0" w:oddHBand="0" w:evenHBand="0" w:firstRowFirstColumn="0" w:firstRowLastColumn="0" w:lastRowFirstColumn="0" w:lastRowLastColumn="0"/>
            <w:tcW w:w="1117" w:type="pct"/>
            <w:hideMark/>
          </w:tcPr>
          <w:p w14:paraId="201C7F8F" w14:textId="77777777" w:rsidR="0023704D" w:rsidRPr="00FF2DDD" w:rsidRDefault="0023704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Plan przeciwdziałania skutkom suszy</w:t>
            </w:r>
          </w:p>
        </w:tc>
        <w:tc>
          <w:tcPr>
            <w:tcW w:w="2214" w:type="pct"/>
            <w:hideMark/>
          </w:tcPr>
          <w:p w14:paraId="0056659F" w14:textId="77777777" w:rsidR="0023704D" w:rsidRPr="00FF2DDD" w:rsidRDefault="0023704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Plan zawiera:</w:t>
            </w:r>
            <w:r w:rsidRPr="00FF2DDD">
              <w:rPr>
                <w:rFonts w:eastAsia="Times New Roman" w:cstheme="minorHAnsi"/>
                <w:color w:val="000000"/>
                <w:szCs w:val="24"/>
                <w:lang w:eastAsia="pl-PL"/>
              </w:rPr>
              <w:br/>
              <w:t>1) analizę możliwości powiększenia dyspozycyjnych zasobów wodnych;</w:t>
            </w:r>
            <w:r w:rsidRPr="00FF2DDD">
              <w:rPr>
                <w:rFonts w:eastAsia="Times New Roman" w:cstheme="minorHAnsi"/>
                <w:color w:val="000000"/>
                <w:szCs w:val="24"/>
                <w:lang w:eastAsia="pl-PL"/>
              </w:rPr>
              <w:br/>
              <w:t>2) propozycje budowy lub przebudowy urządzeń wodnych;</w:t>
            </w:r>
            <w:r w:rsidRPr="00FF2DDD">
              <w:rPr>
                <w:rFonts w:eastAsia="Times New Roman" w:cstheme="minorHAnsi"/>
                <w:color w:val="000000"/>
                <w:szCs w:val="24"/>
                <w:lang w:eastAsia="pl-PL"/>
              </w:rPr>
              <w:br/>
              <w:t>3) propozycje niezbędnych zmian w zakresie korzystania z zasobów wodnych oraz zmian naturalnej i sztucznej retencji;</w:t>
            </w:r>
            <w:r w:rsidRPr="00FF2DDD">
              <w:rPr>
                <w:rFonts w:eastAsia="Times New Roman" w:cstheme="minorHAnsi"/>
                <w:color w:val="000000"/>
                <w:szCs w:val="24"/>
                <w:lang w:eastAsia="pl-PL"/>
              </w:rPr>
              <w:br/>
              <w:t>4) katalog działań służących przeciwdziałaniu skutkom suszy.</w:t>
            </w:r>
          </w:p>
        </w:tc>
        <w:tc>
          <w:tcPr>
            <w:tcW w:w="238" w:type="pct"/>
            <w:gridSpan w:val="2"/>
            <w:noWrap/>
            <w:hideMark/>
          </w:tcPr>
          <w:p w14:paraId="0D8541FB"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4C40FD05"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43791EB"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12E5E660"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18C3AA0C"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255F588A"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533B90C4" w14:textId="77777777" w:rsidR="0023704D" w:rsidRPr="00FF2DDD" w:rsidRDefault="0023704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645FED" w:rsidRPr="0026051C" w14:paraId="6EC334C8" w14:textId="77777777" w:rsidTr="008D2A1E">
        <w:trPr>
          <w:trHeight w:val="960"/>
        </w:trPr>
        <w:tc>
          <w:tcPr>
            <w:cnfStyle w:val="001000000000" w:firstRow="0" w:lastRow="0" w:firstColumn="1" w:lastColumn="0" w:oddVBand="0" w:evenVBand="0" w:oddHBand="0" w:evenHBand="0" w:firstRowFirstColumn="0" w:firstRowLastColumn="0" w:lastRowFirstColumn="0" w:lastRowLastColumn="0"/>
            <w:tcW w:w="1117" w:type="pct"/>
            <w:hideMark/>
          </w:tcPr>
          <w:p w14:paraId="04B51138" w14:textId="77777777" w:rsidR="00645FED" w:rsidRPr="00FF2DDD" w:rsidRDefault="00645FE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Założenia do Programu przeciwdziałania niedoborowi wody na lata 2021-2027 z perspektywą do roku 2030</w:t>
            </w:r>
          </w:p>
        </w:tc>
        <w:tc>
          <w:tcPr>
            <w:tcW w:w="2214" w:type="pct"/>
            <w:hideMark/>
          </w:tcPr>
          <w:p w14:paraId="316240C6" w14:textId="77777777" w:rsidR="00645FED" w:rsidRPr="00FF2DDD" w:rsidRDefault="00645FE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Celem głównym jest zwiększenie retencji wodnej w Polsce. Cel ten realizowany będzie przez następujące priorytetowe działania:</w:t>
            </w:r>
            <w:r w:rsidRPr="00FF2DDD">
              <w:rPr>
                <w:rFonts w:eastAsia="Times New Roman" w:cstheme="minorHAnsi"/>
                <w:color w:val="000000"/>
                <w:szCs w:val="24"/>
                <w:lang w:eastAsia="pl-PL"/>
              </w:rPr>
              <w:br/>
              <w:t>1. Wskazanie i realizacja działań z zakresu budowy zintegrowanego systemu naturalnej i sztucznej retencji wodnej,</w:t>
            </w:r>
            <w:r w:rsidRPr="00FF2DDD">
              <w:rPr>
                <w:rFonts w:eastAsia="Times New Roman" w:cstheme="minorHAnsi"/>
                <w:color w:val="000000"/>
                <w:szCs w:val="24"/>
                <w:lang w:eastAsia="pl-PL"/>
              </w:rPr>
              <w:br/>
              <w:t>2. Stworzenie warunków do zrównoważonego wykorzystania zasobów wodnych,</w:t>
            </w:r>
            <w:r w:rsidRPr="00FF2DDD">
              <w:rPr>
                <w:rFonts w:eastAsia="Times New Roman" w:cstheme="minorHAnsi"/>
                <w:color w:val="000000"/>
                <w:szCs w:val="24"/>
                <w:lang w:eastAsia="pl-PL"/>
              </w:rPr>
              <w:br/>
              <w:t>3. Wzmocnienie świadomości społecznej w zakresie potrzeby retencjonowania i oszczędzania wody.</w:t>
            </w:r>
          </w:p>
        </w:tc>
        <w:tc>
          <w:tcPr>
            <w:tcW w:w="238" w:type="pct"/>
            <w:gridSpan w:val="2"/>
            <w:noWrap/>
            <w:hideMark/>
          </w:tcPr>
          <w:p w14:paraId="215BC4F2"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589F49A9"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1D9B8C0"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48918E38"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1309C68D"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7912B848"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219F13B1"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645FED" w:rsidRPr="0026051C" w14:paraId="4CA7AB30" w14:textId="77777777" w:rsidTr="008D2A1E">
        <w:trPr>
          <w:trHeight w:val="1920"/>
        </w:trPr>
        <w:tc>
          <w:tcPr>
            <w:cnfStyle w:val="001000000000" w:firstRow="0" w:lastRow="0" w:firstColumn="1" w:lastColumn="0" w:oddVBand="0" w:evenVBand="0" w:oddHBand="0" w:evenHBand="0" w:firstRowFirstColumn="0" w:firstRowLastColumn="0" w:lastRowFirstColumn="0" w:lastRowLastColumn="0"/>
            <w:tcW w:w="1117" w:type="pct"/>
            <w:hideMark/>
          </w:tcPr>
          <w:p w14:paraId="51CCC16F" w14:textId="77777777" w:rsidR="00645FED" w:rsidRPr="00FF2DDD" w:rsidRDefault="00645FE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Aktualizacja Programu wodno-środowiskowego kraju</w:t>
            </w:r>
          </w:p>
        </w:tc>
        <w:tc>
          <w:tcPr>
            <w:tcW w:w="2214" w:type="pct"/>
            <w:hideMark/>
          </w:tcPr>
          <w:p w14:paraId="3725A501" w14:textId="77777777" w:rsidR="00645FED" w:rsidRPr="00FF2DDD" w:rsidRDefault="00645FE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Cele Programu:</w:t>
            </w:r>
            <w:r w:rsidRPr="00FF2DDD">
              <w:rPr>
                <w:rFonts w:eastAsia="Times New Roman" w:cstheme="minorHAnsi"/>
                <w:color w:val="000000"/>
                <w:szCs w:val="24"/>
                <w:lang w:eastAsia="pl-PL"/>
              </w:rPr>
              <w:br/>
              <w:t>- niepogarszanie stanu wód,</w:t>
            </w:r>
            <w:r w:rsidRPr="00FF2DDD">
              <w:rPr>
                <w:rFonts w:eastAsia="Times New Roman" w:cstheme="minorHAnsi"/>
                <w:color w:val="000000"/>
                <w:szCs w:val="24"/>
                <w:lang w:eastAsia="pl-PL"/>
              </w:rPr>
              <w:br/>
              <w:t>- osiągnięcie dobrego stanu wód: dobry stan ekologiczny i chemiczny dla naturalnych części wód powierzchniowych, dobry potencjał ekologiczny i dobry stan chemiczny dla sztucznych i silnie zmienionych części wód oraz dobry stan chemiczny i ilościowy dla wód podziemnych,</w:t>
            </w:r>
            <w:r w:rsidRPr="00FF2DDD">
              <w:rPr>
                <w:rFonts w:eastAsia="Times New Roman" w:cstheme="minorHAnsi"/>
                <w:color w:val="000000"/>
                <w:szCs w:val="24"/>
                <w:lang w:eastAsia="pl-PL"/>
              </w:rPr>
              <w:br/>
              <w:t>- spełnienie wymagań specjalnych, zawartych w unijnych aktach prawnych i polskim prawodawstwie, w odniesieniu do obszarów chronionych, (w tym m. in. narażonych na zanieczyszczenia związkami azotu pochodzącymi ze źródeł rolniczych, przeznaczonych do celów rekreacyjnych, do poboru wody dla zaopatrzenia ludności w wodę przeznaczoną do spożycia, do ochrony siedlisk lub gatunków, dla których utrzymanie stanu wód jest ważnym czynnikiem w ich ochronie),</w:t>
            </w:r>
            <w:r w:rsidRPr="00FF2DDD">
              <w:rPr>
                <w:rFonts w:eastAsia="Times New Roman" w:cstheme="minorHAnsi"/>
                <w:color w:val="000000"/>
                <w:szCs w:val="24"/>
                <w:lang w:eastAsia="pl-PL"/>
              </w:rPr>
              <w:br/>
              <w:t>- zaprzestanie lub stopniowe wyeliminowanie zrzutu substancji priorytetowych do środowiska lub ograniczone zrzuty tych substancji.</w:t>
            </w:r>
          </w:p>
        </w:tc>
        <w:tc>
          <w:tcPr>
            <w:tcW w:w="238" w:type="pct"/>
            <w:gridSpan w:val="2"/>
            <w:noWrap/>
            <w:hideMark/>
          </w:tcPr>
          <w:p w14:paraId="3A37DD7F"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0C392B94"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8498976"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082B2C4B"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7B4EE41A"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1C91B5C1"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34DE3BC4"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645FED" w:rsidRPr="0026051C" w14:paraId="39860A77" w14:textId="77777777" w:rsidTr="008D2A1E">
        <w:trPr>
          <w:trHeight w:val="960"/>
        </w:trPr>
        <w:tc>
          <w:tcPr>
            <w:cnfStyle w:val="001000000000" w:firstRow="0" w:lastRow="0" w:firstColumn="1" w:lastColumn="0" w:oddVBand="0" w:evenVBand="0" w:oddHBand="0" w:evenHBand="0" w:firstRowFirstColumn="0" w:firstRowLastColumn="0" w:lastRowFirstColumn="0" w:lastRowLastColumn="0"/>
            <w:tcW w:w="1117" w:type="pct"/>
            <w:hideMark/>
          </w:tcPr>
          <w:p w14:paraId="575F3A3C" w14:textId="77777777" w:rsidR="00645FED" w:rsidRPr="00FF2DDD" w:rsidRDefault="00645FE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Strategiczny plan adaptacji dla sektorów i obszarów wrażliwych na zmiany klimatu do roku 2020 z perspektywą do roku 2030 (SPA 2020)</w:t>
            </w:r>
          </w:p>
        </w:tc>
        <w:tc>
          <w:tcPr>
            <w:tcW w:w="2214" w:type="pct"/>
            <w:hideMark/>
          </w:tcPr>
          <w:p w14:paraId="7B49FBEA" w14:textId="77777777" w:rsidR="00645FED" w:rsidRPr="00FF2DDD" w:rsidRDefault="00645FE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Celem głównym dokumentu jest: zapewnienie zrównoważonego rozwoju oraz efektywnego funkcjonowania gospodarki i społeczeństwa w warunkach zmian klimatu. Cele szczegółowe to: zapewnienie bezpieczeństwa energetycznego i dobrego stanu środowiska, skuteczna adaptacja do zmian klimatu na obszarach wiejskich, rozwój transportu w warunkach zmian klimatu, zapewnienie zrównoważonego rozwoju regionalnego i lokalnego z uwzględnieniem zmian klimatu, stymulowanie innowacji sprzyjających adaptacji do zmian klimatu, kształtowanie postaw społecznych sprzyjających adaptacji do zmian klimatu.</w:t>
            </w:r>
          </w:p>
        </w:tc>
        <w:tc>
          <w:tcPr>
            <w:tcW w:w="238" w:type="pct"/>
            <w:gridSpan w:val="2"/>
            <w:noWrap/>
            <w:hideMark/>
          </w:tcPr>
          <w:p w14:paraId="60524454"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F144253"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57415500"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0066BB98"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00375A7D"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66971D97"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7C2F315F" w14:textId="474E6D2F"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645FED" w:rsidRPr="0026051C" w14:paraId="5882DE46" w14:textId="77777777" w:rsidTr="008D2A1E">
        <w:trPr>
          <w:trHeight w:val="1200"/>
        </w:trPr>
        <w:tc>
          <w:tcPr>
            <w:cnfStyle w:val="001000000000" w:firstRow="0" w:lastRow="0" w:firstColumn="1" w:lastColumn="0" w:oddVBand="0" w:evenVBand="0" w:oddHBand="0" w:evenHBand="0" w:firstRowFirstColumn="0" w:firstRowLastColumn="0" w:lastRowFirstColumn="0" w:lastRowLastColumn="0"/>
            <w:tcW w:w="1117" w:type="pct"/>
            <w:hideMark/>
          </w:tcPr>
          <w:p w14:paraId="664C41EF" w14:textId="77777777" w:rsidR="00645FED" w:rsidRPr="00FF2DDD" w:rsidRDefault="00645FE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Program Budowy Dróg Krajowych na lata 2014-2023 (z perspektywą do 2025 r.)</w:t>
            </w:r>
          </w:p>
        </w:tc>
        <w:tc>
          <w:tcPr>
            <w:tcW w:w="2214" w:type="pct"/>
            <w:hideMark/>
          </w:tcPr>
          <w:p w14:paraId="168A4B56" w14:textId="77777777" w:rsidR="00645FED" w:rsidRPr="00FF2DDD" w:rsidRDefault="00645FE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Program przewiduje m. in:</w:t>
            </w:r>
            <w:r w:rsidRPr="00FF2DDD">
              <w:rPr>
                <w:rFonts w:eastAsia="Times New Roman" w:cstheme="minorHAnsi"/>
                <w:color w:val="000000"/>
                <w:szCs w:val="24"/>
                <w:lang w:eastAsia="pl-PL"/>
              </w:rPr>
              <w:br/>
              <w:t>- zwiększenie spójności sieci dróg krajowych (kontynuacja budowy, rozbudowy istniejących odcinków, budowa węzłów),</w:t>
            </w:r>
            <w:r w:rsidRPr="00FF2DDD">
              <w:rPr>
                <w:rFonts w:eastAsia="Times New Roman" w:cstheme="minorHAnsi"/>
                <w:color w:val="000000"/>
                <w:szCs w:val="24"/>
                <w:lang w:eastAsia="pl-PL"/>
              </w:rPr>
              <w:br/>
              <w:t>- wzmocnienie efektywności transportu drogowego (skrócenie średniego czasu przejazdów),</w:t>
            </w:r>
            <w:r w:rsidRPr="00FF2DDD">
              <w:rPr>
                <w:rFonts w:eastAsia="Times New Roman" w:cstheme="minorHAnsi"/>
                <w:color w:val="000000"/>
                <w:szCs w:val="24"/>
                <w:lang w:eastAsia="pl-PL"/>
              </w:rPr>
              <w:br/>
              <w:t>- wzrost bezpieczeństwa ruchu drogowego (redukcja liczby wypadków i ich ofiar),</w:t>
            </w:r>
            <w:r w:rsidRPr="00FF2DDD">
              <w:rPr>
                <w:rFonts w:eastAsia="Times New Roman" w:cstheme="minorHAnsi"/>
                <w:color w:val="000000"/>
                <w:szCs w:val="24"/>
                <w:lang w:eastAsia="pl-PL"/>
              </w:rPr>
              <w:br/>
              <w:t>- poprawa dostępu do rynków i usług (połączenie miast wojewódzkich z Warszawą).</w:t>
            </w:r>
          </w:p>
        </w:tc>
        <w:tc>
          <w:tcPr>
            <w:tcW w:w="238" w:type="pct"/>
            <w:gridSpan w:val="2"/>
            <w:noWrap/>
            <w:hideMark/>
          </w:tcPr>
          <w:p w14:paraId="5278F018"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049F97FF"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996CBDA"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9176F92"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031FF3CF"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7BD8EF6A"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hideMark/>
          </w:tcPr>
          <w:p w14:paraId="715B596F" w14:textId="75C62EC8"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645FED" w:rsidRPr="0026051C" w14:paraId="4B33E53C" w14:textId="77777777" w:rsidTr="008D2A1E">
        <w:trPr>
          <w:trHeight w:val="1200"/>
        </w:trPr>
        <w:tc>
          <w:tcPr>
            <w:cnfStyle w:val="001000000000" w:firstRow="0" w:lastRow="0" w:firstColumn="1" w:lastColumn="0" w:oddVBand="0" w:evenVBand="0" w:oddHBand="0" w:evenHBand="0" w:firstRowFirstColumn="0" w:firstRowLastColumn="0" w:lastRowFirstColumn="0" w:lastRowLastColumn="0"/>
            <w:tcW w:w="1117" w:type="pct"/>
            <w:hideMark/>
          </w:tcPr>
          <w:p w14:paraId="2F961373" w14:textId="77777777" w:rsidR="00645FED" w:rsidRPr="00FF2DDD" w:rsidRDefault="00645FE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Krajowy program kolejowy do 2023 roku</w:t>
            </w:r>
          </w:p>
        </w:tc>
        <w:tc>
          <w:tcPr>
            <w:tcW w:w="2214" w:type="pct"/>
            <w:hideMark/>
          </w:tcPr>
          <w:p w14:paraId="2B74EB76" w14:textId="77777777" w:rsidR="00645FED" w:rsidRPr="00FF2DDD" w:rsidRDefault="00645FE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Cel główny KPK obejmuje wzmocnienie roli transportu kolejowego w zintegrowanym systemie transportowym kraju poprzez stworzenie spójnej i nowoczesnej sieci linii kolejowych. Ponto:</w:t>
            </w:r>
            <w:r w:rsidRPr="00FF2DDD">
              <w:rPr>
                <w:rFonts w:eastAsia="Times New Roman" w:cstheme="minorHAnsi"/>
                <w:color w:val="000000"/>
                <w:szCs w:val="24"/>
                <w:lang w:eastAsia="pl-PL"/>
              </w:rPr>
              <w:br/>
              <w:t>- wzmocnienie efektywności transportu kolejowego,</w:t>
            </w:r>
            <w:r w:rsidRPr="00FF2DDD">
              <w:rPr>
                <w:rFonts w:eastAsia="Times New Roman" w:cstheme="minorHAnsi"/>
                <w:color w:val="000000"/>
                <w:szCs w:val="24"/>
                <w:lang w:eastAsia="pl-PL"/>
              </w:rPr>
              <w:br/>
              <w:t>- zwiększenie bezpieczeństwa funkcjonowania transportu kolejowego,</w:t>
            </w:r>
            <w:r w:rsidRPr="00FF2DDD">
              <w:rPr>
                <w:rFonts w:eastAsia="Times New Roman" w:cstheme="minorHAnsi"/>
                <w:color w:val="000000"/>
                <w:szCs w:val="24"/>
                <w:lang w:eastAsia="pl-PL"/>
              </w:rPr>
              <w:br/>
              <w:t>- poprawę jakości w przewozach pasażerskich i towarowych.</w:t>
            </w:r>
          </w:p>
        </w:tc>
        <w:tc>
          <w:tcPr>
            <w:tcW w:w="238" w:type="pct"/>
            <w:gridSpan w:val="2"/>
            <w:noWrap/>
            <w:hideMark/>
          </w:tcPr>
          <w:p w14:paraId="3F79C8B0"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3E14D1F8"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FC7DC41"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1597630"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01801B5"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04063062"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0FDDCDFC" w14:textId="2D01DDBD"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645FED" w:rsidRPr="0026051C" w14:paraId="0556D889" w14:textId="77777777" w:rsidTr="008D2A1E">
        <w:trPr>
          <w:trHeight w:val="487"/>
        </w:trPr>
        <w:tc>
          <w:tcPr>
            <w:cnfStyle w:val="001000000000" w:firstRow="0" w:lastRow="0" w:firstColumn="1" w:lastColumn="0" w:oddVBand="0" w:evenVBand="0" w:oddHBand="0" w:evenHBand="0" w:firstRowFirstColumn="0" w:firstRowLastColumn="0" w:lastRowFirstColumn="0" w:lastRowLastColumn="0"/>
            <w:tcW w:w="1117" w:type="pct"/>
            <w:hideMark/>
          </w:tcPr>
          <w:p w14:paraId="20EDFA7A" w14:textId="77777777" w:rsidR="00645FED" w:rsidRPr="00FF2DDD" w:rsidRDefault="00645FED" w:rsidP="0026051C">
            <w:pPr>
              <w:spacing w:before="0" w:line="276" w:lineRule="auto"/>
              <w:rPr>
                <w:rFonts w:eastAsia="Times New Roman" w:cstheme="minorHAnsi"/>
                <w:b w:val="0"/>
                <w:bCs w:val="0"/>
                <w:color w:val="000000"/>
                <w:szCs w:val="24"/>
                <w:lang w:eastAsia="pl-PL"/>
              </w:rPr>
            </w:pPr>
            <w:r w:rsidRPr="00FF2DDD">
              <w:rPr>
                <w:rFonts w:eastAsia="Times New Roman" w:cstheme="minorHAnsi"/>
                <w:b w:val="0"/>
                <w:bCs w:val="0"/>
                <w:color w:val="000000"/>
                <w:szCs w:val="24"/>
                <w:lang w:eastAsia="pl-PL"/>
              </w:rPr>
              <w:t>Założenia do planów rozwoju śródlądowych dróg wodnych w Polsce na lata 2016–2020 z perspektywą do roku 2030</w:t>
            </w:r>
          </w:p>
        </w:tc>
        <w:tc>
          <w:tcPr>
            <w:tcW w:w="2214" w:type="pct"/>
            <w:hideMark/>
          </w:tcPr>
          <w:p w14:paraId="64AEDF54" w14:textId="77777777" w:rsidR="00645FED" w:rsidRPr="00FF2DDD" w:rsidRDefault="00645FE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Głównym celem rozwoju śródlądowych dróg wodnych istotnych z punktu widzenia transportowego jest ich budowa lub zmodernizowanie do parametrów co najmniej IX klasy żeglowności oraz spełnienie wymogów infrastruktury transportu wodnego śródlądowego dla sieci TEN-T. Zawiera następujące priorytety:</w:t>
            </w:r>
            <w:r w:rsidRPr="00FF2DDD">
              <w:rPr>
                <w:rFonts w:eastAsia="Times New Roman" w:cstheme="minorHAnsi"/>
                <w:color w:val="000000"/>
                <w:szCs w:val="24"/>
                <w:lang w:eastAsia="pl-PL"/>
              </w:rPr>
              <w:br/>
              <w:t>1. Odrzańska Droga Wodna (E-30) – osiągnięcie międzynarodowej klasy żeglowności i włączenie w europejską sieć dróg wodnych.</w:t>
            </w:r>
            <w:r w:rsidRPr="00FF2DDD">
              <w:rPr>
                <w:rFonts w:eastAsia="Times New Roman" w:cstheme="minorHAnsi"/>
                <w:color w:val="000000"/>
                <w:szCs w:val="24"/>
                <w:lang w:eastAsia="pl-PL"/>
              </w:rPr>
              <w:br/>
              <w:t>2. Droga wodna rzeki Wisły – uzyskanie znacznej poprawy warunków nawigacyjnych.</w:t>
            </w:r>
            <w:r w:rsidRPr="00FF2DDD">
              <w:rPr>
                <w:rFonts w:eastAsia="Times New Roman" w:cstheme="minorHAnsi"/>
                <w:color w:val="000000"/>
                <w:szCs w:val="24"/>
                <w:lang w:eastAsia="pl-PL"/>
              </w:rPr>
              <w:br/>
              <w:t>3. Połączenie Odra – Wisła – Zalew Wiślany i Warszawa – Brześć – rozbudowa dróg wodnych E-70 i E-40.</w:t>
            </w:r>
            <w:r w:rsidRPr="00FF2DDD">
              <w:rPr>
                <w:rFonts w:eastAsia="Times New Roman" w:cstheme="minorHAnsi"/>
                <w:color w:val="000000"/>
                <w:szCs w:val="24"/>
                <w:lang w:eastAsia="pl-PL"/>
              </w:rPr>
              <w:br/>
              <w:t>4. Rozwój partnerstwa i współpracy na rzecz śródlądowych dróg wodnych.</w:t>
            </w:r>
          </w:p>
        </w:tc>
        <w:tc>
          <w:tcPr>
            <w:tcW w:w="238" w:type="pct"/>
            <w:gridSpan w:val="2"/>
            <w:noWrap/>
            <w:hideMark/>
          </w:tcPr>
          <w:p w14:paraId="23BA7E85"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44948876"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143F009"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tcPr>
          <w:p w14:paraId="765C4296"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tcPr>
          <w:p w14:paraId="4C7372F9"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040E8550"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tcPr>
          <w:p w14:paraId="42745E6A" w14:textId="77777777" w:rsidR="00645FED" w:rsidRPr="00FF2DDD" w:rsidRDefault="00645FE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C17C7F" w:rsidRPr="0026051C" w14:paraId="5B86CA13" w14:textId="77777777" w:rsidTr="008D2A1E">
        <w:trPr>
          <w:trHeight w:val="276"/>
        </w:trPr>
        <w:tc>
          <w:tcPr>
            <w:cnfStyle w:val="001000000000" w:firstRow="0" w:lastRow="0" w:firstColumn="1" w:lastColumn="0" w:oddVBand="0" w:evenVBand="0" w:oddHBand="0" w:evenHBand="0" w:firstRowFirstColumn="0" w:firstRowLastColumn="0" w:lastRowFirstColumn="0" w:lastRowLastColumn="0"/>
            <w:tcW w:w="5000" w:type="pct"/>
            <w:gridSpan w:val="16"/>
          </w:tcPr>
          <w:p w14:paraId="6FBDB2F1" w14:textId="77777777" w:rsidR="00C17C7F" w:rsidRPr="00FF2DDD" w:rsidRDefault="00C17C7F" w:rsidP="0026051C">
            <w:pPr>
              <w:spacing w:before="0" w:line="276" w:lineRule="auto"/>
              <w:jc w:val="center"/>
              <w:rPr>
                <w:rFonts w:eastAsia="Times New Roman" w:cstheme="minorHAnsi"/>
                <w:b w:val="0"/>
                <w:bCs w:val="0"/>
                <w:i/>
                <w:iCs/>
                <w:color w:val="000000"/>
                <w:szCs w:val="24"/>
                <w:lang w:eastAsia="pl-PL"/>
              </w:rPr>
            </w:pPr>
            <w:r w:rsidRPr="00FF2DDD">
              <w:rPr>
                <w:rFonts w:eastAsia="Times New Roman" w:cstheme="minorHAnsi"/>
                <w:b w:val="0"/>
                <w:bCs w:val="0"/>
                <w:color w:val="000000"/>
                <w:szCs w:val="24"/>
                <w:lang w:eastAsia="pl-PL"/>
              </w:rPr>
              <w:t>Dokumenty strategiczne szczebla regionalnego</w:t>
            </w:r>
          </w:p>
        </w:tc>
      </w:tr>
      <w:tr w:rsidR="008D2A1E" w:rsidRPr="0026051C" w14:paraId="014C37A9" w14:textId="77777777" w:rsidTr="00E127FD">
        <w:trPr>
          <w:trHeight w:val="746"/>
        </w:trPr>
        <w:tc>
          <w:tcPr>
            <w:cnfStyle w:val="001000000000" w:firstRow="0" w:lastRow="0" w:firstColumn="1" w:lastColumn="0" w:oddVBand="0" w:evenVBand="0" w:oddHBand="0" w:evenHBand="0" w:firstRowFirstColumn="0" w:firstRowLastColumn="0" w:lastRowFirstColumn="0" w:lastRowLastColumn="0"/>
            <w:tcW w:w="1117" w:type="pct"/>
            <w:hideMark/>
          </w:tcPr>
          <w:p w14:paraId="5D0324ED" w14:textId="622A8AF5" w:rsidR="008D2A1E" w:rsidRPr="00D96554" w:rsidRDefault="00F83CC6" w:rsidP="0026051C">
            <w:pPr>
              <w:spacing w:before="0" w:line="276" w:lineRule="auto"/>
              <w:rPr>
                <w:rFonts w:eastAsia="Times New Roman" w:cstheme="minorHAnsi"/>
                <w:b w:val="0"/>
                <w:bCs w:val="0"/>
                <w:color w:val="000000"/>
                <w:szCs w:val="24"/>
                <w:highlight w:val="yellow"/>
                <w:lang w:eastAsia="pl-PL"/>
              </w:rPr>
            </w:pPr>
            <w:r w:rsidRPr="00F83CC6">
              <w:rPr>
                <w:b w:val="0"/>
                <w:bCs w:val="0"/>
                <w:szCs w:val="24"/>
              </w:rPr>
              <w:t>Strategia Rozwoju Województwa Zachodniopomorskiego do roku 2030</w:t>
            </w:r>
          </w:p>
        </w:tc>
        <w:tc>
          <w:tcPr>
            <w:tcW w:w="2214" w:type="pct"/>
          </w:tcPr>
          <w:p w14:paraId="66FC8644" w14:textId="30326885" w:rsidR="004A3F0D" w:rsidRPr="00880C3B" w:rsidRDefault="008D2A1E" w:rsidP="004A3F0D">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 xml:space="preserve">Wizja rozwojowa ujęta w Strategii wskazuje, że </w:t>
            </w:r>
            <w:r w:rsidR="004A3F0D" w:rsidRPr="00880C3B">
              <w:rPr>
                <w:rFonts w:eastAsia="Times New Roman" w:cstheme="minorHAnsi"/>
                <w:color w:val="000000"/>
                <w:szCs w:val="24"/>
                <w:lang w:eastAsia="pl-PL"/>
              </w:rPr>
              <w:t>województwo zachodniopomorskie w 2030</w:t>
            </w:r>
            <w:r w:rsidR="00E6027F" w:rsidRPr="00880C3B">
              <w:rPr>
                <w:rFonts w:eastAsia="Times New Roman" w:cstheme="minorHAnsi"/>
                <w:color w:val="000000"/>
                <w:szCs w:val="24"/>
                <w:lang w:eastAsia="pl-PL"/>
              </w:rPr>
              <w:t xml:space="preserve"> </w:t>
            </w:r>
            <w:r w:rsidR="004A3F0D" w:rsidRPr="00880C3B">
              <w:rPr>
                <w:rFonts w:eastAsia="Times New Roman" w:cstheme="minorHAnsi"/>
                <w:color w:val="000000"/>
                <w:szCs w:val="24"/>
                <w:lang w:eastAsia="pl-PL"/>
              </w:rPr>
              <w:t>roku to region o nowoczesnej i zróżnicowanej gospodarce wykorzystującej swe walory geograficzne i środowiskowe, oferujący doskonałe warunki do życia dla</w:t>
            </w:r>
            <w:r w:rsidR="00E6027F" w:rsidRPr="00880C3B">
              <w:rPr>
                <w:rFonts w:eastAsia="Times New Roman" w:cstheme="minorHAnsi"/>
                <w:color w:val="000000"/>
                <w:szCs w:val="24"/>
                <w:lang w:eastAsia="pl-PL"/>
              </w:rPr>
              <w:t xml:space="preserve"> </w:t>
            </w:r>
            <w:r w:rsidR="004A3F0D" w:rsidRPr="00880C3B">
              <w:rPr>
                <w:rFonts w:eastAsia="Times New Roman" w:cstheme="minorHAnsi"/>
                <w:color w:val="000000"/>
                <w:szCs w:val="24"/>
                <w:lang w:eastAsia="pl-PL"/>
              </w:rPr>
              <w:t>obecnych i przyszłych mieszkańców. Jest regionem</w:t>
            </w:r>
          </w:p>
          <w:p w14:paraId="00B7CEE0" w14:textId="77777777" w:rsidR="004A3F0D" w:rsidRPr="00880C3B" w:rsidRDefault="004A3F0D" w:rsidP="004A3F0D">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konkurencyjnym, stwarzającym możliwości rozwoju</w:t>
            </w:r>
          </w:p>
          <w:p w14:paraId="5CAC72C2" w14:textId="6DBBDF9C" w:rsidR="008D2A1E" w:rsidRPr="00880C3B" w:rsidRDefault="004A3F0D" w:rsidP="00126070">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zarówno mieszkańcom, jak i podmiotom gospodarczym.</w:t>
            </w:r>
            <w:r w:rsidR="00E6027F" w:rsidRPr="00880C3B">
              <w:rPr>
                <w:rFonts w:eastAsia="Times New Roman" w:cstheme="minorHAnsi"/>
                <w:color w:val="000000"/>
                <w:szCs w:val="24"/>
                <w:lang w:eastAsia="pl-PL"/>
              </w:rPr>
              <w:t xml:space="preserve"> </w:t>
            </w:r>
            <w:r w:rsidR="00CF320D" w:rsidRPr="00880C3B">
              <w:rPr>
                <w:rFonts w:eastAsia="Times New Roman" w:cstheme="minorHAnsi"/>
                <w:color w:val="000000"/>
                <w:szCs w:val="24"/>
                <w:lang w:eastAsia="pl-PL"/>
              </w:rPr>
              <w:t xml:space="preserve">Uwzględniając potencjał i sytuację regionu oraz jego możliwości rozwojowe, sformułowano misję </w:t>
            </w:r>
            <w:r w:rsidR="00126070" w:rsidRPr="00880C3B">
              <w:rPr>
                <w:rFonts w:eastAsia="Times New Roman" w:cstheme="minorHAnsi"/>
                <w:color w:val="000000"/>
                <w:szCs w:val="24"/>
                <w:lang w:eastAsia="pl-PL"/>
              </w:rPr>
              <w:t>–</w:t>
            </w:r>
            <w:r w:rsidR="00CF320D" w:rsidRPr="00880C3B">
              <w:rPr>
                <w:rFonts w:eastAsia="Times New Roman" w:cstheme="minorHAnsi"/>
                <w:color w:val="000000"/>
                <w:szCs w:val="24"/>
                <w:lang w:eastAsia="pl-PL"/>
              </w:rPr>
              <w:t xml:space="preserve"> </w:t>
            </w:r>
            <w:r w:rsidR="00126070" w:rsidRPr="00880C3B">
              <w:rPr>
                <w:rFonts w:eastAsia="Times New Roman" w:cstheme="minorHAnsi"/>
                <w:color w:val="000000"/>
                <w:szCs w:val="24"/>
                <w:lang w:eastAsia="pl-PL"/>
              </w:rPr>
              <w:t>Pomorze Zachodnie – lider niebieskiego i zielonego wzrostu zapewniającego wysoką jakość życia mieszkańców.</w:t>
            </w:r>
            <w:r w:rsidR="00CF320D" w:rsidRPr="00880C3B">
              <w:rPr>
                <w:rFonts w:eastAsia="Times New Roman" w:cstheme="minorHAnsi"/>
                <w:color w:val="000000"/>
                <w:szCs w:val="24"/>
                <w:lang w:eastAsia="pl-PL"/>
              </w:rPr>
              <w:t xml:space="preserve"> </w:t>
            </w:r>
            <w:r w:rsidRPr="00880C3B">
              <w:rPr>
                <w:rFonts w:eastAsia="Times New Roman" w:cstheme="minorHAnsi"/>
                <w:color w:val="000000"/>
                <w:szCs w:val="24"/>
                <w:lang w:eastAsia="pl-PL"/>
              </w:rPr>
              <w:cr/>
            </w:r>
            <w:r w:rsidR="008D2A1E" w:rsidRPr="00880C3B">
              <w:rPr>
                <w:rFonts w:eastAsia="Times New Roman" w:cstheme="minorHAnsi"/>
                <w:color w:val="000000"/>
                <w:szCs w:val="24"/>
                <w:lang w:eastAsia="pl-PL"/>
              </w:rPr>
              <w:t xml:space="preserve">Realizacja wizji </w:t>
            </w:r>
            <w:r w:rsidR="00126070" w:rsidRPr="00880C3B">
              <w:rPr>
                <w:rFonts w:eastAsia="Times New Roman" w:cstheme="minorHAnsi"/>
                <w:color w:val="000000"/>
                <w:szCs w:val="24"/>
                <w:lang w:eastAsia="pl-PL"/>
              </w:rPr>
              <w:t xml:space="preserve">i urzeczywistnianie misji </w:t>
            </w:r>
            <w:r w:rsidR="008D2A1E" w:rsidRPr="00880C3B">
              <w:rPr>
                <w:rFonts w:eastAsia="Times New Roman" w:cstheme="minorHAnsi"/>
                <w:color w:val="000000"/>
                <w:szCs w:val="24"/>
                <w:lang w:eastAsia="pl-PL"/>
              </w:rPr>
              <w:t>wiąże się z realizacją następujących celów strategicznych:</w:t>
            </w:r>
          </w:p>
          <w:p w14:paraId="5EBB746F" w14:textId="4E7B5A4A" w:rsidR="008D2A1E" w:rsidRPr="00880C3B" w:rsidRDefault="00BA3137"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I. Otwartość społeczna</w:t>
            </w:r>
          </w:p>
          <w:p w14:paraId="030C9438" w14:textId="77777777" w:rsidR="008D2A1E" w:rsidRPr="00880C3B" w:rsidRDefault="00BA3137"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 xml:space="preserve">II. </w:t>
            </w:r>
            <w:r w:rsidR="00665323" w:rsidRPr="00880C3B">
              <w:rPr>
                <w:rFonts w:eastAsia="Times New Roman" w:cstheme="minorHAnsi"/>
                <w:color w:val="000000"/>
                <w:szCs w:val="24"/>
                <w:lang w:eastAsia="pl-PL"/>
              </w:rPr>
              <w:t>Dynamiczna gospodarka</w:t>
            </w:r>
          </w:p>
          <w:p w14:paraId="02A59200" w14:textId="77777777" w:rsidR="00665323" w:rsidRPr="00880C3B" w:rsidRDefault="00665323"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III. Partnerski region</w:t>
            </w:r>
          </w:p>
          <w:p w14:paraId="29DE24B2" w14:textId="2051D344" w:rsidR="00665323" w:rsidRPr="00880C3B" w:rsidRDefault="00665323"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IV. Sprawny samorząd</w:t>
            </w:r>
          </w:p>
        </w:tc>
        <w:tc>
          <w:tcPr>
            <w:tcW w:w="238" w:type="pct"/>
            <w:gridSpan w:val="2"/>
            <w:noWrap/>
            <w:hideMark/>
          </w:tcPr>
          <w:p w14:paraId="4A32902A"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10D16A63"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CEB043F"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6F0ECC23"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25BA4018"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40" w:type="pct"/>
            <w:gridSpan w:val="2"/>
          </w:tcPr>
          <w:p w14:paraId="7539A96A"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6F17DB7D" w14:textId="25406BBE"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r>
      <w:tr w:rsidR="008D2A1E" w:rsidRPr="0026051C" w14:paraId="43757D30" w14:textId="77777777" w:rsidTr="00E127FD">
        <w:trPr>
          <w:trHeight w:val="480"/>
        </w:trPr>
        <w:tc>
          <w:tcPr>
            <w:cnfStyle w:val="001000000000" w:firstRow="0" w:lastRow="0" w:firstColumn="1" w:lastColumn="0" w:oddVBand="0" w:evenVBand="0" w:oddHBand="0" w:evenHBand="0" w:firstRowFirstColumn="0" w:firstRowLastColumn="0" w:lastRowFirstColumn="0" w:lastRowLastColumn="0"/>
            <w:tcW w:w="1117" w:type="pct"/>
          </w:tcPr>
          <w:p w14:paraId="12A28BB6" w14:textId="3C8CAC48" w:rsidR="008D2A1E" w:rsidRPr="00D96554" w:rsidRDefault="00665323" w:rsidP="0026051C">
            <w:pPr>
              <w:spacing w:before="0" w:line="276" w:lineRule="auto"/>
              <w:rPr>
                <w:rFonts w:eastAsia="Times New Roman" w:cstheme="minorHAnsi"/>
                <w:b w:val="0"/>
                <w:bCs w:val="0"/>
                <w:color w:val="000000"/>
                <w:szCs w:val="24"/>
                <w:highlight w:val="yellow"/>
                <w:lang w:eastAsia="pl-PL"/>
              </w:rPr>
            </w:pPr>
            <w:r w:rsidRPr="00665323">
              <w:rPr>
                <w:b w:val="0"/>
                <w:bCs w:val="0"/>
                <w:szCs w:val="24"/>
              </w:rPr>
              <w:t>Program ochrony środowiska województwa zachodniopomorskiego 2030;</w:t>
            </w:r>
          </w:p>
        </w:tc>
        <w:tc>
          <w:tcPr>
            <w:tcW w:w="2214" w:type="pct"/>
          </w:tcPr>
          <w:p w14:paraId="707E8293" w14:textId="52676197" w:rsidR="00741F0C" w:rsidRPr="00880C3B" w:rsidRDefault="008D2A1E" w:rsidP="00741F0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 xml:space="preserve">Głównym celem Programu jest dążenie do poprawy stanu środowiska w województwie oraz ograniczenie negatywnego wpływu na środowisko źródeł zanieczyszczeń, ochrona i rozwój walorów środowiska oraz racjonalne gospodarowanie jego zasobami. Dokument określa cele i priorytety ekologiczne, rodzaj i harmonogram działań proekologicznych oraz środki niezbędne do osiągnięcia celów, w tym mechanizmów prawno-ekonomicznych i środków finansowych. </w:t>
            </w:r>
            <w:r w:rsidR="00741F0C" w:rsidRPr="00880C3B">
              <w:rPr>
                <w:rFonts w:eastAsia="Times New Roman" w:cstheme="minorHAnsi"/>
                <w:color w:val="000000"/>
                <w:szCs w:val="24"/>
                <w:lang w:eastAsia="pl-PL"/>
              </w:rPr>
              <w:t>Zgodnie z Wytycznymi dokument obejmuje</w:t>
            </w:r>
            <w:r w:rsidR="00D4052B">
              <w:rPr>
                <w:rFonts w:eastAsia="Times New Roman" w:cstheme="minorHAnsi"/>
                <w:color w:val="000000"/>
                <w:szCs w:val="24"/>
                <w:lang w:eastAsia="pl-PL"/>
              </w:rPr>
              <w:t xml:space="preserve"> </w:t>
            </w:r>
            <w:r w:rsidR="00741F0C" w:rsidRPr="00880C3B">
              <w:rPr>
                <w:rFonts w:eastAsia="Times New Roman" w:cstheme="minorHAnsi"/>
                <w:color w:val="000000"/>
                <w:szCs w:val="24"/>
                <w:lang w:eastAsia="pl-PL"/>
              </w:rPr>
              <w:t>zakres</w:t>
            </w:r>
            <w:r w:rsidR="00D4052B">
              <w:rPr>
                <w:rFonts w:eastAsia="Times New Roman" w:cstheme="minorHAnsi"/>
                <w:color w:val="000000"/>
                <w:szCs w:val="24"/>
                <w:lang w:eastAsia="pl-PL"/>
              </w:rPr>
              <w:t xml:space="preserve"> </w:t>
            </w:r>
            <w:r w:rsidR="00741F0C" w:rsidRPr="00880C3B">
              <w:rPr>
                <w:rFonts w:eastAsia="Times New Roman" w:cstheme="minorHAnsi"/>
                <w:color w:val="000000"/>
                <w:szCs w:val="24"/>
                <w:lang w:eastAsia="pl-PL"/>
              </w:rPr>
              <w:t>dziesięciu obszarów interwencji:</w:t>
            </w:r>
          </w:p>
          <w:p w14:paraId="406441C1" w14:textId="77777777" w:rsidR="00741F0C" w:rsidRPr="00880C3B" w:rsidRDefault="00741F0C" w:rsidP="00741F0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W obszarze Ochrony klimatu i jakości powietrza głównym problemem są przekroczenia benzo(a)pirenu i ozonu. W latach ubiegłych przekraczany był również poziom dopuszczalny dla pyłu PM10.</w:t>
            </w:r>
          </w:p>
          <w:p w14:paraId="613B68CC" w14:textId="77777777" w:rsidR="00741F0C" w:rsidRPr="00880C3B" w:rsidRDefault="00741F0C" w:rsidP="00741F0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Zagrożenie Hałasem. Najistotniejszy wpływ na klimat akustyczny województwa zachodniopomorskiego ma hałas drogowy, uciążliwością jest również hałas kolejowy i przemysłowy.</w:t>
            </w:r>
          </w:p>
          <w:p w14:paraId="3F30323A" w14:textId="77777777" w:rsidR="00741F0C" w:rsidRPr="00880C3B" w:rsidRDefault="00741F0C" w:rsidP="00741F0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W zakresie Pól elektromagnetycznych nie występują przekroczenia wartości dopuszczalnych.</w:t>
            </w:r>
          </w:p>
          <w:p w14:paraId="3703A5ED" w14:textId="77777777" w:rsidR="00741F0C" w:rsidRPr="00880C3B" w:rsidRDefault="00741F0C" w:rsidP="00741F0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Głównymi problemami w zakresie Gospodarowania wodami jest przede wszystkim: wpływ działalności antropogenicznej, spływy z terenów rolniczych wód zanieczyszczonych nawozami, nadmierny pobór wód.</w:t>
            </w:r>
          </w:p>
          <w:p w14:paraId="22013A2F" w14:textId="77777777" w:rsidR="00741F0C" w:rsidRPr="00880C3B" w:rsidRDefault="00741F0C" w:rsidP="00741F0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W zakresie Gospodarki wodno-ściekowej postawiono nacisk na budowę infrastruktury wodociągowej i kanalizacyjnej, w tym budowę wodociągów, kanalizacji sanitarnej i deszczowej, oczyszczalni ścieków (w tym przydomowych).</w:t>
            </w:r>
          </w:p>
          <w:p w14:paraId="2421E2AF" w14:textId="4FDF3203" w:rsidR="00741F0C" w:rsidRPr="00880C3B" w:rsidRDefault="00741F0C" w:rsidP="00741F0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W obszarze Zasoby geologiczne priorytetem jest Racjonalna gospodarka zasobami.</w:t>
            </w:r>
          </w:p>
          <w:p w14:paraId="43022399" w14:textId="698ECD9C" w:rsidR="00741F0C" w:rsidRPr="00880C3B" w:rsidRDefault="00741F0C" w:rsidP="00741F0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Gleby. W Programie podkreślono konieczność zachowania naturalnych cech gleb. Ze względu na zmiany klimatu i charakterystyczne dla tej tendencji długie okresy suszy oraz brak pokrywy śnieżnej istnieje niebezpieczeństwo utraty naturalnych zasobów glebowych. Zagrożenie stanowi rozprzestrzeniania się szkodników i chorób. Odrębnym problemem</w:t>
            </w:r>
            <w:r w:rsidR="00C45E71" w:rsidRPr="00880C3B">
              <w:rPr>
                <w:rFonts w:eastAsia="Times New Roman" w:cstheme="minorHAnsi"/>
                <w:color w:val="000000"/>
                <w:szCs w:val="24"/>
                <w:lang w:eastAsia="pl-PL"/>
              </w:rPr>
              <w:t xml:space="preserve"> </w:t>
            </w:r>
            <w:r w:rsidRPr="00880C3B">
              <w:rPr>
                <w:rFonts w:eastAsia="Times New Roman" w:cstheme="minorHAnsi"/>
                <w:color w:val="000000"/>
                <w:szCs w:val="24"/>
                <w:lang w:eastAsia="pl-PL"/>
              </w:rPr>
              <w:t>są tereny zdegradowane i zdewastowane oraz remediacja terenów zanieczyszczonych.</w:t>
            </w:r>
          </w:p>
          <w:p w14:paraId="441C7E1F" w14:textId="5A4A9D87" w:rsidR="00741F0C" w:rsidRPr="00880C3B" w:rsidRDefault="00741F0C" w:rsidP="00741F0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Gospodarka odpadami. Zwraca się uwagę na stały wzrost ilości wytwarzanych odpadów</w:t>
            </w:r>
            <w:r w:rsidR="00C45E71" w:rsidRPr="00880C3B">
              <w:rPr>
                <w:rFonts w:eastAsia="Times New Roman" w:cstheme="minorHAnsi"/>
                <w:color w:val="000000"/>
                <w:szCs w:val="24"/>
                <w:lang w:eastAsia="pl-PL"/>
              </w:rPr>
              <w:t xml:space="preserve">. </w:t>
            </w:r>
            <w:r w:rsidRPr="00880C3B">
              <w:rPr>
                <w:rFonts w:eastAsia="Times New Roman" w:cstheme="minorHAnsi"/>
                <w:color w:val="000000"/>
                <w:szCs w:val="24"/>
                <w:lang w:eastAsia="pl-PL"/>
              </w:rPr>
              <w:t>Główny trend wskazany w Programie wskazuje gospodarowanie odpadami w obiegu zamkniętym</w:t>
            </w:r>
            <w:r w:rsidR="00190A9C" w:rsidRPr="00880C3B">
              <w:rPr>
                <w:rFonts w:eastAsia="Times New Roman" w:cstheme="minorHAnsi"/>
                <w:color w:val="000000"/>
                <w:szCs w:val="24"/>
                <w:lang w:eastAsia="pl-PL"/>
              </w:rPr>
              <w:t>.</w:t>
            </w:r>
          </w:p>
          <w:p w14:paraId="141F476D" w14:textId="77777777" w:rsidR="00741F0C" w:rsidRPr="00880C3B" w:rsidRDefault="00741F0C" w:rsidP="00741F0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Zasoby przyrodnicze. Zakres przedsięwzięć programowych obejmuje: sporządzanie planów ochrony obszarów chronionych, wspieranie funkcji rekreacyjnej przy zachowaniu walorów przyrodniczych, ochronę gatunków i siedlisk chronionych, zwalczanie chorób i szkodników, ograniczanie gatunków inwazyjnych, działania monitoringowe i interwencyjne w przypadku zagrożeń. Na obszarach leśnych realizację zadań ochronnych z możliwością prowadzenia gospodarki leśnej, która ukierunkowana jest na przebudowę drzewostanu i odejście od monokultur.</w:t>
            </w:r>
          </w:p>
          <w:p w14:paraId="00D66EA2" w14:textId="1904B3C9" w:rsidR="008D2A1E" w:rsidRPr="00880C3B" w:rsidRDefault="00741F0C"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Zagrożenia poważnymi awariami przemysłowymi. Działania w tym obszarze skupiają się na monitorowaniu zakładów przemysłowych w województwie sklasyfikowanych, jako zakłady zwiększonego bądź dużego ryzyka wystąpienia poważnej awarii przemysłowej, a także na usuwaniu skutków poważnych awarii.</w:t>
            </w:r>
          </w:p>
        </w:tc>
        <w:tc>
          <w:tcPr>
            <w:tcW w:w="238" w:type="pct"/>
            <w:gridSpan w:val="2"/>
            <w:noWrap/>
            <w:hideMark/>
          </w:tcPr>
          <w:p w14:paraId="3D5EE217"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hideMark/>
          </w:tcPr>
          <w:p w14:paraId="7C1470C2"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3736B711"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4919D2EE"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hideMark/>
          </w:tcPr>
          <w:p w14:paraId="7EBDC06F"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508C6992"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5" w:type="pct"/>
            <w:gridSpan w:val="2"/>
            <w:noWrap/>
            <w:hideMark/>
          </w:tcPr>
          <w:p w14:paraId="5C625576" w14:textId="51C747D6"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8D2A1E" w:rsidRPr="0026051C" w14:paraId="0E91D001" w14:textId="77777777" w:rsidTr="00E127FD">
        <w:trPr>
          <w:trHeight w:val="480"/>
        </w:trPr>
        <w:tc>
          <w:tcPr>
            <w:cnfStyle w:val="001000000000" w:firstRow="0" w:lastRow="0" w:firstColumn="1" w:lastColumn="0" w:oddVBand="0" w:evenVBand="0" w:oddHBand="0" w:evenHBand="0" w:firstRowFirstColumn="0" w:firstRowLastColumn="0" w:lastRowFirstColumn="0" w:lastRowLastColumn="0"/>
            <w:tcW w:w="1117" w:type="pct"/>
          </w:tcPr>
          <w:p w14:paraId="0D5074CE" w14:textId="2CE8D428" w:rsidR="008D2A1E" w:rsidRPr="00D96554" w:rsidRDefault="00190A9C" w:rsidP="0026051C">
            <w:pPr>
              <w:spacing w:before="0" w:line="276" w:lineRule="auto"/>
              <w:rPr>
                <w:b w:val="0"/>
                <w:bCs w:val="0"/>
                <w:szCs w:val="24"/>
                <w:highlight w:val="yellow"/>
              </w:rPr>
            </w:pPr>
            <w:r w:rsidRPr="00190A9C">
              <w:rPr>
                <w:b w:val="0"/>
                <w:bCs w:val="0"/>
                <w:szCs w:val="24"/>
              </w:rPr>
              <w:t>Plan Gospodarki Odpadami dla Województwa Zachodniopomorskiego na lata 2020-2026 z uwzględnieniem perspektywy na lata 2027-2032</w:t>
            </w:r>
          </w:p>
        </w:tc>
        <w:tc>
          <w:tcPr>
            <w:tcW w:w="2214" w:type="pct"/>
          </w:tcPr>
          <w:p w14:paraId="40EECB50" w14:textId="334982B6" w:rsidR="004B61CC" w:rsidRPr="00880C3B" w:rsidRDefault="008D2A1E" w:rsidP="007648AB">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880C3B">
              <w:rPr>
                <w:rFonts w:eastAsia="Times New Roman" w:cstheme="minorHAnsi"/>
                <w:color w:val="000000"/>
                <w:szCs w:val="24"/>
                <w:lang w:eastAsia="pl-PL"/>
              </w:rPr>
              <w:t xml:space="preserve">Głównym </w:t>
            </w:r>
            <w:r w:rsidR="007648AB" w:rsidRPr="00880C3B">
              <w:rPr>
                <w:rFonts w:eastAsia="Times New Roman" w:cstheme="minorHAnsi"/>
                <w:color w:val="000000"/>
                <w:szCs w:val="24"/>
                <w:lang w:eastAsia="pl-PL"/>
              </w:rPr>
              <w:t>celem jest wskazanie sposobów gospodarowania odpadami</w:t>
            </w:r>
            <w:r w:rsidR="00880C3B" w:rsidRPr="00880C3B">
              <w:rPr>
                <w:rFonts w:eastAsia="Times New Roman" w:cstheme="minorHAnsi"/>
                <w:color w:val="000000"/>
                <w:szCs w:val="24"/>
                <w:lang w:eastAsia="pl-PL"/>
              </w:rPr>
              <w:t xml:space="preserve"> </w:t>
            </w:r>
            <w:r w:rsidR="007648AB" w:rsidRPr="00880C3B">
              <w:rPr>
                <w:rFonts w:eastAsia="Times New Roman" w:cstheme="minorHAnsi"/>
                <w:color w:val="000000"/>
                <w:szCs w:val="24"/>
                <w:lang w:eastAsia="pl-PL"/>
              </w:rPr>
              <w:t>na terenie województwa zachodniopomorskiego, zgodnie z hierarchią określoną w ustawie</w:t>
            </w:r>
            <w:r w:rsidR="00880C3B" w:rsidRPr="00880C3B">
              <w:rPr>
                <w:rFonts w:eastAsia="Times New Roman" w:cstheme="minorHAnsi"/>
                <w:color w:val="000000"/>
                <w:szCs w:val="24"/>
                <w:lang w:eastAsia="pl-PL"/>
              </w:rPr>
              <w:t xml:space="preserve"> </w:t>
            </w:r>
            <w:r w:rsidR="007648AB" w:rsidRPr="00880C3B">
              <w:rPr>
                <w:rFonts w:eastAsia="Times New Roman" w:cstheme="minorHAnsi"/>
                <w:color w:val="000000"/>
                <w:szCs w:val="24"/>
                <w:lang w:eastAsia="pl-PL"/>
              </w:rPr>
              <w:t>o odpadach oraz KPGO 2022. Działania wskazane w WPGO 2020 doprowadzą do realizacji celów,</w:t>
            </w:r>
            <w:r w:rsidR="00880C3B" w:rsidRPr="00880C3B">
              <w:rPr>
                <w:rFonts w:eastAsia="Times New Roman" w:cstheme="minorHAnsi"/>
                <w:color w:val="000000"/>
                <w:szCs w:val="24"/>
                <w:lang w:eastAsia="pl-PL"/>
              </w:rPr>
              <w:t xml:space="preserve"> </w:t>
            </w:r>
            <w:r w:rsidR="007648AB" w:rsidRPr="00880C3B">
              <w:rPr>
                <w:rFonts w:eastAsia="Times New Roman" w:cstheme="minorHAnsi"/>
                <w:color w:val="000000"/>
                <w:szCs w:val="24"/>
                <w:lang w:eastAsia="pl-PL"/>
              </w:rPr>
              <w:t>które zapewnią racjonalną gospodarkę odpadami na terenie województwa zachodniopomorskiego</w:t>
            </w:r>
            <w:r w:rsidRPr="00880C3B">
              <w:rPr>
                <w:rFonts w:eastAsia="Times New Roman" w:cstheme="minorHAnsi"/>
                <w:color w:val="000000"/>
                <w:szCs w:val="24"/>
                <w:lang w:eastAsia="pl-PL"/>
              </w:rPr>
              <w:t xml:space="preserve"> </w:t>
            </w:r>
            <w:r w:rsidR="004B61CC" w:rsidRPr="00880C3B">
              <w:rPr>
                <w:rFonts w:eastAsia="Times New Roman" w:cstheme="minorHAnsi"/>
                <w:color w:val="000000"/>
                <w:szCs w:val="24"/>
                <w:lang w:eastAsia="pl-PL"/>
              </w:rPr>
              <w:t>Zawiera następujące elementy:</w:t>
            </w:r>
          </w:p>
          <w:p w14:paraId="629DB88F" w14:textId="6D295D20" w:rsidR="004B61CC" w:rsidRPr="00880C3B" w:rsidRDefault="004B61CC" w:rsidP="00401DA4">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lang w:eastAsia="pl-PL"/>
              </w:rPr>
            </w:pPr>
            <w:r w:rsidRPr="00880C3B">
              <w:rPr>
                <w:rFonts w:eastAsia="Times New Roman" w:cstheme="minorHAnsi"/>
                <w:color w:val="000000"/>
                <w:szCs w:val="24"/>
                <w:lang w:eastAsia="pl-PL"/>
              </w:rPr>
              <w:t>1. analizę aktualnego stanu gospodarki odpadami na obszarze, dla którego jest sporządzany plan,</w:t>
            </w:r>
            <w:r w:rsidR="00DB16CE" w:rsidRPr="00880C3B">
              <w:rPr>
                <w:rFonts w:eastAsia="Times New Roman" w:cstheme="minorHAnsi"/>
                <w:color w:val="000000"/>
                <w:szCs w:val="24"/>
                <w:lang w:eastAsia="pl-PL"/>
              </w:rPr>
              <w:t xml:space="preserve"> </w:t>
            </w:r>
            <w:r w:rsidR="00DB16CE" w:rsidRPr="00880C3B">
              <w:t xml:space="preserve">2. prognozowane zmiany w zakresie gospodarki odpadami, w tym wynikające ze zmian demograficznych i gospodarczych, 3. przyjęte cele w zakresie gospodarki odpadami z podaniem terminów ich osiągnięcia, w tym cele dotyczące zapobiegania powstawaniu odpadów i ograniczania ilości odpadów komunalnych ulegających biodegradacji kierowanych na składowisko odpadów, 4. kierunki działań w zakresie zapobiegania powstawaniu odpadów oraz kształtowania systemu gospodarki odpadami, podejmowanych dla osiągnięcia celów, </w:t>
            </w:r>
            <w:r w:rsidR="00401DA4" w:rsidRPr="00880C3B">
              <w:t>5. harmonogram, określenie wykonawców i sposobu finansowania zadań wynikających z przyjętych kierunków działań, 6. informację w sprawie odstąpienia od przeprowadzenia strategicznej oceny oddziaływania na środowisko, 7. określenie sposobu monitoringu i oceny wdrażania planu pozwalającego na określenie sposobu oraz stopnia realizacji celów i zadań zdefiniowanych w planie.</w:t>
            </w:r>
          </w:p>
        </w:tc>
        <w:tc>
          <w:tcPr>
            <w:tcW w:w="238" w:type="pct"/>
            <w:gridSpan w:val="2"/>
            <w:noWrap/>
          </w:tcPr>
          <w:p w14:paraId="57BE28DA"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tcPr>
          <w:p w14:paraId="35322A68"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tcPr>
          <w:p w14:paraId="6091B13E"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tcPr>
          <w:p w14:paraId="50499314"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9" w:type="pct"/>
            <w:gridSpan w:val="2"/>
            <w:noWrap/>
          </w:tcPr>
          <w:p w14:paraId="319C5443"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40" w:type="pct"/>
            <w:gridSpan w:val="2"/>
          </w:tcPr>
          <w:p w14:paraId="55595AB1" w14:textId="77777777"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c>
          <w:tcPr>
            <w:tcW w:w="235" w:type="pct"/>
            <w:gridSpan w:val="2"/>
            <w:noWrap/>
          </w:tcPr>
          <w:p w14:paraId="71C0DAAB" w14:textId="651BB156" w:rsidR="008D2A1E" w:rsidRPr="00FF2DDD" w:rsidRDefault="008D2A1E"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p>
        </w:tc>
      </w:tr>
      <w:tr w:rsidR="00C90AE6" w:rsidRPr="0026051C" w14:paraId="16D9668A" w14:textId="77777777" w:rsidTr="00E127FD">
        <w:trPr>
          <w:trHeight w:val="480"/>
        </w:trPr>
        <w:tc>
          <w:tcPr>
            <w:cnfStyle w:val="001000000000" w:firstRow="0" w:lastRow="0" w:firstColumn="1" w:lastColumn="0" w:oddVBand="0" w:evenVBand="0" w:oddHBand="0" w:evenHBand="0" w:firstRowFirstColumn="0" w:firstRowLastColumn="0" w:lastRowFirstColumn="0" w:lastRowLastColumn="0"/>
            <w:tcW w:w="1117" w:type="pct"/>
          </w:tcPr>
          <w:p w14:paraId="107B4C25" w14:textId="78F6B196" w:rsidR="00C90AE6" w:rsidRPr="00880C3B" w:rsidRDefault="00880C3B" w:rsidP="0026051C">
            <w:pPr>
              <w:spacing w:before="0" w:line="276" w:lineRule="auto"/>
              <w:rPr>
                <w:b w:val="0"/>
                <w:bCs w:val="0"/>
              </w:rPr>
            </w:pPr>
            <w:r w:rsidRPr="00880C3B">
              <w:rPr>
                <w:b w:val="0"/>
                <w:bCs w:val="0"/>
              </w:rPr>
              <w:t>Plan zagospodarowania przestrzennego województwa zachodniopomorskiego</w:t>
            </w:r>
          </w:p>
        </w:tc>
        <w:tc>
          <w:tcPr>
            <w:tcW w:w="2214" w:type="pct"/>
          </w:tcPr>
          <w:p w14:paraId="6524EFE5" w14:textId="2E224B80" w:rsidR="00C90AE6" w:rsidRPr="006E2D11" w:rsidRDefault="0008085D" w:rsidP="0026051C">
            <w:pPr>
              <w:spacing w:before="0"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Pr>
                <w:rFonts w:eastAsia="Times New Roman" w:cstheme="minorHAnsi"/>
                <w:color w:val="000000"/>
                <w:szCs w:val="24"/>
                <w:lang w:eastAsia="pl-PL"/>
              </w:rPr>
              <w:t>J</w:t>
            </w:r>
            <w:r w:rsidRPr="0008085D">
              <w:rPr>
                <w:rFonts w:eastAsia="Times New Roman" w:cstheme="minorHAnsi"/>
                <w:color w:val="000000"/>
                <w:szCs w:val="24"/>
                <w:lang w:eastAsia="pl-PL"/>
              </w:rPr>
              <w:t>est elementem regionalnego planowania strategicznego, w którym następuje konkretyzacja przestrzenna celów strategicznych województwa. Określa uwarunkowania, zasady i kierunki kształtowania struktury przestrzennej województwa, w taki sposób, aby stworzyć korzystne warunki dla rozwoju gospodarczego, wzrostu poziomu i jakości życia oraz konkurencyjności regionu, zgodnie z zasadami zrównoważonego rozwoju.</w:t>
            </w:r>
            <w:r w:rsidR="006E2D11" w:rsidRPr="006E2D11">
              <w:rPr>
                <w:rFonts w:eastAsia="Times New Roman" w:cstheme="minorHAnsi"/>
                <w:color w:val="000000"/>
                <w:szCs w:val="24"/>
                <w:lang w:eastAsia="pl-PL"/>
              </w:rPr>
              <w:t xml:space="preserve"> Cele i kierunki wskazane w Planie zagospodarowania przestrzennego województwa zachodniopomorskiego podzielono na 3 części: odnoszące się do całego obszaru województwa (ujęte cele od I do X), do obszarów funkcjonalnych (cele od XI do XIV) oraz Szczecińskiego Obszaru Metropolitalnego jako Plan zagospodarowania przestrzennego miejskiego obszaru funkcjonalnego ośrodka wojewódzkiego (cele od XV do XXI).</w:t>
            </w:r>
          </w:p>
        </w:tc>
        <w:tc>
          <w:tcPr>
            <w:tcW w:w="238" w:type="pct"/>
            <w:gridSpan w:val="2"/>
            <w:noWrap/>
          </w:tcPr>
          <w:p w14:paraId="551416D5" w14:textId="113E792D" w:rsidR="00C90AE6" w:rsidRPr="00FF2DDD" w:rsidRDefault="0008085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Pr>
                <w:rFonts w:eastAsia="Times New Roman" w:cstheme="minorHAnsi"/>
                <w:color w:val="000000"/>
                <w:szCs w:val="24"/>
                <w:lang w:eastAsia="pl-PL"/>
              </w:rPr>
              <w:t>X</w:t>
            </w:r>
          </w:p>
        </w:tc>
        <w:tc>
          <w:tcPr>
            <w:tcW w:w="239" w:type="pct"/>
            <w:gridSpan w:val="2"/>
            <w:noWrap/>
          </w:tcPr>
          <w:p w14:paraId="7EBCBFC5" w14:textId="77777777" w:rsidR="00C90AE6" w:rsidRPr="00FF2DDD" w:rsidRDefault="00C90AE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tcPr>
          <w:p w14:paraId="2A15D2F7" w14:textId="77777777" w:rsidR="00C90AE6" w:rsidRPr="00FF2DDD" w:rsidRDefault="00C90AE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tcPr>
          <w:p w14:paraId="224B24E0" w14:textId="77777777" w:rsidR="00C90AE6" w:rsidRPr="00FF2DDD" w:rsidRDefault="00C90AE6"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FF2DDD">
              <w:rPr>
                <w:rFonts w:eastAsia="Times New Roman" w:cstheme="minorHAnsi"/>
                <w:color w:val="000000"/>
                <w:szCs w:val="24"/>
                <w:lang w:eastAsia="pl-PL"/>
              </w:rPr>
              <w:t>X</w:t>
            </w:r>
          </w:p>
        </w:tc>
        <w:tc>
          <w:tcPr>
            <w:tcW w:w="239" w:type="pct"/>
            <w:gridSpan w:val="2"/>
            <w:noWrap/>
          </w:tcPr>
          <w:p w14:paraId="37D2625E" w14:textId="24BB7D01" w:rsidR="00C90AE6" w:rsidRPr="00FF2DDD" w:rsidRDefault="0008085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Pr>
                <w:rFonts w:eastAsia="Times New Roman" w:cstheme="minorHAnsi"/>
                <w:color w:val="000000"/>
                <w:szCs w:val="24"/>
                <w:lang w:eastAsia="pl-PL"/>
              </w:rPr>
              <w:t>X</w:t>
            </w:r>
          </w:p>
        </w:tc>
        <w:tc>
          <w:tcPr>
            <w:tcW w:w="240" w:type="pct"/>
            <w:gridSpan w:val="2"/>
          </w:tcPr>
          <w:p w14:paraId="1D148472" w14:textId="47B7580B" w:rsidR="00C90AE6" w:rsidRPr="00FF2DDD" w:rsidRDefault="0008085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Pr>
                <w:rFonts w:eastAsia="Times New Roman" w:cstheme="minorHAnsi"/>
                <w:color w:val="000000"/>
                <w:szCs w:val="24"/>
                <w:lang w:eastAsia="pl-PL"/>
              </w:rPr>
              <w:t>X</w:t>
            </w:r>
          </w:p>
        </w:tc>
        <w:tc>
          <w:tcPr>
            <w:tcW w:w="235" w:type="pct"/>
            <w:gridSpan w:val="2"/>
            <w:noWrap/>
          </w:tcPr>
          <w:p w14:paraId="593D119C" w14:textId="5FB97F2D" w:rsidR="00C90AE6" w:rsidRPr="00FF2DDD" w:rsidRDefault="0008085D" w:rsidP="0026051C">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Pr>
                <w:rFonts w:eastAsia="Times New Roman" w:cstheme="minorHAnsi"/>
                <w:color w:val="000000"/>
                <w:szCs w:val="24"/>
                <w:lang w:eastAsia="pl-PL"/>
              </w:rPr>
              <w:t>X</w:t>
            </w:r>
          </w:p>
        </w:tc>
      </w:tr>
    </w:tbl>
    <w:p w14:paraId="25865FB1" w14:textId="77777777" w:rsidR="00B83214" w:rsidRDefault="00B83214" w:rsidP="00396BBF">
      <w:pPr>
        <w:pStyle w:val="Nagwek1"/>
        <w:rPr>
          <w:sz w:val="24"/>
          <w:szCs w:val="20"/>
        </w:rPr>
        <w:sectPr w:rsidR="00B83214" w:rsidSect="00057B9A">
          <w:pgSz w:w="16839" w:h="11907" w:orient="landscape" w:code="9"/>
          <w:pgMar w:top="1417" w:right="1417" w:bottom="1417" w:left="1417" w:header="708" w:footer="708" w:gutter="0"/>
          <w:pgNumType w:fmt="lowerRoman"/>
          <w:cols w:space="708"/>
          <w:titlePg/>
          <w:docGrid w:linePitch="360"/>
        </w:sectPr>
      </w:pPr>
    </w:p>
    <w:p w14:paraId="6037EA8B" w14:textId="245DFE47" w:rsidR="00B83214" w:rsidRPr="00B83214" w:rsidRDefault="00B83214" w:rsidP="00B83214">
      <w:pPr>
        <w:pStyle w:val="Nagwek1"/>
        <w:rPr>
          <w:sz w:val="24"/>
          <w:szCs w:val="20"/>
        </w:rPr>
      </w:pPr>
      <w:bookmarkStart w:id="88" w:name="_Toc104790652"/>
      <w:r w:rsidRPr="00B83214">
        <w:rPr>
          <w:sz w:val="24"/>
          <w:szCs w:val="20"/>
        </w:rPr>
        <w:t xml:space="preserve">ZAŁĄCZNIK </w:t>
      </w:r>
      <w:r>
        <w:rPr>
          <w:sz w:val="24"/>
          <w:szCs w:val="20"/>
        </w:rPr>
        <w:t>3</w:t>
      </w:r>
      <w:r w:rsidRPr="00B83214">
        <w:rPr>
          <w:sz w:val="24"/>
          <w:szCs w:val="20"/>
        </w:rPr>
        <w:t xml:space="preserve"> ANALIZA STANU BIEŻĄCEGO</w:t>
      </w:r>
      <w:bookmarkEnd w:id="88"/>
      <w:r w:rsidRPr="00B83214">
        <w:rPr>
          <w:sz w:val="24"/>
          <w:szCs w:val="20"/>
        </w:rPr>
        <w:t xml:space="preserve"> </w:t>
      </w:r>
    </w:p>
    <w:p w14:paraId="5C2DAFE2" w14:textId="77777777" w:rsidR="00B83214" w:rsidRPr="00B83214" w:rsidRDefault="00B83214" w:rsidP="00B83214">
      <w:pPr>
        <w:pStyle w:val="Nagwek1"/>
        <w:numPr>
          <w:ilvl w:val="0"/>
          <w:numId w:val="61"/>
        </w:numPr>
        <w:rPr>
          <w:sz w:val="24"/>
          <w:szCs w:val="20"/>
        </w:rPr>
      </w:pPr>
      <w:bookmarkStart w:id="89" w:name="_Toc104790653"/>
      <w:r w:rsidRPr="00B83214">
        <w:rPr>
          <w:sz w:val="24"/>
          <w:szCs w:val="20"/>
        </w:rPr>
        <w:t>RÓŻNORODNOŚĆ BIOLOGICZNA, W TYM ROŚLINY, ZWIERZĘTA I OBSZARY NATURA 2000</w:t>
      </w:r>
      <w:bookmarkEnd w:id="89"/>
    </w:p>
    <w:p w14:paraId="5FC165B0" w14:textId="6590DDA5" w:rsidR="00B83214" w:rsidRPr="00B91248" w:rsidRDefault="00B83214" w:rsidP="00B83214">
      <w:pPr>
        <w:spacing w:after="0"/>
        <w:rPr>
          <w:rFonts w:cs="Arial"/>
        </w:rPr>
      </w:pPr>
      <w:r w:rsidRPr="00B91248">
        <w:t>Województwo zachodniopomorskie charakteryzuje się wysokim bogactwem walorów przyrodniczych i krajobrazowych, co wynika z położenia geograficznego regionu, zasobów biologicznych, hydrologicznych, a także rzeźby terenu. Lesistość województwa wynosi 35,8%</w:t>
      </w:r>
      <w:r w:rsidRPr="00B91248">
        <w:rPr>
          <w:rStyle w:val="Odwoanieprzypisudolnego"/>
          <w:szCs w:val="24"/>
        </w:rPr>
        <w:footnoteReference w:id="42"/>
      </w:r>
      <w:r w:rsidRPr="00B91248">
        <w:t xml:space="preserve"> (wg danych na: 12.2020). Lasy stanowią bogactwo zarówno pod względem przyrodniczym jak również ekonomicznym</w:t>
      </w:r>
      <w:r w:rsidRPr="00B91248">
        <w:rPr>
          <w:rStyle w:val="markedcontent"/>
          <w:rFonts w:cs="Arial"/>
          <w:szCs w:val="24"/>
        </w:rPr>
        <w:t>. O</w:t>
      </w:r>
      <w:r w:rsidRPr="00B91248">
        <w:rPr>
          <w:rFonts w:eastAsia="ArialUnicodeMS" w:cs="ArialUnicodeMS"/>
        </w:rPr>
        <w:t>dgrywają niezwykle istotną rolę w kształtowaniu klimatu, stosunków wodnych, warunków glebowych</w:t>
      </w:r>
      <w:r>
        <w:rPr>
          <w:rFonts w:eastAsia="ArialUnicodeMS" w:cs="ArialUnicodeMS"/>
        </w:rPr>
        <w:t xml:space="preserve"> </w:t>
      </w:r>
      <w:r w:rsidRPr="00B91248">
        <w:rPr>
          <w:rFonts w:eastAsia="ArialUnicodeMS" w:cs="ArialUnicodeMS"/>
        </w:rPr>
        <w:t>oraz są jednym z ważniejszych składników krajobrazu ekologicznego.</w:t>
      </w:r>
      <w:r>
        <w:rPr>
          <w:rStyle w:val="markedcontent"/>
          <w:rFonts w:cs="Arial"/>
          <w:szCs w:val="24"/>
        </w:rPr>
        <w:t xml:space="preserve"> </w:t>
      </w:r>
      <w:r w:rsidRPr="00B91248">
        <w:t>Największą lesistością cechują się wschodnie oraz południowe części województwa, w których zlokalizowane są największe kompleksy leśne: Puszcza Wkrzańska, Goleniowska, Bukowa i Drawska. Na terenie województwa utworzono dwa leśne kompleksy promocyjne</w:t>
      </w:r>
      <w:r w:rsidRPr="00B91248">
        <w:rPr>
          <w:rStyle w:val="Odwoanieprzypisudolnego"/>
          <w:szCs w:val="24"/>
        </w:rPr>
        <w:footnoteReference w:id="43"/>
      </w:r>
      <w:r w:rsidRPr="00B91248">
        <w:t>: LKP „Puszcze Szczecińskie” or</w:t>
      </w:r>
      <w:r>
        <w:t>az LKP „Lasy Środkowopomorskie”.</w:t>
      </w:r>
      <w:r w:rsidRPr="00B91248">
        <w:t xml:space="preserve"> S</w:t>
      </w:r>
      <w:r w:rsidRPr="00B91248">
        <w:rPr>
          <w:rStyle w:val="markedcontent"/>
          <w:rFonts w:cs="Arial"/>
          <w:szCs w:val="24"/>
        </w:rPr>
        <w:t>tanowią one obszary funkcjonalne, na terenie których doskonalone są zasady</w:t>
      </w:r>
      <w:r>
        <w:rPr>
          <w:rStyle w:val="markedcontent"/>
          <w:rFonts w:cs="Arial"/>
          <w:szCs w:val="24"/>
        </w:rPr>
        <w:t xml:space="preserve"> </w:t>
      </w:r>
      <w:r w:rsidRPr="00B91248">
        <w:rPr>
          <w:rStyle w:val="markedcontent"/>
          <w:rFonts w:cs="Arial"/>
          <w:szCs w:val="24"/>
        </w:rPr>
        <w:t>zagospodarowania integrujące cele powszechnej ochrony przyrody i środowiskotwórcze funkcje lasu, a także trwałego użytkowania zasobów leśnych, stabilizacji ekonomicznej gospodarki leśnej i uspołecznienia zarządzania lasami jako dobrem publicznym</w:t>
      </w:r>
      <w:r w:rsidRPr="00B91248">
        <w:rPr>
          <w:rStyle w:val="Odwoanieprzypisudolnego"/>
          <w:rFonts w:cs="Arial"/>
          <w:szCs w:val="24"/>
        </w:rPr>
        <w:footnoteReference w:id="44"/>
      </w:r>
      <w:r w:rsidRPr="00B91248">
        <w:rPr>
          <w:rStyle w:val="markedcontent"/>
          <w:rFonts w:cs="Arial"/>
          <w:szCs w:val="24"/>
        </w:rPr>
        <w:t xml:space="preserve">. </w:t>
      </w:r>
      <w:r>
        <w:rPr>
          <w:rFonts w:cs="Arial"/>
        </w:rPr>
        <w:t>Do najcenniejszych</w:t>
      </w:r>
      <w:r w:rsidRPr="00B91248">
        <w:rPr>
          <w:rFonts w:cs="Arial"/>
        </w:rPr>
        <w:t xml:space="preserve"> siedlisk leśnych Pomorza Zachodniego należą: </w:t>
      </w:r>
    </w:p>
    <w:p w14:paraId="1967030E" w14:textId="77777777" w:rsidR="00B83214" w:rsidRPr="00B91248" w:rsidRDefault="00B83214" w:rsidP="00B83214">
      <w:pPr>
        <w:numPr>
          <w:ilvl w:val="0"/>
          <w:numId w:val="5"/>
        </w:numPr>
        <w:autoSpaceDE w:val="0"/>
        <w:autoSpaceDN w:val="0"/>
        <w:adjustRightInd w:val="0"/>
        <w:spacing w:before="0" w:after="117" w:line="240" w:lineRule="auto"/>
        <w:ind w:firstLine="426"/>
        <w:rPr>
          <w:rFonts w:cs="Arial"/>
          <w:color w:val="000000"/>
          <w:szCs w:val="24"/>
        </w:rPr>
      </w:pPr>
      <w:r w:rsidRPr="00B91248">
        <w:rPr>
          <w:rFonts w:cs="Arial"/>
          <w:color w:val="000000"/>
          <w:szCs w:val="24"/>
        </w:rPr>
        <w:t xml:space="preserve">Kwaśne buczyny niżowe; </w:t>
      </w:r>
    </w:p>
    <w:p w14:paraId="1FECFC11" w14:textId="77777777" w:rsidR="00B83214" w:rsidRPr="0036505F" w:rsidRDefault="00B83214" w:rsidP="00B83214">
      <w:pPr>
        <w:numPr>
          <w:ilvl w:val="0"/>
          <w:numId w:val="5"/>
        </w:numPr>
        <w:autoSpaceDE w:val="0"/>
        <w:autoSpaceDN w:val="0"/>
        <w:adjustRightInd w:val="0"/>
        <w:spacing w:before="0" w:after="117" w:line="240" w:lineRule="auto"/>
        <w:ind w:firstLine="426"/>
        <w:rPr>
          <w:rFonts w:cs="Arial"/>
          <w:color w:val="000000"/>
          <w:szCs w:val="24"/>
        </w:rPr>
      </w:pPr>
      <w:r w:rsidRPr="0036505F">
        <w:rPr>
          <w:rFonts w:cs="Arial"/>
          <w:color w:val="000000"/>
          <w:szCs w:val="24"/>
        </w:rPr>
        <w:t xml:space="preserve">Żyzne buczyny niżowe; </w:t>
      </w:r>
    </w:p>
    <w:p w14:paraId="618ED2B1" w14:textId="77777777" w:rsidR="00B83214" w:rsidRPr="0036505F" w:rsidRDefault="00B83214" w:rsidP="00B83214">
      <w:pPr>
        <w:numPr>
          <w:ilvl w:val="0"/>
          <w:numId w:val="5"/>
        </w:numPr>
        <w:autoSpaceDE w:val="0"/>
        <w:autoSpaceDN w:val="0"/>
        <w:adjustRightInd w:val="0"/>
        <w:spacing w:before="0" w:after="117" w:line="240" w:lineRule="auto"/>
        <w:ind w:firstLine="426"/>
        <w:rPr>
          <w:rFonts w:cs="Arial"/>
          <w:color w:val="000000"/>
          <w:szCs w:val="24"/>
        </w:rPr>
      </w:pPr>
      <w:r w:rsidRPr="0036505F">
        <w:rPr>
          <w:rFonts w:cs="Arial"/>
          <w:color w:val="000000"/>
          <w:szCs w:val="24"/>
        </w:rPr>
        <w:t xml:space="preserve">Ciepłolubne buczyny storczykowe; </w:t>
      </w:r>
    </w:p>
    <w:p w14:paraId="3F35CB2F" w14:textId="77777777" w:rsidR="00B83214" w:rsidRPr="0036505F" w:rsidRDefault="00B83214" w:rsidP="00B83214">
      <w:pPr>
        <w:numPr>
          <w:ilvl w:val="0"/>
          <w:numId w:val="5"/>
        </w:numPr>
        <w:autoSpaceDE w:val="0"/>
        <w:autoSpaceDN w:val="0"/>
        <w:adjustRightInd w:val="0"/>
        <w:spacing w:before="0" w:after="117" w:line="240" w:lineRule="auto"/>
        <w:ind w:firstLine="426"/>
        <w:rPr>
          <w:rFonts w:cs="Arial"/>
          <w:color w:val="000000"/>
          <w:szCs w:val="24"/>
        </w:rPr>
      </w:pPr>
      <w:r w:rsidRPr="0036505F">
        <w:rPr>
          <w:rFonts w:cs="Arial"/>
          <w:color w:val="000000"/>
          <w:szCs w:val="24"/>
        </w:rPr>
        <w:t xml:space="preserve">Grąd subatlantycki; </w:t>
      </w:r>
    </w:p>
    <w:p w14:paraId="0DC09FB8" w14:textId="77777777" w:rsidR="00B83214" w:rsidRPr="0036505F" w:rsidRDefault="00B83214" w:rsidP="00B83214">
      <w:pPr>
        <w:numPr>
          <w:ilvl w:val="0"/>
          <w:numId w:val="5"/>
        </w:numPr>
        <w:autoSpaceDE w:val="0"/>
        <w:autoSpaceDN w:val="0"/>
        <w:adjustRightInd w:val="0"/>
        <w:spacing w:before="0" w:after="117" w:line="240" w:lineRule="auto"/>
        <w:ind w:firstLine="426"/>
        <w:rPr>
          <w:rFonts w:cs="Arial"/>
          <w:color w:val="000000"/>
          <w:szCs w:val="24"/>
        </w:rPr>
      </w:pPr>
      <w:r w:rsidRPr="0036505F">
        <w:rPr>
          <w:rFonts w:cs="Arial"/>
          <w:color w:val="000000"/>
          <w:szCs w:val="24"/>
        </w:rPr>
        <w:t xml:space="preserve">Grąd środkowoeuropejski; </w:t>
      </w:r>
    </w:p>
    <w:p w14:paraId="31BC20EC" w14:textId="77777777" w:rsidR="00B83214" w:rsidRPr="0036505F" w:rsidRDefault="00B83214" w:rsidP="00B83214">
      <w:pPr>
        <w:numPr>
          <w:ilvl w:val="0"/>
          <w:numId w:val="5"/>
        </w:numPr>
        <w:autoSpaceDE w:val="0"/>
        <w:autoSpaceDN w:val="0"/>
        <w:adjustRightInd w:val="0"/>
        <w:spacing w:before="0" w:after="117" w:line="240" w:lineRule="auto"/>
        <w:ind w:firstLine="426"/>
        <w:rPr>
          <w:rFonts w:cs="Arial"/>
          <w:color w:val="000000"/>
          <w:szCs w:val="24"/>
        </w:rPr>
      </w:pPr>
      <w:r w:rsidRPr="0036505F">
        <w:rPr>
          <w:rFonts w:cs="Arial"/>
          <w:color w:val="000000"/>
          <w:szCs w:val="24"/>
        </w:rPr>
        <w:t xml:space="preserve">Dąbrowy acidofilne i acidofilny las brzozowy; </w:t>
      </w:r>
    </w:p>
    <w:p w14:paraId="1947D7BA" w14:textId="77777777" w:rsidR="00B83214" w:rsidRPr="0036505F" w:rsidRDefault="00B83214" w:rsidP="00B83214">
      <w:pPr>
        <w:numPr>
          <w:ilvl w:val="0"/>
          <w:numId w:val="5"/>
        </w:numPr>
        <w:autoSpaceDE w:val="0"/>
        <w:autoSpaceDN w:val="0"/>
        <w:adjustRightInd w:val="0"/>
        <w:spacing w:before="0" w:after="117" w:line="240" w:lineRule="auto"/>
        <w:ind w:firstLine="426"/>
        <w:rPr>
          <w:rFonts w:cs="Arial"/>
          <w:color w:val="000000"/>
          <w:szCs w:val="24"/>
        </w:rPr>
      </w:pPr>
      <w:r w:rsidRPr="0036505F">
        <w:rPr>
          <w:rFonts w:cs="Arial"/>
          <w:color w:val="000000"/>
          <w:szCs w:val="24"/>
        </w:rPr>
        <w:t xml:space="preserve">Łęg jesionowo-olszowy; </w:t>
      </w:r>
    </w:p>
    <w:p w14:paraId="742BB3D0" w14:textId="77777777" w:rsidR="00B83214" w:rsidRPr="0036505F" w:rsidRDefault="00B83214" w:rsidP="00B83214">
      <w:pPr>
        <w:numPr>
          <w:ilvl w:val="0"/>
          <w:numId w:val="5"/>
        </w:numPr>
        <w:autoSpaceDE w:val="0"/>
        <w:autoSpaceDN w:val="0"/>
        <w:adjustRightInd w:val="0"/>
        <w:spacing w:before="0" w:after="117" w:line="240" w:lineRule="auto"/>
        <w:ind w:firstLine="426"/>
        <w:rPr>
          <w:rFonts w:cs="Arial"/>
          <w:color w:val="000000"/>
          <w:szCs w:val="24"/>
        </w:rPr>
      </w:pPr>
      <w:r w:rsidRPr="0036505F">
        <w:rPr>
          <w:rFonts w:cs="Arial"/>
          <w:color w:val="000000"/>
          <w:szCs w:val="24"/>
        </w:rPr>
        <w:t xml:space="preserve">Łęg topolowo-wierzbowy; </w:t>
      </w:r>
    </w:p>
    <w:p w14:paraId="4B9E2A13" w14:textId="77777777" w:rsidR="00B83214" w:rsidRPr="0036505F" w:rsidRDefault="00B83214" w:rsidP="00B83214">
      <w:pPr>
        <w:numPr>
          <w:ilvl w:val="0"/>
          <w:numId w:val="5"/>
        </w:numPr>
        <w:autoSpaceDE w:val="0"/>
        <w:autoSpaceDN w:val="0"/>
        <w:adjustRightInd w:val="0"/>
        <w:spacing w:before="0" w:after="117" w:line="240" w:lineRule="auto"/>
        <w:ind w:firstLine="426"/>
        <w:rPr>
          <w:rFonts w:cs="Arial"/>
          <w:color w:val="000000"/>
          <w:szCs w:val="24"/>
        </w:rPr>
      </w:pPr>
      <w:r w:rsidRPr="0036505F">
        <w:rPr>
          <w:rFonts w:cs="Arial"/>
          <w:color w:val="000000"/>
          <w:szCs w:val="24"/>
        </w:rPr>
        <w:t xml:space="preserve">Łęgowe lasy dębowo-wiązowo-jesionowe; </w:t>
      </w:r>
    </w:p>
    <w:p w14:paraId="0DC0E9F5" w14:textId="77777777" w:rsidR="00B83214" w:rsidRPr="0036505F" w:rsidRDefault="00B83214" w:rsidP="00B83214">
      <w:pPr>
        <w:numPr>
          <w:ilvl w:val="0"/>
          <w:numId w:val="5"/>
        </w:numPr>
        <w:autoSpaceDE w:val="0"/>
        <w:autoSpaceDN w:val="0"/>
        <w:adjustRightInd w:val="0"/>
        <w:spacing w:before="0" w:after="0" w:line="240" w:lineRule="auto"/>
        <w:ind w:firstLine="426"/>
        <w:rPr>
          <w:rFonts w:cs="Arial"/>
          <w:color w:val="000000"/>
          <w:szCs w:val="24"/>
        </w:rPr>
      </w:pPr>
      <w:r w:rsidRPr="0036505F">
        <w:rPr>
          <w:rFonts w:cs="Arial"/>
          <w:color w:val="000000"/>
          <w:szCs w:val="24"/>
        </w:rPr>
        <w:t xml:space="preserve">Bory i lasy bagienne. </w:t>
      </w:r>
    </w:p>
    <w:p w14:paraId="3CDC0152" w14:textId="77777777" w:rsidR="00B83214" w:rsidRDefault="00B83214" w:rsidP="00B83214">
      <w:pPr>
        <w:rPr>
          <w:szCs w:val="24"/>
        </w:rPr>
      </w:pPr>
      <w:r w:rsidRPr="00AF26D3">
        <w:rPr>
          <w:szCs w:val="24"/>
        </w:rPr>
        <w:t>Różnorodność krajobrazów oraz ekosystemów występujących na Pomorzu Zachodnim wpływa na znaczne zróżnicowanie gatunkowe roślin, zwierząt oraz siedlisk przyrodniczych</w:t>
      </w:r>
      <w:r>
        <w:rPr>
          <w:szCs w:val="24"/>
        </w:rPr>
        <w:t>.</w:t>
      </w:r>
      <w:r w:rsidRPr="00AF26D3">
        <w:rPr>
          <w:szCs w:val="24"/>
        </w:rPr>
        <w:t xml:space="preserve"> </w:t>
      </w:r>
      <w:r w:rsidRPr="0036505F">
        <w:rPr>
          <w:szCs w:val="24"/>
        </w:rPr>
        <w:t>Charakterystyczny</w:t>
      </w:r>
      <w:r>
        <w:rPr>
          <w:szCs w:val="24"/>
        </w:rPr>
        <w:t xml:space="preserve">m elementem krajobrazu </w:t>
      </w:r>
      <w:r w:rsidRPr="0036505F">
        <w:rPr>
          <w:szCs w:val="24"/>
        </w:rPr>
        <w:t xml:space="preserve">Pomorza Zachodniego </w:t>
      </w:r>
      <w:r>
        <w:rPr>
          <w:szCs w:val="24"/>
        </w:rPr>
        <w:t xml:space="preserve">są długie i szerokie piaszczyste plaże, wydmy oraz jeziora </w:t>
      </w:r>
      <w:r w:rsidRPr="0036505F">
        <w:rPr>
          <w:szCs w:val="24"/>
        </w:rPr>
        <w:t>prz</w:t>
      </w:r>
      <w:r>
        <w:rPr>
          <w:szCs w:val="24"/>
        </w:rPr>
        <w:t>ybrzeżne</w:t>
      </w:r>
      <w:r w:rsidRPr="00AF26D3">
        <w:rPr>
          <w:szCs w:val="24"/>
        </w:rPr>
        <w:t xml:space="preserve"> a także krajobraz młodoglacjalnych pojezierzy z jeziorami rynnowymi, morenowymi, oczkami polodowcowymi, torfowiskami i mokradłami. Ponadto w krajobrazie regionu istotną rolę odgrywają rzeki - przede wszystkim Odra i jej rozległe ujście, a także rzeki przymorskie i w rejonie pojezierzy.</w:t>
      </w:r>
      <w:r w:rsidRPr="00AF26D3">
        <w:rPr>
          <w:rStyle w:val="markedcontent"/>
          <w:rFonts w:cs="Arial"/>
          <w:szCs w:val="24"/>
        </w:rPr>
        <w:t xml:space="preserve"> Wody </w:t>
      </w:r>
      <w:r>
        <w:rPr>
          <w:szCs w:val="24"/>
        </w:rPr>
        <w:t xml:space="preserve">powierzchniowe </w:t>
      </w:r>
      <w:r w:rsidRPr="00AF26D3">
        <w:rPr>
          <w:szCs w:val="24"/>
        </w:rPr>
        <w:t>wraz z wewnętrznymi wodami morskimi zajmują łącznie ponad 5% powierzchni obszaru województwa. Poza wodami Zalewu Szczecińskiego i jeziora Dąbie obszarami wysyconymi zbiornikami wodnymi są pojezierza: Drawskie, Myśliborskie, Ińskie i Wałeckie oraz Pobrzeże Słowińskie</w:t>
      </w:r>
      <w:r w:rsidRPr="00AF26D3">
        <w:rPr>
          <w:rStyle w:val="Odwoanieprzypisudolnego"/>
          <w:szCs w:val="24"/>
        </w:rPr>
        <w:footnoteReference w:id="45"/>
      </w:r>
      <w:r w:rsidRPr="00AF26D3">
        <w:rPr>
          <w:szCs w:val="24"/>
          <w:vertAlign w:val="superscript"/>
        </w:rPr>
        <w:t>,</w:t>
      </w:r>
      <w:r w:rsidRPr="00AF26D3">
        <w:rPr>
          <w:rStyle w:val="Odwoanieprzypisudolnego"/>
          <w:szCs w:val="24"/>
        </w:rPr>
        <w:footnoteReference w:id="46"/>
      </w:r>
      <w:r w:rsidRPr="00AF26D3">
        <w:rPr>
          <w:szCs w:val="24"/>
        </w:rPr>
        <w:t>.</w:t>
      </w:r>
      <w:r>
        <w:rPr>
          <w:szCs w:val="24"/>
        </w:rPr>
        <w:t xml:space="preserve"> </w:t>
      </w:r>
      <w:r w:rsidRPr="00AF26D3">
        <w:rPr>
          <w:szCs w:val="24"/>
        </w:rPr>
        <w:t xml:space="preserve">Obszary wyróżniające się pod względem różnorodności biologicznej oraz walorów krajobrazowych obejmują doliny rzeczne – Odry, Regi, Parsęty, </w:t>
      </w:r>
      <w:r>
        <w:rPr>
          <w:szCs w:val="24"/>
        </w:rPr>
        <w:t>Iny,</w:t>
      </w:r>
      <w:r w:rsidRPr="00AF26D3">
        <w:rPr>
          <w:szCs w:val="24"/>
        </w:rPr>
        <w:t xml:space="preserve"> a także Pojezierze Pomorskie, obszar Zalewu Sz</w:t>
      </w:r>
      <w:r>
        <w:rPr>
          <w:szCs w:val="24"/>
        </w:rPr>
        <w:t>czecińskiego, jak również duże kompleksy leśne</w:t>
      </w:r>
      <w:r w:rsidRPr="00AF26D3">
        <w:rPr>
          <w:szCs w:val="24"/>
        </w:rPr>
        <w:t xml:space="preserve"> - Puszczy Wkrzańskiej, Goleniowskiej oraz Puszczy Bukowej</w:t>
      </w:r>
      <w:r w:rsidRPr="00AF26D3">
        <w:rPr>
          <w:rStyle w:val="Odwoanieprzypisudolnego"/>
          <w:szCs w:val="24"/>
        </w:rPr>
        <w:footnoteReference w:id="47"/>
      </w:r>
      <w:r w:rsidRPr="00AF26D3">
        <w:rPr>
          <w:rStyle w:val="Odwoanieprzypisudolnego"/>
          <w:szCs w:val="24"/>
          <w:vertAlign w:val="baseline"/>
        </w:rPr>
        <w:t>.</w:t>
      </w:r>
    </w:p>
    <w:p w14:paraId="5F2B6BCC" w14:textId="77777777" w:rsidR="00B83214" w:rsidRPr="00AE2794" w:rsidRDefault="00B83214" w:rsidP="00B83214">
      <w:pPr>
        <w:pBdr>
          <w:bottom w:val="single" w:sz="6" w:space="1" w:color="549E39" w:themeColor="accent1"/>
        </w:pBdr>
        <w:spacing w:before="200" w:after="0"/>
        <w:outlineLvl w:val="4"/>
        <w:rPr>
          <w:caps/>
          <w:color w:val="3E762A" w:themeColor="accent1" w:themeShade="BF"/>
          <w:spacing w:val="10"/>
          <w:szCs w:val="24"/>
        </w:rPr>
      </w:pPr>
      <w:r w:rsidRPr="00AE2794">
        <w:rPr>
          <w:caps/>
          <w:color w:val="3E762A" w:themeColor="accent1" w:themeShade="BF"/>
          <w:spacing w:val="10"/>
          <w:szCs w:val="24"/>
        </w:rPr>
        <w:t>FLORA</w:t>
      </w:r>
    </w:p>
    <w:p w14:paraId="1FD3561D" w14:textId="77777777" w:rsidR="00B83214" w:rsidRDefault="00B83214" w:rsidP="00B83214">
      <w:pPr>
        <w:rPr>
          <w:szCs w:val="24"/>
        </w:rPr>
      </w:pPr>
      <w:r>
        <w:rPr>
          <w:szCs w:val="24"/>
        </w:rPr>
        <w:t xml:space="preserve">Flora </w:t>
      </w:r>
      <w:r w:rsidRPr="00D22CF1">
        <w:rPr>
          <w:szCs w:val="24"/>
        </w:rPr>
        <w:t xml:space="preserve">Pomorza </w:t>
      </w:r>
      <w:r>
        <w:rPr>
          <w:szCs w:val="24"/>
        </w:rPr>
        <w:t>Zachodniego charakteryzuje się znacznym bogactwem na tle kraju,</w:t>
      </w:r>
      <w:r w:rsidRPr="00D22CF1">
        <w:rPr>
          <w:szCs w:val="24"/>
        </w:rPr>
        <w:t xml:space="preserve"> wynika </w:t>
      </w:r>
      <w:r>
        <w:rPr>
          <w:szCs w:val="24"/>
        </w:rPr>
        <w:t xml:space="preserve">to </w:t>
      </w:r>
      <w:r w:rsidRPr="00D22CF1">
        <w:rPr>
          <w:szCs w:val="24"/>
        </w:rPr>
        <w:t>z dużego zróżnicowania siedlisk</w:t>
      </w:r>
      <w:r>
        <w:rPr>
          <w:szCs w:val="24"/>
        </w:rPr>
        <w:t xml:space="preserve"> </w:t>
      </w:r>
      <w:r w:rsidRPr="00D22CF1">
        <w:rPr>
          <w:szCs w:val="24"/>
        </w:rPr>
        <w:t>w młodoglacjalnym krajobrazie wybrzeża Bałtyku, nizin i wysoczyzn pomorskich,</w:t>
      </w:r>
      <w:r>
        <w:rPr>
          <w:szCs w:val="24"/>
        </w:rPr>
        <w:t xml:space="preserve"> </w:t>
      </w:r>
      <w:r w:rsidRPr="00D22CF1">
        <w:rPr>
          <w:szCs w:val="24"/>
        </w:rPr>
        <w:t xml:space="preserve">pojezierzy </w:t>
      </w:r>
      <w:r>
        <w:rPr>
          <w:szCs w:val="24"/>
        </w:rPr>
        <w:t xml:space="preserve">północno </w:t>
      </w:r>
      <w:r w:rsidRPr="00D22CF1">
        <w:rPr>
          <w:szCs w:val="24"/>
        </w:rPr>
        <w:t>i</w:t>
      </w:r>
      <w:r>
        <w:rPr>
          <w:szCs w:val="24"/>
        </w:rPr>
        <w:t xml:space="preserve"> </w:t>
      </w:r>
      <w:r w:rsidRPr="00D22CF1">
        <w:rPr>
          <w:szCs w:val="24"/>
        </w:rPr>
        <w:t>południowopom</w:t>
      </w:r>
      <w:r>
        <w:rPr>
          <w:szCs w:val="24"/>
        </w:rPr>
        <w:t>orskich oraz równin sandrowych. Znajdują się</w:t>
      </w:r>
      <w:r w:rsidRPr="00D22CF1">
        <w:rPr>
          <w:szCs w:val="24"/>
        </w:rPr>
        <w:t xml:space="preserve"> </w:t>
      </w:r>
      <w:r>
        <w:rPr>
          <w:szCs w:val="24"/>
        </w:rPr>
        <w:t xml:space="preserve">tutaj </w:t>
      </w:r>
      <w:r w:rsidRPr="00D22CF1">
        <w:rPr>
          <w:szCs w:val="24"/>
        </w:rPr>
        <w:t>zbiorowiska roślinne o różnym stopniu zachowania cech naturalnych charakterystycznych</w:t>
      </w:r>
      <w:r>
        <w:rPr>
          <w:szCs w:val="24"/>
        </w:rPr>
        <w:t xml:space="preserve"> </w:t>
      </w:r>
      <w:r w:rsidRPr="00D22CF1">
        <w:rPr>
          <w:szCs w:val="24"/>
        </w:rPr>
        <w:t>dla poszczególnych ekosystemów, zbiorowiska zieleni urządzonej</w:t>
      </w:r>
      <w:r>
        <w:rPr>
          <w:szCs w:val="24"/>
        </w:rPr>
        <w:t xml:space="preserve">, które wzbogacają krajobraz, a także </w:t>
      </w:r>
      <w:r w:rsidRPr="00D22CF1">
        <w:rPr>
          <w:szCs w:val="24"/>
        </w:rPr>
        <w:t>zbiorowiska</w:t>
      </w:r>
      <w:r>
        <w:rPr>
          <w:szCs w:val="24"/>
        </w:rPr>
        <w:t xml:space="preserve"> wykształcone w wyniku</w:t>
      </w:r>
      <w:r w:rsidRPr="00D22CF1">
        <w:rPr>
          <w:szCs w:val="24"/>
        </w:rPr>
        <w:t xml:space="preserve"> spontanicznej sukcesji na terenach</w:t>
      </w:r>
      <w:r>
        <w:rPr>
          <w:szCs w:val="24"/>
        </w:rPr>
        <w:t xml:space="preserve"> </w:t>
      </w:r>
      <w:r w:rsidRPr="00D22CF1">
        <w:rPr>
          <w:szCs w:val="24"/>
        </w:rPr>
        <w:t>zdegradowanych. Występują tu</w:t>
      </w:r>
      <w:r>
        <w:rPr>
          <w:szCs w:val="24"/>
        </w:rPr>
        <w:t xml:space="preserve"> </w:t>
      </w:r>
      <w:r w:rsidRPr="00D22CF1">
        <w:rPr>
          <w:szCs w:val="24"/>
        </w:rPr>
        <w:t xml:space="preserve">ekosystemy wodne, torfowiskowe, łąkowe a nawet stepowe oraz ekosystemy leśne. Zieleń </w:t>
      </w:r>
      <w:r>
        <w:rPr>
          <w:szCs w:val="24"/>
        </w:rPr>
        <w:t>u</w:t>
      </w:r>
      <w:r w:rsidRPr="00D22CF1">
        <w:rPr>
          <w:szCs w:val="24"/>
        </w:rPr>
        <w:t>kształtowana</w:t>
      </w:r>
      <w:r>
        <w:rPr>
          <w:szCs w:val="24"/>
        </w:rPr>
        <w:t xml:space="preserve"> </w:t>
      </w:r>
      <w:r w:rsidRPr="00D22CF1">
        <w:rPr>
          <w:szCs w:val="24"/>
        </w:rPr>
        <w:t xml:space="preserve">przez człowieka </w:t>
      </w:r>
      <w:r>
        <w:rPr>
          <w:szCs w:val="24"/>
        </w:rPr>
        <w:t>to</w:t>
      </w:r>
      <w:r w:rsidRPr="00D22CF1">
        <w:rPr>
          <w:szCs w:val="24"/>
        </w:rPr>
        <w:t xml:space="preserve"> m.in. parki, zadrzewienia cmentarne i przykościelne, zadrzewienia związane</w:t>
      </w:r>
      <w:r>
        <w:rPr>
          <w:szCs w:val="24"/>
        </w:rPr>
        <w:t xml:space="preserve"> z budynkami i skwerami oraz zadrzewienia przydrożne</w:t>
      </w:r>
      <w:r>
        <w:rPr>
          <w:rStyle w:val="Odwoanieprzypisudolnego"/>
          <w:szCs w:val="24"/>
        </w:rPr>
        <w:footnoteReference w:id="48"/>
      </w:r>
      <w:r>
        <w:rPr>
          <w:szCs w:val="24"/>
        </w:rPr>
        <w:t>. W tabeli p</w:t>
      </w:r>
      <w:r w:rsidRPr="0086282B">
        <w:rPr>
          <w:szCs w:val="24"/>
        </w:rPr>
        <w:t xml:space="preserve">oniżej </w:t>
      </w:r>
      <w:r>
        <w:rPr>
          <w:szCs w:val="24"/>
        </w:rPr>
        <w:t>(</w:t>
      </w:r>
      <w:r>
        <w:rPr>
          <w:szCs w:val="24"/>
        </w:rPr>
        <w:fldChar w:fldCharType="begin"/>
      </w:r>
      <w:r>
        <w:rPr>
          <w:szCs w:val="24"/>
        </w:rPr>
        <w:instrText xml:space="preserve"> REF _Ref103245493 \h </w:instrText>
      </w:r>
      <w:r>
        <w:rPr>
          <w:szCs w:val="24"/>
        </w:rPr>
      </w:r>
      <w:r>
        <w:rPr>
          <w:szCs w:val="24"/>
        </w:rPr>
        <w:fldChar w:fldCharType="separate"/>
      </w:r>
      <w:r w:rsidR="002B5007">
        <w:t xml:space="preserve">Tabela </w:t>
      </w:r>
      <w:r w:rsidR="002B5007">
        <w:rPr>
          <w:noProof/>
        </w:rPr>
        <w:t>1</w:t>
      </w:r>
      <w:r>
        <w:rPr>
          <w:szCs w:val="24"/>
        </w:rPr>
        <w:fldChar w:fldCharType="end"/>
      </w:r>
      <w:r>
        <w:rPr>
          <w:szCs w:val="24"/>
        </w:rPr>
        <w:t xml:space="preserve">) </w:t>
      </w:r>
      <w:r w:rsidRPr="0086282B">
        <w:rPr>
          <w:szCs w:val="24"/>
        </w:rPr>
        <w:t>przedstawiono w syntetycznym ujęciu poszczególne zbiorowiska roślinne</w:t>
      </w:r>
      <w:r>
        <w:rPr>
          <w:szCs w:val="24"/>
        </w:rPr>
        <w:t xml:space="preserve"> występujące na obszarze analizowanego terenu.</w:t>
      </w:r>
    </w:p>
    <w:p w14:paraId="099B6AAF" w14:textId="77777777" w:rsidR="00B83214" w:rsidRDefault="00B83214" w:rsidP="00B83214">
      <w:pPr>
        <w:rPr>
          <w:szCs w:val="24"/>
        </w:rPr>
        <w:sectPr w:rsidR="00B83214" w:rsidSect="006E38B9">
          <w:footerReference w:type="default" r:id="rId16"/>
          <w:pgSz w:w="11906" w:h="16838"/>
          <w:pgMar w:top="1417" w:right="1417" w:bottom="1417" w:left="1417" w:header="708" w:footer="708" w:gutter="0"/>
          <w:pgNumType w:fmt="lowerRoman"/>
          <w:cols w:space="708"/>
          <w:titlePg/>
          <w:docGrid w:linePitch="360"/>
        </w:sectPr>
      </w:pPr>
    </w:p>
    <w:p w14:paraId="2A586E61" w14:textId="77777777" w:rsidR="00B83214" w:rsidRDefault="00B83214" w:rsidP="00B83214">
      <w:pPr>
        <w:pStyle w:val="Legenda"/>
        <w:keepNext/>
      </w:pPr>
      <w:bookmarkStart w:id="90" w:name="_Ref103245493"/>
      <w:bookmarkStart w:id="91" w:name="_Toc104790071"/>
      <w:r>
        <w:t xml:space="preserve">Tabela </w:t>
      </w:r>
      <w:r>
        <w:fldChar w:fldCharType="begin"/>
      </w:r>
      <w:r>
        <w:instrText>SEQ Tabela \* ARABIC</w:instrText>
      </w:r>
      <w:r>
        <w:fldChar w:fldCharType="separate"/>
      </w:r>
      <w:r w:rsidR="002B5007">
        <w:rPr>
          <w:noProof/>
        </w:rPr>
        <w:t>1</w:t>
      </w:r>
      <w:r>
        <w:fldChar w:fldCharType="end"/>
      </w:r>
      <w:bookmarkEnd w:id="90"/>
      <w:r>
        <w:t xml:space="preserve"> </w:t>
      </w:r>
      <w:r>
        <w:rPr>
          <w:szCs w:val="24"/>
        </w:rPr>
        <w:t>Z</w:t>
      </w:r>
      <w:r w:rsidRPr="0086282B">
        <w:rPr>
          <w:szCs w:val="24"/>
        </w:rPr>
        <w:t>biorowiska roślinne</w:t>
      </w:r>
      <w:r>
        <w:rPr>
          <w:szCs w:val="24"/>
        </w:rPr>
        <w:t xml:space="preserve"> na obszarze województwa zachodniopomorskiego</w:t>
      </w:r>
      <w:bookmarkEnd w:id="91"/>
      <w:r>
        <w:rPr>
          <w:szCs w:val="24"/>
        </w:rPr>
        <w:t xml:space="preserve"> </w:t>
      </w:r>
    </w:p>
    <w:tbl>
      <w:tblPr>
        <w:tblStyle w:val="Tabelasiatki1jasnaakcent13"/>
        <w:tblW w:w="14029" w:type="dxa"/>
        <w:tblLook w:val="04A0" w:firstRow="1" w:lastRow="0" w:firstColumn="1" w:lastColumn="0" w:noHBand="0" w:noVBand="1"/>
      </w:tblPr>
      <w:tblGrid>
        <w:gridCol w:w="3539"/>
        <w:gridCol w:w="10490"/>
      </w:tblGrid>
      <w:tr w:rsidR="00B83214" w:rsidRPr="00FD4295" w14:paraId="46B1BD07" w14:textId="77777777" w:rsidTr="00B83214">
        <w:trPr>
          <w:cnfStyle w:val="100000000000" w:firstRow="1" w:lastRow="0" w:firstColumn="0" w:lastColumn="0" w:oddVBand="0" w:evenVBand="0" w:oddHBand="0"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3539" w:type="dxa"/>
          </w:tcPr>
          <w:p w14:paraId="1D8F3890" w14:textId="77777777" w:rsidR="00B83214" w:rsidRPr="009511FC" w:rsidRDefault="00B83214" w:rsidP="00B83214">
            <w:pPr>
              <w:rPr>
                <w:bCs w:val="0"/>
                <w:iCs/>
                <w:szCs w:val="24"/>
              </w:rPr>
            </w:pPr>
            <w:r w:rsidRPr="009511FC">
              <w:rPr>
                <w:bCs w:val="0"/>
                <w:iCs/>
                <w:szCs w:val="24"/>
              </w:rPr>
              <w:t>Zbiorowisko roślinne</w:t>
            </w:r>
          </w:p>
        </w:tc>
        <w:tc>
          <w:tcPr>
            <w:tcW w:w="10490" w:type="dxa"/>
          </w:tcPr>
          <w:p w14:paraId="1A799E11" w14:textId="77777777" w:rsidR="00B83214" w:rsidRPr="009511FC" w:rsidRDefault="00B83214" w:rsidP="00B83214">
            <w:pPr>
              <w:cnfStyle w:val="100000000000" w:firstRow="1" w:lastRow="0" w:firstColumn="0" w:lastColumn="0" w:oddVBand="0" w:evenVBand="0" w:oddHBand="0" w:evenHBand="0" w:firstRowFirstColumn="0" w:firstRowLastColumn="0" w:lastRowFirstColumn="0" w:lastRowLastColumn="0"/>
            </w:pPr>
            <w:r w:rsidRPr="009511FC">
              <w:t>Charakterystyka</w:t>
            </w:r>
          </w:p>
        </w:tc>
      </w:tr>
      <w:tr w:rsidR="00B83214" w:rsidRPr="00FD4295" w14:paraId="1DB2B981" w14:textId="77777777" w:rsidTr="00B83214">
        <w:trPr>
          <w:trHeight w:val="1397"/>
        </w:trPr>
        <w:tc>
          <w:tcPr>
            <w:cnfStyle w:val="001000000000" w:firstRow="0" w:lastRow="0" w:firstColumn="1" w:lastColumn="0" w:oddVBand="0" w:evenVBand="0" w:oddHBand="0" w:evenHBand="0" w:firstRowFirstColumn="0" w:firstRowLastColumn="0" w:lastRowFirstColumn="0" w:lastRowLastColumn="0"/>
            <w:tcW w:w="3539" w:type="dxa"/>
          </w:tcPr>
          <w:p w14:paraId="2BADA0FE" w14:textId="77777777" w:rsidR="00B83214" w:rsidRPr="00FD4295" w:rsidRDefault="00B83214" w:rsidP="00B83214">
            <w:pPr>
              <w:rPr>
                <w:b w:val="0"/>
                <w:bCs w:val="0"/>
                <w:iCs/>
                <w:szCs w:val="24"/>
              </w:rPr>
            </w:pPr>
            <w:r w:rsidRPr="00FD4295">
              <w:rPr>
                <w:b w:val="0"/>
                <w:bCs w:val="0"/>
                <w:iCs/>
                <w:szCs w:val="24"/>
              </w:rPr>
              <w:t xml:space="preserve">Roślinność ekosystemów wodnych </w:t>
            </w:r>
          </w:p>
          <w:p w14:paraId="3F05F5E2" w14:textId="77777777" w:rsidR="00B83214" w:rsidRPr="00FD4295" w:rsidRDefault="00B83214" w:rsidP="00B83214">
            <w:pPr>
              <w:rPr>
                <w:b w:val="0"/>
                <w:bCs w:val="0"/>
                <w:i/>
                <w:iCs/>
                <w:szCs w:val="24"/>
              </w:rPr>
            </w:pPr>
            <w:r>
              <w:rPr>
                <w:rFonts w:eastAsia="ArialUnicodeMS" w:cs="ArialUnicodeMS"/>
                <w:szCs w:val="24"/>
              </w:rPr>
              <w:t>(r</w:t>
            </w:r>
            <w:r w:rsidRPr="00B91248">
              <w:rPr>
                <w:rFonts w:eastAsia="ArialUnicodeMS" w:cs="ArialUnicodeMS"/>
                <w:szCs w:val="24"/>
              </w:rPr>
              <w:t>oślinność wód płynących</w:t>
            </w:r>
            <w:r>
              <w:rPr>
                <w:szCs w:val="24"/>
              </w:rPr>
              <w:t>, r</w:t>
            </w:r>
            <w:r w:rsidRPr="00FD4295">
              <w:rPr>
                <w:szCs w:val="24"/>
              </w:rPr>
              <w:t>oślinność wód stojących ekosystemów wód</w:t>
            </w:r>
            <w:r>
              <w:rPr>
                <w:szCs w:val="24"/>
              </w:rPr>
              <w:t xml:space="preserve"> </w:t>
            </w:r>
            <w:r w:rsidRPr="00FD4295">
              <w:rPr>
                <w:szCs w:val="24"/>
              </w:rPr>
              <w:t>eutroficznych</w:t>
            </w:r>
            <w:r>
              <w:rPr>
                <w:szCs w:val="24"/>
              </w:rPr>
              <w:t>, r</w:t>
            </w:r>
            <w:r w:rsidRPr="00FD4295">
              <w:rPr>
                <w:szCs w:val="24"/>
              </w:rPr>
              <w:t>oślinność ekosystemów wód mezotroficznych i oligotroficznych</w:t>
            </w:r>
            <w:r>
              <w:rPr>
                <w:szCs w:val="24"/>
              </w:rPr>
              <w:t>)</w:t>
            </w:r>
          </w:p>
        </w:tc>
        <w:tc>
          <w:tcPr>
            <w:tcW w:w="10490" w:type="dxa"/>
          </w:tcPr>
          <w:p w14:paraId="62B6AF20" w14:textId="77777777" w:rsidR="00B83214" w:rsidRDefault="00B83214" w:rsidP="00B83214">
            <w:pPr>
              <w:cnfStyle w:val="000000000000" w:firstRow="0" w:lastRow="0" w:firstColumn="0" w:lastColumn="0" w:oddVBand="0" w:evenVBand="0" w:oddHBand="0" w:evenHBand="0" w:firstRowFirstColumn="0" w:firstRowLastColumn="0" w:lastRowFirstColumn="0" w:lastRowLastColumn="0"/>
              <w:rPr>
                <w:rFonts w:eastAsia="ArialUnicodeMS"/>
              </w:rPr>
            </w:pPr>
            <w:r w:rsidRPr="009511FC">
              <w:t xml:space="preserve">Jeziora lobeliowe - </w:t>
            </w:r>
            <w:r w:rsidRPr="009511FC">
              <w:rPr>
                <w:rFonts w:eastAsia="ArialUnicodeMS"/>
              </w:rPr>
              <w:t xml:space="preserve">zbiorowiska i siedliska koncentrują się w zachodniej części Pomorza, w centralnej części pojezierzy, w ostojach położonych </w:t>
            </w:r>
            <w:r>
              <w:rPr>
                <w:rFonts w:eastAsia="ArialUnicodeMS"/>
              </w:rPr>
              <w:t>na wschód od Wysoczyzny Ińskiej</w:t>
            </w:r>
            <w:r w:rsidRPr="009511FC">
              <w:rPr>
                <w:rFonts w:eastAsia="ArialUnicodeMS"/>
              </w:rPr>
              <w:t>. Siedlisko chronione jest przede wszystkim w ostoi „Jezioro Bobięcińskie” (PLH 320040) i „Bobolickie Jeziora Lobeliowe” (PLH 320001).</w:t>
            </w:r>
          </w:p>
          <w:p w14:paraId="1569382B" w14:textId="27E69FF4" w:rsidR="00B83214" w:rsidRDefault="00B83214" w:rsidP="00B83214">
            <w:pPr>
              <w:cnfStyle w:val="000000000000" w:firstRow="0" w:lastRow="0" w:firstColumn="0" w:lastColumn="0" w:oddVBand="0" w:evenVBand="0" w:oddHBand="0" w:evenHBand="0" w:firstRowFirstColumn="0" w:firstRowLastColumn="0" w:lastRowFirstColumn="0" w:lastRowLastColumn="0"/>
            </w:pPr>
            <w:r w:rsidRPr="009511FC">
              <w:t>Twardowodne oligomezotroficzne zbiorniki z podwodnymi łąkami ramienic –</w:t>
            </w:r>
            <w:r>
              <w:t xml:space="preserve"> </w:t>
            </w:r>
            <w:r w:rsidRPr="009511FC">
              <w:t xml:space="preserve">województwo </w:t>
            </w:r>
            <w:r>
              <w:t>zachod</w:t>
            </w:r>
            <w:r w:rsidRPr="009511FC">
              <w:t xml:space="preserve">dniopomorskie to </w:t>
            </w:r>
            <w:r w:rsidRPr="009511FC">
              <w:rPr>
                <w:rFonts w:eastAsia="ArialUnicodeMS"/>
              </w:rPr>
              <w:t xml:space="preserve">ważne w skali kraju miejsce występowania jezior ramienicowych, </w:t>
            </w:r>
            <w:r w:rsidRPr="009511FC">
              <w:t>ich koncentracja obejmuje gł</w:t>
            </w:r>
            <w:r w:rsidR="004110A4">
              <w:t>ó</w:t>
            </w:r>
            <w:r w:rsidRPr="009511FC">
              <w:t xml:space="preserve">wnie obszary morenowe, gdzie utwory geologiczne zawierają większe ilości węglanów. </w:t>
            </w:r>
          </w:p>
          <w:p w14:paraId="009C7F6C" w14:textId="77777777" w:rsidR="00B83214" w:rsidRPr="000703D1" w:rsidRDefault="00B83214" w:rsidP="00B83214">
            <w:pPr>
              <w:cnfStyle w:val="000000000000" w:firstRow="0" w:lastRow="0" w:firstColumn="0" w:lastColumn="0" w:oddVBand="0" w:evenVBand="0" w:oddHBand="0" w:evenHBand="0" w:firstRowFirstColumn="0" w:firstRowLastColumn="0" w:lastRowFirstColumn="0" w:lastRowLastColumn="0"/>
              <w:rPr>
                <w:rFonts w:eastAsia="ArialUnicodeMS"/>
                <w:szCs w:val="24"/>
              </w:rPr>
            </w:pPr>
            <w:r w:rsidRPr="000703D1">
              <w:rPr>
                <w:rFonts w:eastAsia="ArialUnicodeMS"/>
                <w:szCs w:val="24"/>
              </w:rPr>
              <w:t>Starorzecza i inne naturalne, eutroficzne zbiorniki wodne - Zbiorniki eutroficzne to dominujący typ ekosystemów jeziornych jak i starorzeczy w kraju, stąd zbiorowiska i siedliska prawnie chronione pojawiają się w licznych ostojach Natury 2000, głównie tam, gdzie jest dużo ekosystemów wodnych. Siedlisko chronione jest m.in. w ostojach: „Dolina Płoni i Jezioro Miedwie” (PLH 320006),</w:t>
            </w:r>
          </w:p>
          <w:p w14:paraId="0ED115C0" w14:textId="77777777" w:rsidR="00B83214" w:rsidRPr="000703D1" w:rsidRDefault="00B83214" w:rsidP="00B83214">
            <w:pPr>
              <w:cnfStyle w:val="000000000000" w:firstRow="0" w:lastRow="0" w:firstColumn="0" w:lastColumn="0" w:oddVBand="0" w:evenVBand="0" w:oddHBand="0" w:evenHBand="0" w:firstRowFirstColumn="0" w:firstRowLastColumn="0" w:lastRowFirstColumn="0" w:lastRowLastColumn="0"/>
              <w:rPr>
                <w:rFonts w:eastAsia="ArialUnicodeMS"/>
                <w:szCs w:val="24"/>
              </w:rPr>
            </w:pPr>
            <w:r w:rsidRPr="000703D1">
              <w:rPr>
                <w:rFonts w:eastAsia="ArialUnicodeMS"/>
                <w:szCs w:val="24"/>
              </w:rPr>
              <w:t>„Pojezierze Myśliborskie” (PLH 320014), „Jeziora Szczecineckie” (PLH 320009), „Police–kanały”</w:t>
            </w:r>
          </w:p>
          <w:p w14:paraId="063C0D1E" w14:textId="77777777" w:rsidR="00B83214" w:rsidRPr="000703D1" w:rsidRDefault="00B83214" w:rsidP="00B83214">
            <w:pPr>
              <w:cnfStyle w:val="000000000000" w:firstRow="0" w:lastRow="0" w:firstColumn="0" w:lastColumn="0" w:oddVBand="0" w:evenVBand="0" w:oddHBand="0" w:evenHBand="0" w:firstRowFirstColumn="0" w:firstRowLastColumn="0" w:lastRowFirstColumn="0" w:lastRowLastColumn="0"/>
              <w:rPr>
                <w:rFonts w:eastAsia="ArialUnicodeMS"/>
                <w:szCs w:val="24"/>
              </w:rPr>
            </w:pPr>
            <w:r w:rsidRPr="000703D1">
              <w:rPr>
                <w:rFonts w:eastAsia="ArialUnicodeMS"/>
                <w:szCs w:val="24"/>
              </w:rPr>
              <w:t>(PLH 320015), „Ujście Odry i Zalew Szczeciński” (PLH 320018), „Wolin i Uznam” (PLH 320019), „Dolina</w:t>
            </w:r>
          </w:p>
          <w:p w14:paraId="48CFF6E0" w14:textId="77777777" w:rsidR="00B83214" w:rsidRDefault="00B83214" w:rsidP="00B83214">
            <w:pPr>
              <w:cnfStyle w:val="000000000000" w:firstRow="0" w:lastRow="0" w:firstColumn="0" w:lastColumn="0" w:oddVBand="0" w:evenVBand="0" w:oddHBand="0" w:evenHBand="0" w:firstRowFirstColumn="0" w:firstRowLastColumn="0" w:lastRowFirstColumn="0" w:lastRowLastColumn="0"/>
              <w:rPr>
                <w:rFonts w:eastAsia="ArialUnicodeMS"/>
              </w:rPr>
            </w:pPr>
            <w:r w:rsidRPr="000703D1">
              <w:rPr>
                <w:rFonts w:eastAsia="ArialUnicodeMS"/>
                <w:szCs w:val="24"/>
              </w:rPr>
              <w:t>Odry” (PLH 320037).</w:t>
            </w:r>
          </w:p>
          <w:p w14:paraId="6D3ECFB1" w14:textId="77777777" w:rsidR="00B83214" w:rsidRPr="009511FC" w:rsidRDefault="00B83214" w:rsidP="00B83214">
            <w:pPr>
              <w:cnfStyle w:val="000000000000" w:firstRow="0" w:lastRow="0" w:firstColumn="0" w:lastColumn="0" w:oddVBand="0" w:evenVBand="0" w:oddHBand="0" w:evenHBand="0" w:firstRowFirstColumn="0" w:firstRowLastColumn="0" w:lastRowFirstColumn="0" w:lastRowLastColumn="0"/>
            </w:pPr>
            <w:r w:rsidRPr="009511FC">
              <w:rPr>
                <w:rFonts w:eastAsia="ArialUnicodeMS"/>
              </w:rPr>
              <w:t xml:space="preserve">Naturalne, </w:t>
            </w:r>
            <w:r>
              <w:rPr>
                <w:rFonts w:eastAsia="ArialUnicodeMS"/>
              </w:rPr>
              <w:t>dystroficzne zbiorniki wodne - na terenie województwa występują</w:t>
            </w:r>
            <w:r w:rsidRPr="009511FC">
              <w:rPr>
                <w:rFonts w:eastAsia="ArialUnicodeMS"/>
              </w:rPr>
              <w:t xml:space="preserve"> w rozproszeniu, przede wszystkim w obrębie większych kompleksów leśnych na ubogich glebach: w Puszczy Goleniowskiej, Puszczy Drawskiej, Lasach Krajeńskich, a także w zagłębieniach międzywydmowych.</w:t>
            </w:r>
          </w:p>
        </w:tc>
      </w:tr>
      <w:tr w:rsidR="00B83214" w:rsidRPr="00FD4295" w14:paraId="3D6B38C0" w14:textId="77777777" w:rsidTr="00B83214">
        <w:tc>
          <w:tcPr>
            <w:cnfStyle w:val="001000000000" w:firstRow="0" w:lastRow="0" w:firstColumn="1" w:lastColumn="0" w:oddVBand="0" w:evenVBand="0" w:oddHBand="0" w:evenHBand="0" w:firstRowFirstColumn="0" w:firstRowLastColumn="0" w:lastRowFirstColumn="0" w:lastRowLastColumn="0"/>
            <w:tcW w:w="3539" w:type="dxa"/>
          </w:tcPr>
          <w:p w14:paraId="6C835B9C" w14:textId="77777777" w:rsidR="00B83214" w:rsidRPr="00FD4295" w:rsidRDefault="00B83214" w:rsidP="00B83214">
            <w:pPr>
              <w:rPr>
                <w:b w:val="0"/>
                <w:bCs w:val="0"/>
                <w:iCs/>
                <w:szCs w:val="24"/>
              </w:rPr>
            </w:pPr>
            <w:r w:rsidRPr="00FD4295">
              <w:rPr>
                <w:b w:val="0"/>
                <w:bCs w:val="0"/>
                <w:iCs/>
                <w:szCs w:val="24"/>
              </w:rPr>
              <w:t xml:space="preserve">Roślinność ekosystemów bagiennych </w:t>
            </w:r>
          </w:p>
          <w:p w14:paraId="065E5009" w14:textId="77777777" w:rsidR="00B83214" w:rsidRPr="00FD4295" w:rsidRDefault="00B83214" w:rsidP="00B83214">
            <w:pPr>
              <w:spacing w:before="0"/>
              <w:rPr>
                <w:szCs w:val="24"/>
              </w:rPr>
            </w:pPr>
            <w:r w:rsidRPr="00FD4295">
              <w:rPr>
                <w:szCs w:val="24"/>
              </w:rPr>
              <w:t>(roślinność ekosystemów tarasów zalewowych, roślinność ekosystemów torfowisk, roślinność ekosystemów torfowisk mszarnych, roślinności ekosystemów torfowisk nakredowych)</w:t>
            </w:r>
          </w:p>
        </w:tc>
        <w:tc>
          <w:tcPr>
            <w:tcW w:w="10490" w:type="dxa"/>
          </w:tcPr>
          <w:p w14:paraId="6B310D02" w14:textId="77777777" w:rsidR="00B83214" w:rsidRDefault="00B83214" w:rsidP="00B83214">
            <w:pPr>
              <w:autoSpaceDE w:val="0"/>
              <w:autoSpaceDN w:val="0"/>
              <w:adjustRightInd w:val="0"/>
              <w:cnfStyle w:val="000000000000" w:firstRow="0" w:lastRow="0" w:firstColumn="0" w:lastColumn="0" w:oddVBand="0" w:evenVBand="0" w:oddHBand="0" w:evenHBand="0" w:firstRowFirstColumn="0" w:firstRowLastColumn="0" w:lastRowFirstColumn="0" w:lastRowLastColumn="0"/>
              <w:rPr>
                <w:szCs w:val="24"/>
              </w:rPr>
            </w:pPr>
            <w:r w:rsidRPr="00FD4295">
              <w:rPr>
                <w:szCs w:val="24"/>
              </w:rPr>
              <w:t>Torfowiska nakredowe -</w:t>
            </w:r>
            <w:r>
              <w:rPr>
                <w:szCs w:val="24"/>
              </w:rPr>
              <w:t xml:space="preserve"> </w:t>
            </w:r>
            <w:r w:rsidRPr="00FD4295">
              <w:rPr>
                <w:szCs w:val="24"/>
              </w:rPr>
              <w:t>„Jezioro Kozie” (PLH 320010), „Pojezierze Myśliborskie” (PLH 320014) i „Dolina Płoni i Jezioro Miedwie” (PLH 320006), w Puszczy Drawskiej i na Pojezierzu Dobiegniewskim oraz w ostoi</w:t>
            </w:r>
            <w:r>
              <w:rPr>
                <w:szCs w:val="24"/>
              </w:rPr>
              <w:t xml:space="preserve"> </w:t>
            </w:r>
            <w:r w:rsidRPr="00FD4295">
              <w:rPr>
                <w:szCs w:val="24"/>
              </w:rPr>
              <w:t>„Lasy Bierzwnickie” (PLH 320044).</w:t>
            </w:r>
            <w:r>
              <w:rPr>
                <w:szCs w:val="24"/>
              </w:rPr>
              <w:t xml:space="preserve"> </w:t>
            </w:r>
          </w:p>
          <w:p w14:paraId="53CCF837" w14:textId="77777777" w:rsidR="00B83214" w:rsidRDefault="00B83214" w:rsidP="00B8321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ArialUnicodeMS" w:cs="ArialUnicodeMS"/>
                <w:szCs w:val="24"/>
              </w:rPr>
            </w:pPr>
            <w:r w:rsidRPr="00FD4295">
              <w:rPr>
                <w:rFonts w:eastAsia="ArialUnicodeMS" w:cs="ArialUnicodeMS"/>
                <w:szCs w:val="24"/>
              </w:rPr>
              <w:t>Torfowiska zasadowe o charakterze młak, turzycowisk i mechowisk to m.in.: „Dolina Grabowej”(PLH 320003), „Dolin Iny koło Recza” (PLH 320004), „Dolina Kąpieli” (PLH 320005), „Kemy Rymańskie”(PLH 320012), „Ostoja Goleniowska” (PLH 320013), „Wolin i Uznam” (PLH 320019), „Dolina Rurzycy”(PLH 300017).</w:t>
            </w:r>
            <w:r>
              <w:rPr>
                <w:rFonts w:eastAsia="ArialUnicodeMS" w:cs="ArialUnicodeMS"/>
                <w:szCs w:val="24"/>
              </w:rPr>
              <w:t xml:space="preserve"> </w:t>
            </w:r>
          </w:p>
          <w:p w14:paraId="795B44CC" w14:textId="77777777" w:rsidR="00B83214" w:rsidRPr="00FD4295" w:rsidRDefault="00B83214" w:rsidP="00B83214">
            <w:pPr>
              <w:autoSpaceDE w:val="0"/>
              <w:autoSpaceDN w:val="0"/>
              <w:adjustRightInd w:val="0"/>
              <w:cnfStyle w:val="000000000000" w:firstRow="0" w:lastRow="0" w:firstColumn="0" w:lastColumn="0" w:oddVBand="0" w:evenVBand="0" w:oddHBand="0" w:evenHBand="0" w:firstRowFirstColumn="0" w:firstRowLastColumn="0" w:lastRowFirstColumn="0" w:lastRowLastColumn="0"/>
              <w:rPr>
                <w:b/>
                <w:szCs w:val="24"/>
              </w:rPr>
            </w:pPr>
            <w:r w:rsidRPr="00FD4295">
              <w:rPr>
                <w:rFonts w:eastAsia="ArialUnicodeMS" w:cs="ArialUnicodeMS"/>
                <w:szCs w:val="24"/>
              </w:rPr>
              <w:t>Torfowiska mszarne przejściowe oraz wysokie żywe lub zdegradowane, ale zdolne do regeneracji to m.in.: „Bobolickie Jeziora Lobeliowe” (PLH 320001), „Dolina Grabowej” (PLH 320003), „Janiewickie Bagno” (PLH 320008) oraz „Jeziora Szczecineckie” (PLH 320009) i „Słowińskie Błota” (PLH 320016) z bardzo dobrze zachowanymi torfowiskami bałtyckimi,</w:t>
            </w:r>
          </w:p>
        </w:tc>
      </w:tr>
      <w:tr w:rsidR="00B83214" w:rsidRPr="00FD4295" w14:paraId="6B617F00" w14:textId="77777777" w:rsidTr="00B83214">
        <w:tc>
          <w:tcPr>
            <w:cnfStyle w:val="001000000000" w:firstRow="0" w:lastRow="0" w:firstColumn="1" w:lastColumn="0" w:oddVBand="0" w:evenVBand="0" w:oddHBand="0" w:evenHBand="0" w:firstRowFirstColumn="0" w:firstRowLastColumn="0" w:lastRowFirstColumn="0" w:lastRowLastColumn="0"/>
            <w:tcW w:w="3539" w:type="dxa"/>
          </w:tcPr>
          <w:p w14:paraId="556CF424" w14:textId="77777777" w:rsidR="00B83214" w:rsidRPr="00FD4295" w:rsidRDefault="00B83214" w:rsidP="00B83214">
            <w:pPr>
              <w:rPr>
                <w:b w:val="0"/>
                <w:szCs w:val="24"/>
              </w:rPr>
            </w:pPr>
            <w:r w:rsidRPr="00FD4295">
              <w:rPr>
                <w:b w:val="0"/>
                <w:szCs w:val="24"/>
              </w:rPr>
              <w:t>Roślinność łąk i pastwisk</w:t>
            </w:r>
          </w:p>
          <w:p w14:paraId="4FDEF37A" w14:textId="77777777" w:rsidR="00B83214" w:rsidRPr="00FD4295" w:rsidRDefault="00B83214" w:rsidP="00B83214">
            <w:pPr>
              <w:rPr>
                <w:szCs w:val="24"/>
              </w:rPr>
            </w:pPr>
            <w:r w:rsidRPr="00FD4295">
              <w:rPr>
                <w:szCs w:val="24"/>
              </w:rPr>
              <w:t>(roślinność ekosystemów łąkowych, kwaśne łąki trzęślicowe, łąki kaczyńcowe, roślinność ekosystemów pastwiskowych)</w:t>
            </w:r>
          </w:p>
        </w:tc>
        <w:tc>
          <w:tcPr>
            <w:tcW w:w="10490" w:type="dxa"/>
          </w:tcPr>
          <w:p w14:paraId="372F6676" w14:textId="77777777" w:rsidR="00B83214" w:rsidRDefault="00B83214" w:rsidP="00B83214">
            <w:pPr>
              <w:autoSpaceDE w:val="0"/>
              <w:autoSpaceDN w:val="0"/>
              <w:adjustRightInd w:val="0"/>
              <w:cnfStyle w:val="000000000000" w:firstRow="0" w:lastRow="0" w:firstColumn="0" w:lastColumn="0" w:oddVBand="0" w:evenVBand="0" w:oddHBand="0" w:evenHBand="0" w:firstRowFirstColumn="0" w:firstRowLastColumn="0" w:lastRowFirstColumn="0" w:lastRowLastColumn="0"/>
              <w:rPr>
                <w:szCs w:val="24"/>
              </w:rPr>
            </w:pPr>
            <w:r>
              <w:rPr>
                <w:szCs w:val="24"/>
              </w:rPr>
              <w:t>Kompleks łąk nakredowych</w:t>
            </w:r>
            <w:r w:rsidRPr="00FD4295">
              <w:rPr>
                <w:szCs w:val="24"/>
              </w:rPr>
              <w:t xml:space="preserve"> z roślinnością łąk trzęślicowych – Pojezierze Myśliborskie, cenne siedliska na niskiej terasie jeziora Miedwie i na odsłoniętych brzegach jezior w dolinie Płoni – „Dolina Płoni i Jezioro Miedwie” (PLH 320006), łąka trzęślicowa z turzycą pchlą – „Bagna Rozwarowskie” (PLB 320001) </w:t>
            </w:r>
          </w:p>
          <w:p w14:paraId="307AA039" w14:textId="77777777" w:rsidR="00B83214" w:rsidRPr="00FD4295" w:rsidRDefault="00B83214" w:rsidP="00B83214">
            <w:pPr>
              <w:autoSpaceDE w:val="0"/>
              <w:autoSpaceDN w:val="0"/>
              <w:adjustRightInd w:val="0"/>
              <w:cnfStyle w:val="000000000000" w:firstRow="0" w:lastRow="0" w:firstColumn="0" w:lastColumn="0" w:oddVBand="0" w:evenVBand="0" w:oddHBand="0" w:evenHBand="0" w:firstRowFirstColumn="0" w:firstRowLastColumn="0" w:lastRowFirstColumn="0" w:lastRowLastColumn="0"/>
              <w:rPr>
                <w:szCs w:val="24"/>
              </w:rPr>
            </w:pPr>
            <w:r w:rsidRPr="00FD4295">
              <w:rPr>
                <w:szCs w:val="24"/>
              </w:rPr>
              <w:t xml:space="preserve">Łąki pełnikowe chronione są w rezerwacie przyrody „Gogolewo”, w „Dolinie Krąpieli” (PLH 320005). Pod Bobolicami największe powierzchnie łąk pełnikowych – „Dolina Radwi, Chocieli i Chotli” (PLH 320022). Siedlisko pełnikowe znajduje się </w:t>
            </w:r>
            <w:r>
              <w:rPr>
                <w:szCs w:val="24"/>
              </w:rPr>
              <w:t xml:space="preserve">także </w:t>
            </w:r>
            <w:r w:rsidRPr="00FD4295">
              <w:rPr>
                <w:szCs w:val="24"/>
              </w:rPr>
              <w:t>w Ińskim Parku Krajobrazowym – „Ostoja Ińska” (PLB 320008).</w:t>
            </w:r>
          </w:p>
        </w:tc>
      </w:tr>
      <w:tr w:rsidR="00B83214" w:rsidRPr="00FD4295" w14:paraId="144797B1" w14:textId="77777777" w:rsidTr="00B83214">
        <w:tc>
          <w:tcPr>
            <w:cnfStyle w:val="001000000000" w:firstRow="0" w:lastRow="0" w:firstColumn="1" w:lastColumn="0" w:oddVBand="0" w:evenVBand="0" w:oddHBand="0" w:evenHBand="0" w:firstRowFirstColumn="0" w:firstRowLastColumn="0" w:lastRowFirstColumn="0" w:lastRowLastColumn="0"/>
            <w:tcW w:w="3539" w:type="dxa"/>
          </w:tcPr>
          <w:p w14:paraId="16520A1B" w14:textId="77777777" w:rsidR="00B83214" w:rsidRPr="000703D1" w:rsidRDefault="00B83214" w:rsidP="00B83214">
            <w:pPr>
              <w:tabs>
                <w:tab w:val="left" w:pos="33"/>
              </w:tabs>
              <w:rPr>
                <w:szCs w:val="24"/>
              </w:rPr>
            </w:pPr>
            <w:r>
              <w:rPr>
                <w:szCs w:val="24"/>
              </w:rPr>
              <w:tab/>
            </w:r>
            <w:r w:rsidRPr="000703D1">
              <w:rPr>
                <w:szCs w:val="24"/>
              </w:rPr>
              <w:t>Roślinność ekosystemów kserotermicznych i napiaskowych</w:t>
            </w:r>
          </w:p>
        </w:tc>
        <w:tc>
          <w:tcPr>
            <w:tcW w:w="10490" w:type="dxa"/>
          </w:tcPr>
          <w:p w14:paraId="645A5EE2" w14:textId="77777777" w:rsidR="00B83214" w:rsidRDefault="00B83214" w:rsidP="00B83214">
            <w:pPr>
              <w:autoSpaceDE w:val="0"/>
              <w:autoSpaceDN w:val="0"/>
              <w:adjustRightInd w:val="0"/>
              <w:cnfStyle w:val="000000000000" w:firstRow="0" w:lastRow="0" w:firstColumn="0" w:lastColumn="0" w:oddVBand="0" w:evenVBand="0" w:oddHBand="0" w:evenHBand="0" w:firstRowFirstColumn="0" w:firstRowLastColumn="0" w:lastRowFirstColumn="0" w:lastRowLastColumn="0"/>
              <w:rPr>
                <w:szCs w:val="24"/>
              </w:rPr>
            </w:pPr>
            <w:r w:rsidRPr="00FD4295">
              <w:rPr>
                <w:szCs w:val="24"/>
              </w:rPr>
              <w:t>Murawy piaskowe występują nie tylko na krawędziach Odry, ale także</w:t>
            </w:r>
            <w:r>
              <w:rPr>
                <w:szCs w:val="24"/>
              </w:rPr>
              <w:t xml:space="preserve"> </w:t>
            </w:r>
            <w:r w:rsidRPr="00FD4295">
              <w:rPr>
                <w:szCs w:val="24"/>
              </w:rPr>
              <w:t>w rozproszeniu na całym terenie, na piaszczyskach sandrowych u czoła wałów morenowych po ich</w:t>
            </w:r>
            <w:r>
              <w:rPr>
                <w:szCs w:val="24"/>
              </w:rPr>
              <w:t xml:space="preserve"> </w:t>
            </w:r>
            <w:r w:rsidRPr="00FD4295">
              <w:rPr>
                <w:szCs w:val="24"/>
              </w:rPr>
              <w:t>stronie południowej, na wydmach śródlądowych, na otwartych powierzchniach pochodzenia</w:t>
            </w:r>
            <w:r>
              <w:rPr>
                <w:szCs w:val="24"/>
              </w:rPr>
              <w:t xml:space="preserve"> </w:t>
            </w:r>
            <w:r w:rsidRPr="00FD4295">
              <w:rPr>
                <w:szCs w:val="24"/>
              </w:rPr>
              <w:t xml:space="preserve">antropogenicznego. </w:t>
            </w:r>
          </w:p>
          <w:p w14:paraId="79F70354" w14:textId="77777777" w:rsidR="00B83214" w:rsidRPr="00FD4295" w:rsidRDefault="00B83214" w:rsidP="00B83214">
            <w:pPr>
              <w:autoSpaceDE w:val="0"/>
              <w:autoSpaceDN w:val="0"/>
              <w:adjustRightInd w:val="0"/>
              <w:cnfStyle w:val="000000000000" w:firstRow="0" w:lastRow="0" w:firstColumn="0" w:lastColumn="0" w:oddVBand="0" w:evenVBand="0" w:oddHBand="0" w:evenHBand="0" w:firstRowFirstColumn="0" w:firstRowLastColumn="0" w:lastRowFirstColumn="0" w:lastRowLastColumn="0"/>
              <w:rPr>
                <w:szCs w:val="24"/>
              </w:rPr>
            </w:pPr>
            <w:r w:rsidRPr="00FD4295">
              <w:rPr>
                <w:szCs w:val="24"/>
              </w:rPr>
              <w:t>Suche wrzosowiska rozprzestrzenione są szerzej na Pomorzu Zachodnim –</w:t>
            </w:r>
            <w:r>
              <w:rPr>
                <w:szCs w:val="24"/>
              </w:rPr>
              <w:t xml:space="preserve"> </w:t>
            </w:r>
            <w:r w:rsidRPr="00FD4295">
              <w:rPr>
                <w:szCs w:val="24"/>
              </w:rPr>
              <w:t>opanowały wielkimi łanami dawne poligony radzieckie w lasach Nadleśnictwa Białogard i koło miejscowości Borne Sulinowo, gdzie utworzono obszar specjalnej</w:t>
            </w:r>
            <w:r>
              <w:rPr>
                <w:szCs w:val="24"/>
              </w:rPr>
              <w:t xml:space="preserve"> </w:t>
            </w:r>
            <w:r w:rsidRPr="00FD4295">
              <w:rPr>
                <w:szCs w:val="24"/>
              </w:rPr>
              <w:t>ochrony siedlisk „Diabelskie Pustacie” (PLH 320048).</w:t>
            </w:r>
            <w:r>
              <w:rPr>
                <w:szCs w:val="24"/>
              </w:rPr>
              <w:t xml:space="preserve"> </w:t>
            </w:r>
          </w:p>
        </w:tc>
      </w:tr>
      <w:tr w:rsidR="00B83214" w:rsidRPr="00FD4295" w14:paraId="2E95AE79" w14:textId="77777777" w:rsidTr="00B83214">
        <w:tc>
          <w:tcPr>
            <w:cnfStyle w:val="001000000000" w:firstRow="0" w:lastRow="0" w:firstColumn="1" w:lastColumn="0" w:oddVBand="0" w:evenVBand="0" w:oddHBand="0" w:evenHBand="0" w:firstRowFirstColumn="0" w:firstRowLastColumn="0" w:lastRowFirstColumn="0" w:lastRowLastColumn="0"/>
            <w:tcW w:w="3539" w:type="dxa"/>
          </w:tcPr>
          <w:p w14:paraId="1993239D" w14:textId="77777777" w:rsidR="00B83214" w:rsidRPr="00D07DA2" w:rsidRDefault="00B83214" w:rsidP="00B83214">
            <w:pPr>
              <w:rPr>
                <w:szCs w:val="24"/>
              </w:rPr>
            </w:pPr>
            <w:r w:rsidRPr="00D07DA2">
              <w:rPr>
                <w:szCs w:val="24"/>
              </w:rPr>
              <w:t>Roślinność ekosystemów strefy wybrzeża morskiego</w:t>
            </w:r>
          </w:p>
        </w:tc>
        <w:tc>
          <w:tcPr>
            <w:tcW w:w="10490" w:type="dxa"/>
          </w:tcPr>
          <w:p w14:paraId="3CCA0E5C" w14:textId="77777777" w:rsidR="00B83214" w:rsidRPr="00FD4295"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Pr>
                <w:szCs w:val="24"/>
              </w:rPr>
              <w:t>Zbiorowiska</w:t>
            </w:r>
            <w:r w:rsidRPr="00B91248">
              <w:rPr>
                <w:szCs w:val="24"/>
              </w:rPr>
              <w:t xml:space="preserve"> roślinne zasiedlające kidzinę </w:t>
            </w:r>
            <w:r>
              <w:rPr>
                <w:szCs w:val="24"/>
              </w:rPr>
              <w:t>są</w:t>
            </w:r>
            <w:r w:rsidRPr="00B91248">
              <w:rPr>
                <w:szCs w:val="24"/>
              </w:rPr>
              <w:t xml:space="preserve"> ubogie florystycznie, bardzo</w:t>
            </w:r>
            <w:r>
              <w:rPr>
                <w:szCs w:val="24"/>
              </w:rPr>
              <w:t xml:space="preserve"> </w:t>
            </w:r>
            <w:r w:rsidRPr="00B91248">
              <w:rPr>
                <w:szCs w:val="24"/>
              </w:rPr>
              <w:t>luźne, utworzone przez rośliny jednoroczne</w:t>
            </w:r>
            <w:r>
              <w:rPr>
                <w:szCs w:val="24"/>
              </w:rPr>
              <w:t xml:space="preserve">. </w:t>
            </w:r>
            <w:r>
              <w:rPr>
                <w:rFonts w:eastAsia="ArialUnicodeMS"/>
              </w:rPr>
              <w:t>W strefie wa</w:t>
            </w:r>
            <w:r>
              <w:rPr>
                <w:rFonts w:eastAsia="ArialUnicodeMS" w:hint="eastAsia"/>
              </w:rPr>
              <w:t>ł</w:t>
            </w:r>
            <w:r>
              <w:rPr>
                <w:rFonts w:eastAsia="ArialUnicodeMS"/>
              </w:rPr>
              <w:t>u brzegowego wyst</w:t>
            </w:r>
            <w:r>
              <w:rPr>
                <w:rFonts w:eastAsia="ArialUnicodeMS" w:hint="eastAsia"/>
              </w:rPr>
              <w:t>ę</w:t>
            </w:r>
            <w:r>
              <w:rPr>
                <w:rFonts w:eastAsia="ArialUnicodeMS"/>
              </w:rPr>
              <w:t>puje m.in. zesp</w:t>
            </w:r>
            <w:r>
              <w:rPr>
                <w:rFonts w:eastAsia="ArialUnicodeMS" w:hint="eastAsia"/>
              </w:rPr>
              <w:t>ół</w:t>
            </w:r>
            <w:r>
              <w:rPr>
                <w:rFonts w:eastAsia="ArialUnicodeMS"/>
              </w:rPr>
              <w:t xml:space="preserve"> </w:t>
            </w:r>
            <w:r>
              <w:rPr>
                <w:rFonts w:eastAsia="ArialUnicodeMS" w:hint="eastAsia"/>
              </w:rPr>
              <w:t>ł</w:t>
            </w:r>
            <w:r>
              <w:rPr>
                <w:rFonts w:eastAsia="ArialUnicodeMS"/>
              </w:rPr>
              <w:t>obody nadbrze</w:t>
            </w:r>
            <w:r>
              <w:rPr>
                <w:rFonts w:eastAsia="ArialUnicodeMS" w:hint="eastAsia"/>
              </w:rPr>
              <w:t>ż</w:t>
            </w:r>
            <w:r>
              <w:rPr>
                <w:rFonts w:eastAsia="ArialUnicodeMS"/>
              </w:rPr>
              <w:t>nej, zesp</w:t>
            </w:r>
            <w:r>
              <w:rPr>
                <w:rFonts w:eastAsia="ArialUnicodeMS" w:hint="eastAsia"/>
              </w:rPr>
              <w:t>ół</w:t>
            </w:r>
            <w:r>
              <w:rPr>
                <w:rFonts w:eastAsia="ArialUnicodeMS"/>
              </w:rPr>
              <w:t xml:space="preserve"> perzu sitowego. Zbiorowiska wydm nadmorskich odgrywaj</w:t>
            </w:r>
            <w:r>
              <w:rPr>
                <w:rFonts w:eastAsia="ArialUnicodeMS" w:hint="eastAsia"/>
              </w:rPr>
              <w:t>ą</w:t>
            </w:r>
            <w:r>
              <w:rPr>
                <w:rFonts w:eastAsia="ArialUnicodeMS"/>
              </w:rPr>
              <w:t xml:space="preserve"> istotn</w:t>
            </w:r>
            <w:r>
              <w:rPr>
                <w:rFonts w:eastAsia="ArialUnicodeMS" w:hint="eastAsia"/>
              </w:rPr>
              <w:t>ą</w:t>
            </w:r>
            <w:r>
              <w:rPr>
                <w:rFonts w:eastAsia="ArialUnicodeMS"/>
              </w:rPr>
              <w:t xml:space="preserve"> rol</w:t>
            </w:r>
            <w:r>
              <w:rPr>
                <w:rFonts w:eastAsia="ArialUnicodeMS" w:hint="eastAsia"/>
              </w:rPr>
              <w:t>ę</w:t>
            </w:r>
            <w:r>
              <w:rPr>
                <w:rFonts w:eastAsia="ArialUnicodeMS"/>
              </w:rPr>
              <w:t xml:space="preserve"> w biologicznej zabudowie i ochronie wybrze</w:t>
            </w:r>
            <w:r>
              <w:rPr>
                <w:rFonts w:eastAsia="ArialUnicodeMS" w:hint="eastAsia"/>
              </w:rPr>
              <w:t>ż</w:t>
            </w:r>
            <w:r>
              <w:rPr>
                <w:rFonts w:eastAsia="ArialUnicodeMS"/>
              </w:rPr>
              <w:t>a ze wzgl</w:t>
            </w:r>
            <w:r>
              <w:rPr>
                <w:rFonts w:eastAsia="ArialUnicodeMS" w:hint="eastAsia"/>
              </w:rPr>
              <w:t>ę</w:t>
            </w:r>
            <w:r>
              <w:rPr>
                <w:rFonts w:eastAsia="ArialUnicodeMS"/>
              </w:rPr>
              <w:t>du na utrwalanie ruchomych piask</w:t>
            </w:r>
            <w:r>
              <w:rPr>
                <w:rFonts w:eastAsia="ArialUnicodeMS" w:hint="eastAsia"/>
              </w:rPr>
              <w:t>ó</w:t>
            </w:r>
            <w:r>
              <w:rPr>
                <w:rFonts w:eastAsia="ArialUnicodeMS"/>
              </w:rPr>
              <w:t>w akumulowanych w procesach eolicznych. Najwa</w:t>
            </w:r>
            <w:r>
              <w:rPr>
                <w:rFonts w:eastAsia="ArialUnicodeMS" w:hint="eastAsia"/>
              </w:rPr>
              <w:t>ż</w:t>
            </w:r>
            <w:r>
              <w:rPr>
                <w:rFonts w:eastAsia="ArialUnicodeMS"/>
              </w:rPr>
              <w:t>niejszym zbiorowiskiem w procesie rozwoju wydm nadmorskich jest zbiorowisko traw pionierskich wydm przednich. G</w:t>
            </w:r>
            <w:r>
              <w:rPr>
                <w:rFonts w:eastAsia="ArialUnicodeMS" w:hint="eastAsia"/>
              </w:rPr>
              <w:t>łó</w:t>
            </w:r>
            <w:r>
              <w:rPr>
                <w:rFonts w:eastAsia="ArialUnicodeMS"/>
              </w:rPr>
              <w:t>wne gatunki to m.in. piaskownica zwyczajna oraz wydmuchrzyca piaskowa. Utrwalone wydmy pokrywaj</w:t>
            </w:r>
            <w:r>
              <w:rPr>
                <w:rFonts w:eastAsia="ArialUnicodeMS" w:hint="eastAsia"/>
              </w:rPr>
              <w:t>ą</w:t>
            </w:r>
            <w:r>
              <w:rPr>
                <w:rFonts w:eastAsia="ArialUnicodeMS"/>
              </w:rPr>
              <w:t xml:space="preserve"> liczne gatunki ro</w:t>
            </w:r>
            <w:r>
              <w:rPr>
                <w:rFonts w:eastAsia="ArialUnicodeMS" w:hint="eastAsia"/>
              </w:rPr>
              <w:t>ś</w:t>
            </w:r>
            <w:r>
              <w:rPr>
                <w:rFonts w:eastAsia="ArialUnicodeMS"/>
              </w:rPr>
              <w:t>lin zielnych i mch</w:t>
            </w:r>
            <w:r>
              <w:rPr>
                <w:rFonts w:eastAsia="ArialUnicodeMS" w:hint="eastAsia"/>
              </w:rPr>
              <w:t>ó</w:t>
            </w:r>
            <w:r>
              <w:rPr>
                <w:rFonts w:eastAsia="ArialUnicodeMS"/>
              </w:rPr>
              <w:t>w czerpi</w:t>
            </w:r>
            <w:r>
              <w:rPr>
                <w:rFonts w:eastAsia="ArialUnicodeMS" w:hint="eastAsia"/>
              </w:rPr>
              <w:t>ą</w:t>
            </w:r>
            <w:r>
              <w:rPr>
                <w:rFonts w:eastAsia="ArialUnicodeMS"/>
              </w:rPr>
              <w:t>cych sk</w:t>
            </w:r>
            <w:r>
              <w:rPr>
                <w:rFonts w:eastAsia="ArialUnicodeMS" w:hint="eastAsia"/>
              </w:rPr>
              <w:t>ł</w:t>
            </w:r>
            <w:r>
              <w:rPr>
                <w:rFonts w:eastAsia="ArialUnicodeMS"/>
              </w:rPr>
              <w:t>adniki od</w:t>
            </w:r>
            <w:r>
              <w:rPr>
                <w:rFonts w:eastAsia="ArialUnicodeMS" w:hint="eastAsia"/>
              </w:rPr>
              <w:t>ż</w:t>
            </w:r>
            <w:r>
              <w:rPr>
                <w:rFonts w:eastAsia="ArialUnicodeMS"/>
              </w:rPr>
              <w:t>ywcze z tworz</w:t>
            </w:r>
            <w:r>
              <w:rPr>
                <w:rFonts w:eastAsia="ArialUnicodeMS" w:hint="eastAsia"/>
              </w:rPr>
              <w:t>ą</w:t>
            </w:r>
            <w:r>
              <w:rPr>
                <w:rFonts w:eastAsia="ArialUnicodeMS"/>
              </w:rPr>
              <w:t>cej si</w:t>
            </w:r>
            <w:r>
              <w:rPr>
                <w:rFonts w:eastAsia="ArialUnicodeMS" w:hint="eastAsia"/>
              </w:rPr>
              <w:t>ę</w:t>
            </w:r>
            <w:r>
              <w:rPr>
                <w:rFonts w:eastAsia="ArialUnicodeMS"/>
              </w:rPr>
              <w:t xml:space="preserve"> gleby wzbogaconej w obumar</w:t>
            </w:r>
            <w:r>
              <w:rPr>
                <w:rFonts w:eastAsia="ArialUnicodeMS" w:hint="eastAsia"/>
              </w:rPr>
              <w:t>ł</w:t>
            </w:r>
            <w:r>
              <w:rPr>
                <w:rFonts w:eastAsia="ArialUnicodeMS"/>
              </w:rPr>
              <w:t>e szcz</w:t>
            </w:r>
            <w:r>
              <w:rPr>
                <w:rFonts w:eastAsia="ArialUnicodeMS" w:hint="eastAsia"/>
              </w:rPr>
              <w:t>ą</w:t>
            </w:r>
            <w:r>
              <w:rPr>
                <w:rFonts w:eastAsia="ArialUnicodeMS"/>
              </w:rPr>
              <w:t>tki traw pionierskich. Pojawiaj</w:t>
            </w:r>
            <w:r>
              <w:rPr>
                <w:rFonts w:eastAsia="ArialUnicodeMS" w:hint="eastAsia"/>
              </w:rPr>
              <w:t>ą</w:t>
            </w:r>
            <w:r>
              <w:rPr>
                <w:rFonts w:eastAsia="ArialUnicodeMS"/>
              </w:rPr>
              <w:t xml:space="preserve"> si</w:t>
            </w:r>
            <w:r>
              <w:rPr>
                <w:rFonts w:eastAsia="ArialUnicodeMS" w:hint="eastAsia"/>
              </w:rPr>
              <w:t>ę</w:t>
            </w:r>
            <w:r>
              <w:rPr>
                <w:rFonts w:eastAsia="ArialUnicodeMS"/>
              </w:rPr>
              <w:t xml:space="preserve"> tu m.in. jastrz</w:t>
            </w:r>
            <w:r>
              <w:rPr>
                <w:rFonts w:eastAsia="ArialUnicodeMS" w:hint="eastAsia"/>
              </w:rPr>
              <w:t>ę</w:t>
            </w:r>
            <w:r>
              <w:rPr>
                <w:rFonts w:eastAsia="ArialUnicodeMS"/>
              </w:rPr>
              <w:t>biec baldaszkowaty, kocanki piaskowe, bylica polna, jasieniec piaskowy, groszek nadmorski, turzyca piaskowa, szczotlicha siwa, r</w:t>
            </w:r>
            <w:r>
              <w:rPr>
                <w:rFonts w:eastAsia="ArialUnicodeMS" w:hint="eastAsia"/>
              </w:rPr>
              <w:t>óż</w:t>
            </w:r>
            <w:r>
              <w:rPr>
                <w:rFonts w:eastAsia="ArialUnicodeMS"/>
              </w:rPr>
              <w:t>ne gatunki wierzb oraz mchy i porosty. Osobliwo</w:t>
            </w:r>
            <w:r>
              <w:rPr>
                <w:rFonts w:eastAsia="ArialUnicodeMS" w:hint="eastAsia"/>
              </w:rPr>
              <w:t>ś</w:t>
            </w:r>
            <w:r>
              <w:rPr>
                <w:rFonts w:eastAsia="ArialUnicodeMS"/>
              </w:rPr>
              <w:t>ci</w:t>
            </w:r>
            <w:r>
              <w:rPr>
                <w:rFonts w:eastAsia="ArialUnicodeMS" w:hint="eastAsia"/>
              </w:rPr>
              <w:t>ą</w:t>
            </w:r>
            <w:r>
              <w:rPr>
                <w:rFonts w:eastAsia="ArialUnicodeMS"/>
              </w:rPr>
              <w:t xml:space="preserve"> wybrze</w:t>
            </w:r>
            <w:r>
              <w:rPr>
                <w:rFonts w:eastAsia="ArialUnicodeMS" w:hint="eastAsia"/>
              </w:rPr>
              <w:t>ż</w:t>
            </w:r>
            <w:r>
              <w:rPr>
                <w:rFonts w:eastAsia="ArialUnicodeMS"/>
              </w:rPr>
              <w:t>a ba</w:t>
            </w:r>
            <w:r>
              <w:rPr>
                <w:rFonts w:eastAsia="ArialUnicodeMS" w:hint="eastAsia"/>
              </w:rPr>
              <w:t>ł</w:t>
            </w:r>
            <w:r>
              <w:rPr>
                <w:rFonts w:eastAsia="ArialUnicodeMS"/>
              </w:rPr>
              <w:t>tyckiego jest porastaj</w:t>
            </w:r>
            <w:r>
              <w:rPr>
                <w:rFonts w:eastAsia="ArialUnicodeMS" w:hint="eastAsia"/>
              </w:rPr>
              <w:t>ą</w:t>
            </w:r>
            <w:r>
              <w:rPr>
                <w:rFonts w:eastAsia="ArialUnicodeMS"/>
              </w:rPr>
              <w:t>cy wa</w:t>
            </w:r>
            <w:r>
              <w:rPr>
                <w:rFonts w:eastAsia="ArialUnicodeMS" w:hint="eastAsia"/>
              </w:rPr>
              <w:t>ł</w:t>
            </w:r>
            <w:r>
              <w:rPr>
                <w:rFonts w:eastAsia="ArialUnicodeMS"/>
              </w:rPr>
              <w:t>y nadmorskich starych wydm las o szczeg</w:t>
            </w:r>
            <w:r>
              <w:rPr>
                <w:rFonts w:eastAsia="ArialUnicodeMS" w:hint="eastAsia"/>
              </w:rPr>
              <w:t>ó</w:t>
            </w:r>
            <w:r>
              <w:rPr>
                <w:rFonts w:eastAsia="ArialUnicodeMS"/>
              </w:rPr>
              <w:t>lnym sk</w:t>
            </w:r>
            <w:r>
              <w:rPr>
                <w:rFonts w:eastAsia="ArialUnicodeMS" w:hint="eastAsia"/>
              </w:rPr>
              <w:t>ł</w:t>
            </w:r>
            <w:r>
              <w:rPr>
                <w:rFonts w:eastAsia="ArialUnicodeMS"/>
              </w:rPr>
              <w:t>adzie florystycznym i fizjonomii, jakim jest nadmorski b</w:t>
            </w:r>
            <w:r>
              <w:rPr>
                <w:rFonts w:eastAsia="ArialUnicodeMS" w:hint="eastAsia"/>
              </w:rPr>
              <w:t>ó</w:t>
            </w:r>
            <w:r>
              <w:rPr>
                <w:rFonts w:eastAsia="ArialUnicodeMS"/>
              </w:rPr>
              <w:t>r ba</w:t>
            </w:r>
            <w:r>
              <w:rPr>
                <w:rFonts w:eastAsia="ArialUnicodeMS" w:hint="eastAsia"/>
              </w:rPr>
              <w:t>ż</w:t>
            </w:r>
            <w:r>
              <w:rPr>
                <w:rFonts w:eastAsia="ArialUnicodeMS"/>
              </w:rPr>
              <w:t>ynowy. Obszarami Natura 2000, w kt</w:t>
            </w:r>
            <w:r>
              <w:rPr>
                <w:rFonts w:eastAsia="ArialUnicodeMS" w:hint="eastAsia"/>
              </w:rPr>
              <w:t>ó</w:t>
            </w:r>
            <w:r>
              <w:rPr>
                <w:rFonts w:eastAsia="ArialUnicodeMS"/>
              </w:rPr>
              <w:t>rych wyst</w:t>
            </w:r>
            <w:r>
              <w:rPr>
                <w:rFonts w:eastAsia="ArialUnicodeMS" w:hint="eastAsia"/>
              </w:rPr>
              <w:t>ę</w:t>
            </w:r>
            <w:r>
              <w:rPr>
                <w:rFonts w:eastAsia="ArialUnicodeMS"/>
              </w:rPr>
              <w:t>puj</w:t>
            </w:r>
            <w:r>
              <w:rPr>
                <w:rFonts w:eastAsia="ArialUnicodeMS" w:hint="eastAsia"/>
              </w:rPr>
              <w:t>ą</w:t>
            </w:r>
            <w:r>
              <w:rPr>
                <w:rFonts w:eastAsia="ArialUnicodeMS"/>
              </w:rPr>
              <w:t xml:space="preserve"> siedliska s</w:t>
            </w:r>
            <w:r>
              <w:rPr>
                <w:rFonts w:eastAsia="ArialUnicodeMS" w:hint="eastAsia"/>
              </w:rPr>
              <w:t>ą</w:t>
            </w:r>
            <w:r>
              <w:rPr>
                <w:rFonts w:eastAsia="ArialUnicodeMS"/>
              </w:rPr>
              <w:t>: Trzebiatowsko-Ko</w:t>
            </w:r>
            <w:r>
              <w:rPr>
                <w:rFonts w:eastAsia="ArialUnicodeMS" w:hint="eastAsia"/>
              </w:rPr>
              <w:t>ł</w:t>
            </w:r>
            <w:r>
              <w:rPr>
                <w:rFonts w:eastAsia="ArialUnicodeMS"/>
              </w:rPr>
              <w:t>obrzeski Pas Nadmorski (PLH 320017), Wolin i Uznam (PLH 320019).</w:t>
            </w:r>
          </w:p>
        </w:tc>
      </w:tr>
      <w:tr w:rsidR="00B83214" w:rsidRPr="00FD4295" w14:paraId="332214B6" w14:textId="77777777" w:rsidTr="00B83214">
        <w:tc>
          <w:tcPr>
            <w:cnfStyle w:val="001000000000" w:firstRow="0" w:lastRow="0" w:firstColumn="1" w:lastColumn="0" w:oddVBand="0" w:evenVBand="0" w:oddHBand="0" w:evenHBand="0" w:firstRowFirstColumn="0" w:firstRowLastColumn="0" w:lastRowFirstColumn="0" w:lastRowLastColumn="0"/>
            <w:tcW w:w="3539" w:type="dxa"/>
          </w:tcPr>
          <w:p w14:paraId="3F5323A3" w14:textId="77777777" w:rsidR="00B83214" w:rsidRPr="00D07DA2" w:rsidRDefault="00B83214" w:rsidP="00B83214">
            <w:pPr>
              <w:rPr>
                <w:szCs w:val="24"/>
              </w:rPr>
            </w:pPr>
            <w:r w:rsidRPr="00D07DA2">
              <w:rPr>
                <w:szCs w:val="24"/>
              </w:rPr>
              <w:t xml:space="preserve">Roślinność ekosystemów leśnych </w:t>
            </w:r>
          </w:p>
        </w:tc>
        <w:tc>
          <w:tcPr>
            <w:tcW w:w="10490" w:type="dxa"/>
          </w:tcPr>
          <w:p w14:paraId="738AE939" w14:textId="77777777" w:rsidR="00B83214" w:rsidRPr="00FD4295" w:rsidRDefault="00B83214" w:rsidP="00B83214">
            <w:pPr>
              <w:spacing w:before="0"/>
              <w:cnfStyle w:val="000000000000" w:firstRow="0" w:lastRow="0" w:firstColumn="0" w:lastColumn="0" w:oddVBand="0" w:evenVBand="0" w:oddHBand="0" w:evenHBand="0" w:firstRowFirstColumn="0" w:firstRowLastColumn="0" w:lastRowFirstColumn="0" w:lastRowLastColumn="0"/>
              <w:rPr>
                <w:szCs w:val="24"/>
              </w:rPr>
            </w:pPr>
            <w:r>
              <w:rPr>
                <w:szCs w:val="24"/>
              </w:rPr>
              <w:t>Przeważająca c</w:t>
            </w:r>
            <w:r w:rsidRPr="00B91248">
              <w:rPr>
                <w:szCs w:val="24"/>
              </w:rPr>
              <w:t>zęść terenów</w:t>
            </w:r>
            <w:r>
              <w:rPr>
                <w:szCs w:val="24"/>
              </w:rPr>
              <w:t xml:space="preserve"> </w:t>
            </w:r>
            <w:r w:rsidRPr="00B91248">
              <w:rPr>
                <w:szCs w:val="24"/>
              </w:rPr>
              <w:t>zalesionych znajduje się głównie w części południowej i wschodniej</w:t>
            </w:r>
            <w:r>
              <w:rPr>
                <w:szCs w:val="24"/>
              </w:rPr>
              <w:t xml:space="preserve">. </w:t>
            </w:r>
            <w:r>
              <w:rPr>
                <w:rFonts w:eastAsia="ArialUnicodeMS"/>
              </w:rPr>
              <w:t>Zwarte kompleksy le</w:t>
            </w:r>
            <w:r>
              <w:rPr>
                <w:rFonts w:eastAsia="ArialUnicodeMS" w:hint="eastAsia"/>
              </w:rPr>
              <w:t>ś</w:t>
            </w:r>
            <w:r>
              <w:rPr>
                <w:rFonts w:eastAsia="ArialUnicodeMS"/>
              </w:rPr>
              <w:t>ne reprezentowane s</w:t>
            </w:r>
            <w:r>
              <w:rPr>
                <w:rFonts w:eastAsia="ArialUnicodeMS" w:hint="eastAsia"/>
              </w:rPr>
              <w:t>ą</w:t>
            </w:r>
            <w:r>
              <w:rPr>
                <w:rFonts w:eastAsia="ArialUnicodeMS"/>
              </w:rPr>
              <w:t xml:space="preserve"> przez puszcze: Bukow</w:t>
            </w:r>
            <w:r>
              <w:rPr>
                <w:rFonts w:eastAsia="ArialUnicodeMS" w:hint="eastAsia"/>
              </w:rPr>
              <w:t>ą</w:t>
            </w:r>
            <w:r>
              <w:rPr>
                <w:rFonts w:eastAsia="ArialUnicodeMS"/>
              </w:rPr>
              <w:t>, Goleniowsk</w:t>
            </w:r>
            <w:r>
              <w:rPr>
                <w:rFonts w:eastAsia="ArialUnicodeMS" w:hint="eastAsia"/>
              </w:rPr>
              <w:t>ą</w:t>
            </w:r>
            <w:r>
              <w:rPr>
                <w:rFonts w:eastAsia="ArialUnicodeMS"/>
              </w:rPr>
              <w:t>, Piaskow</w:t>
            </w:r>
            <w:r>
              <w:rPr>
                <w:rFonts w:eastAsia="ArialUnicodeMS" w:hint="eastAsia"/>
              </w:rPr>
              <w:t>ą</w:t>
            </w:r>
            <w:r>
              <w:rPr>
                <w:rFonts w:eastAsia="ArialUnicodeMS"/>
              </w:rPr>
              <w:t>, Wkrza</w:t>
            </w:r>
            <w:r>
              <w:rPr>
                <w:rFonts w:eastAsia="ArialUnicodeMS" w:hint="eastAsia"/>
              </w:rPr>
              <w:t>ń</w:t>
            </w:r>
            <w:r>
              <w:rPr>
                <w:rFonts w:eastAsia="ArialUnicodeMS"/>
              </w:rPr>
              <w:t>sk</w:t>
            </w:r>
            <w:r>
              <w:rPr>
                <w:rFonts w:eastAsia="ArialUnicodeMS" w:hint="eastAsia"/>
              </w:rPr>
              <w:t>ą</w:t>
            </w:r>
            <w:r>
              <w:rPr>
                <w:rFonts w:eastAsia="ArialUnicodeMS"/>
              </w:rPr>
              <w:t>, Wa</w:t>
            </w:r>
            <w:r>
              <w:rPr>
                <w:rFonts w:eastAsia="ArialUnicodeMS" w:hint="eastAsia"/>
              </w:rPr>
              <w:t>ł</w:t>
            </w:r>
            <w:r>
              <w:rPr>
                <w:rFonts w:eastAsia="ArialUnicodeMS"/>
              </w:rPr>
              <w:t>eck</w:t>
            </w:r>
            <w:r>
              <w:rPr>
                <w:rFonts w:eastAsia="ArialUnicodeMS" w:hint="eastAsia"/>
              </w:rPr>
              <w:t>ą</w:t>
            </w:r>
            <w:r>
              <w:rPr>
                <w:rFonts w:eastAsia="ArialUnicodeMS"/>
              </w:rPr>
              <w:t xml:space="preserve"> (lasy wa</w:t>
            </w:r>
            <w:r>
              <w:rPr>
                <w:rFonts w:eastAsia="ArialUnicodeMS" w:hint="eastAsia"/>
              </w:rPr>
              <w:t>ł</w:t>
            </w:r>
            <w:r>
              <w:rPr>
                <w:rFonts w:eastAsia="ArialUnicodeMS"/>
              </w:rPr>
              <w:t>ecko-drawskie), Miasteck</w:t>
            </w:r>
            <w:r>
              <w:rPr>
                <w:rFonts w:eastAsia="ArialUnicodeMS" w:hint="eastAsia"/>
              </w:rPr>
              <w:t>ą</w:t>
            </w:r>
            <w:r>
              <w:rPr>
                <w:rFonts w:eastAsia="ArialUnicodeMS"/>
              </w:rPr>
              <w:t xml:space="preserve"> (lasy miastecko-bytowskie). Wi</w:t>
            </w:r>
            <w:r>
              <w:rPr>
                <w:rFonts w:eastAsia="ArialUnicodeMS" w:hint="eastAsia"/>
              </w:rPr>
              <w:t>ę</w:t>
            </w:r>
            <w:r>
              <w:rPr>
                <w:rFonts w:eastAsia="ArialUnicodeMS"/>
              </w:rPr>
              <w:t>ksze kompleksy stanowi</w:t>
            </w:r>
            <w:r>
              <w:rPr>
                <w:rFonts w:eastAsia="ArialUnicodeMS" w:hint="eastAsia"/>
              </w:rPr>
              <w:t>ą</w:t>
            </w:r>
            <w:r>
              <w:rPr>
                <w:rFonts w:eastAsia="ArialUnicodeMS"/>
              </w:rPr>
              <w:t xml:space="preserve"> lasy koszali</w:t>
            </w:r>
            <w:r>
              <w:rPr>
                <w:rFonts w:eastAsia="ArialUnicodeMS" w:hint="eastAsia"/>
              </w:rPr>
              <w:t>ń</w:t>
            </w:r>
            <w:r>
              <w:rPr>
                <w:rFonts w:eastAsia="ArialUnicodeMS"/>
              </w:rPr>
              <w:t>sko-bia</w:t>
            </w:r>
            <w:r>
              <w:rPr>
                <w:rFonts w:eastAsia="ArialUnicodeMS" w:hint="eastAsia"/>
              </w:rPr>
              <w:t>ł</w:t>
            </w:r>
            <w:r>
              <w:rPr>
                <w:rFonts w:eastAsia="ArialUnicodeMS"/>
              </w:rPr>
              <w:t>ogardzkie oraz cz</w:t>
            </w:r>
            <w:r>
              <w:rPr>
                <w:rFonts w:eastAsia="ArialUnicodeMS" w:hint="eastAsia"/>
              </w:rPr>
              <w:t>ł</w:t>
            </w:r>
            <w:r>
              <w:rPr>
                <w:rFonts w:eastAsia="ArialUnicodeMS"/>
              </w:rPr>
              <w:t xml:space="preserve">uchowsko-szczecineckie. </w:t>
            </w:r>
            <w:r w:rsidRPr="00BA6DBE">
              <w:rPr>
                <w:rFonts w:eastAsia="ArialUnicodeMS"/>
              </w:rPr>
              <w:t>Pomimo tak dużej różnorodności siedlisk krajobraz lasów w województwie zachodniopomorskim ma</w:t>
            </w:r>
            <w:r>
              <w:rPr>
                <w:rFonts w:eastAsia="ArialUnicodeMS"/>
              </w:rPr>
              <w:t xml:space="preserve"> </w:t>
            </w:r>
            <w:r w:rsidRPr="00BA6DBE">
              <w:rPr>
                <w:rFonts w:eastAsia="ArialUnicodeMS"/>
              </w:rPr>
              <w:t>charakter monokulturowy. W strukturze powierzchniowej gatunków prawie 70% stanowi</w:t>
            </w:r>
            <w:r>
              <w:rPr>
                <w:rFonts w:eastAsia="ArialUnicodeMS"/>
              </w:rPr>
              <w:t xml:space="preserve"> </w:t>
            </w:r>
            <w:r w:rsidRPr="00BA6DBE">
              <w:rPr>
                <w:rFonts w:eastAsia="ArialUnicodeMS"/>
              </w:rPr>
              <w:t>sosna, występująca we wszystkich przedziałach wiekowych.</w:t>
            </w:r>
          </w:p>
        </w:tc>
      </w:tr>
    </w:tbl>
    <w:p w14:paraId="3D815E43" w14:textId="77777777" w:rsidR="00B83214" w:rsidRDefault="00B83214" w:rsidP="00B83214">
      <w:pPr>
        <w:pStyle w:val="rdo"/>
      </w:pPr>
      <w:r>
        <w:rPr>
          <w:szCs w:val="24"/>
        </w:rPr>
        <w:t xml:space="preserve">Źródło: Opracowano na podstawie: </w:t>
      </w:r>
      <w:r w:rsidRPr="00D80D84">
        <w:t>Aktualizacja</w:t>
      </w:r>
      <w:r>
        <w:t xml:space="preserve"> Opracowania Ekofizjograficznego do Projektu Zmiany Planu Zagospodarowania Przestrzennego Województwa Zachodniopomorskiego, Szczecin, 2018</w:t>
      </w:r>
    </w:p>
    <w:p w14:paraId="270A0982" w14:textId="77777777" w:rsidR="00B83214" w:rsidRDefault="00B83214" w:rsidP="00B83214">
      <w:pPr>
        <w:spacing w:line="276" w:lineRule="auto"/>
        <w:sectPr w:rsidR="00B83214" w:rsidSect="006E38B9">
          <w:pgSz w:w="16838" w:h="11906" w:orient="landscape"/>
          <w:pgMar w:top="1417" w:right="1417" w:bottom="1417" w:left="1417" w:header="708" w:footer="708" w:gutter="0"/>
          <w:pgNumType w:fmt="lowerRoman"/>
          <w:cols w:space="708"/>
          <w:titlePg/>
          <w:docGrid w:linePitch="360"/>
        </w:sectPr>
      </w:pPr>
    </w:p>
    <w:p w14:paraId="471B798C" w14:textId="77777777" w:rsidR="00B83214" w:rsidRPr="005E3B1F" w:rsidRDefault="00B83214" w:rsidP="00B83214">
      <w:pPr>
        <w:pBdr>
          <w:bottom w:val="single" w:sz="6" w:space="1" w:color="549E39" w:themeColor="accent1"/>
        </w:pBdr>
        <w:spacing w:before="200" w:after="0"/>
        <w:outlineLvl w:val="4"/>
        <w:rPr>
          <w:caps/>
          <w:color w:val="3E762A" w:themeColor="accent1" w:themeShade="BF"/>
          <w:spacing w:val="10"/>
          <w:szCs w:val="24"/>
        </w:rPr>
      </w:pPr>
      <w:r w:rsidRPr="005E3B1F">
        <w:rPr>
          <w:caps/>
          <w:color w:val="3E762A" w:themeColor="accent1" w:themeShade="BF"/>
          <w:spacing w:val="10"/>
          <w:szCs w:val="24"/>
        </w:rPr>
        <w:t>FAUNA</w:t>
      </w:r>
    </w:p>
    <w:p w14:paraId="0412C7FB" w14:textId="77777777" w:rsidR="00B83214" w:rsidRPr="004F629C" w:rsidRDefault="00B83214" w:rsidP="00B83214">
      <w:pPr>
        <w:rPr>
          <w:rFonts w:eastAsia="ArialUnicodeMS"/>
          <w:szCs w:val="24"/>
        </w:rPr>
      </w:pPr>
      <w:r w:rsidRPr="00B47D75">
        <w:rPr>
          <w:rFonts w:eastAsia="ArialUnicodeMS"/>
        </w:rPr>
        <w:t>Stan poznania i monitorowania fauny w województwie jest zróżnicowany</w:t>
      </w:r>
      <w:r w:rsidRPr="00B47D75">
        <w:t>, a najlepiej rozpoznaną grupę stanowi awifauna, ichtiofauna i herpetofauna. Fauna Pomorza Zachodniego jest względnie młoda, bowiem kształtowała się po ustąpieniu ostatniego zlodowacenia. Rozmaitość siedlisk wynika z występowania długiej strefy pobrzeża Bałtyku wraz z wyspami Uznam i Wolin, szeregiem jezior mierzejowych i rzek przymorskich, rozbudowanego estuarium odrzańskiego, bagnist</w:t>
      </w:r>
      <w:r>
        <w:t xml:space="preserve">ego odcinka dolnego biegu Odry </w:t>
      </w:r>
      <w:r w:rsidRPr="00B47D75">
        <w:t xml:space="preserve">oraz urozmaiconej subglacjalnej rzeźby terenu Pojezierza Zachodniopomorskiego. </w:t>
      </w:r>
      <w:r w:rsidRPr="00B47D75">
        <w:rPr>
          <w:b/>
        </w:rPr>
        <w:t>Fauna ssaków</w:t>
      </w:r>
      <w:r w:rsidRPr="00B47D75">
        <w:t xml:space="preserve"> analizowanego terenu liczy ok. 38 gatunków. Wśród zagrożonych lub wymienione w II załączniku dyrek</w:t>
      </w:r>
      <w:r>
        <w:t>tywy siedliskowej gatunków występuje tu</w:t>
      </w:r>
      <w:r w:rsidRPr="00B47D75">
        <w:t>: rzęsorek mniejszy, nocek Bechsteina, nocek łydkowłosy, nocek duży, mroczek posrebrzany, mopek, borowiaczek (borowiec leśny, borowiec Leislera), bóbr europejski, chomik europejski, popielica, wi</w:t>
      </w:r>
      <w:r>
        <w:t xml:space="preserve">lk, wydra, foka szara, morświn. </w:t>
      </w:r>
      <w:r w:rsidRPr="00F82C7B">
        <w:rPr>
          <w:szCs w:val="24"/>
        </w:rPr>
        <w:t>Ponadto charakterystyczna dla Pomorza jest populacja żubrów, która powstała w wyniku reintrodukcji. W Wolińskim Parku Narodowym żubry utrzymywane są w zagrodzie pokazowej w Międzyzdrojach</w:t>
      </w:r>
      <w:r w:rsidRPr="00F82C7B">
        <w:rPr>
          <w:rStyle w:val="Odwoanieprzypisudolnego"/>
          <w:szCs w:val="24"/>
        </w:rPr>
        <w:footnoteReference w:id="49"/>
      </w:r>
      <w:r w:rsidRPr="00F82C7B">
        <w:rPr>
          <w:szCs w:val="24"/>
          <w:vertAlign w:val="superscript"/>
        </w:rPr>
        <w:t>,</w:t>
      </w:r>
      <w:r w:rsidRPr="00F82C7B">
        <w:rPr>
          <w:rStyle w:val="Odwoanieprzypisudolnego"/>
          <w:szCs w:val="24"/>
        </w:rPr>
        <w:footnoteReference w:id="50"/>
      </w:r>
      <w:r>
        <w:rPr>
          <w:szCs w:val="24"/>
          <w:vertAlign w:val="superscript"/>
        </w:rPr>
        <w:t>,</w:t>
      </w:r>
      <w:r>
        <w:rPr>
          <w:rStyle w:val="Odwoanieprzypisudolnego"/>
          <w:szCs w:val="24"/>
        </w:rPr>
        <w:footnoteReference w:id="51"/>
      </w:r>
      <w:r w:rsidRPr="00F82C7B">
        <w:rPr>
          <w:szCs w:val="24"/>
        </w:rPr>
        <w:t>.</w:t>
      </w:r>
      <w:r>
        <w:rPr>
          <w:szCs w:val="24"/>
        </w:rPr>
        <w:t xml:space="preserve"> </w:t>
      </w:r>
      <w:r w:rsidRPr="00F82C7B">
        <w:rPr>
          <w:szCs w:val="24"/>
        </w:rPr>
        <w:t xml:space="preserve">Wśród kręgowców w województwie zachodniopomorskim najliczniejszą grupę stanowią </w:t>
      </w:r>
      <w:r w:rsidRPr="00F82C7B">
        <w:rPr>
          <w:b/>
          <w:szCs w:val="24"/>
        </w:rPr>
        <w:t xml:space="preserve">ptaki </w:t>
      </w:r>
      <w:r w:rsidRPr="00F82C7B">
        <w:rPr>
          <w:szCs w:val="24"/>
        </w:rPr>
        <w:t xml:space="preserve">- ok. 350 gatunków. W rejonie Pomorza Zachodniego zimuje ok </w:t>
      </w:r>
      <w:r w:rsidRPr="00F82C7B">
        <w:rPr>
          <w:rFonts w:eastAsia="ArialUnicodeMS"/>
          <w:szCs w:val="24"/>
        </w:rPr>
        <w:t>40 gatunków ptaków, m.in.</w:t>
      </w:r>
      <w:r w:rsidRPr="00F82C7B">
        <w:rPr>
          <w:szCs w:val="24"/>
        </w:rPr>
        <w:t xml:space="preserve">: ogorzałka, czernica, nurogęś, kormoran. Największe znaczenie dla zimujących ptaków wodnych ma Zalew Szczeciński wraz z deltą Świny, Dolina Dolnej Odry, jeziora Miedwie i Dąbie oraz Zalew Kamieński. 82 gatunki ptaków </w:t>
      </w:r>
      <w:r>
        <w:rPr>
          <w:szCs w:val="24"/>
        </w:rPr>
        <w:t xml:space="preserve">wśród </w:t>
      </w:r>
      <w:r w:rsidRPr="00F82C7B">
        <w:rPr>
          <w:szCs w:val="24"/>
        </w:rPr>
        <w:t>występujących na terenie analizowanego województwa zostało uznane za szczególnie cenne ze względu na swoją rzadkość, znaczenie w ekosystemach, znajdujących się na czerwonych listach i w księgach gatunków zagrożonych w Polsce lub wskazanych w I załączniku</w:t>
      </w:r>
      <w:r w:rsidRPr="00B47D75">
        <w:t xml:space="preserve"> dyrektywy ptasiej, jako gatunki wymagające ochrony siedlisk w skali europejskiej (np. </w:t>
      </w:r>
      <w:r w:rsidRPr="00B47D75">
        <w:rPr>
          <w:rFonts w:eastAsia="ArialUnicodeMS"/>
        </w:rPr>
        <w:t>nur rdzawoszyi, bocian czarny, czapla siwa, kania czarna, orzeł przedni, rybitwa białowąsa, jerzyk, zimorodek, gąsiorek). Szczególne bogactwo jakościowe i ilościowe awifauny obserwuje się w pasie nadmorskim (głównie w obrębie przymorskich jezior), estuarium odrzańskim (Zalew Szczeciński, Kamieński, Dziwna, Świna, Zatoka Pomorska), dolin rzecznych (przede wszystkim Odry i Drawy), oraz w pasie pojezierzy, nad dużymi zbiornikami wodnymi. Z kolei obszary pokryte siecią drobnych zbiorników, torfowisk, półnaturalnyc</w:t>
      </w:r>
      <w:r>
        <w:rPr>
          <w:rFonts w:eastAsia="ArialUnicodeMS"/>
        </w:rPr>
        <w:t>h łąk i słonaw, jak również nie</w:t>
      </w:r>
      <w:r w:rsidRPr="00B47D75">
        <w:rPr>
          <w:rFonts w:eastAsia="ArialUnicodeMS"/>
        </w:rPr>
        <w:t>zdegradowane pod względem siedliskowym kompleksy leśne stanowią miejsce rozrodu i przebywania znaczących populacji lokalnych.</w:t>
      </w:r>
      <w:r>
        <w:rPr>
          <w:rFonts w:eastAsia="ArialUnicodeMS"/>
        </w:rPr>
        <w:t xml:space="preserve"> </w:t>
      </w:r>
      <w:r w:rsidRPr="00B47D75">
        <w:rPr>
          <w:rFonts w:eastAsia="ArialUnicodeMS"/>
          <w:b/>
        </w:rPr>
        <w:t>Herpetofauna</w:t>
      </w:r>
      <w:r w:rsidRPr="00B47D75">
        <w:rPr>
          <w:rFonts w:eastAsia="ArialUnicodeMS"/>
        </w:rPr>
        <w:t xml:space="preserve"> województwa zachodniopomorskiego składa się z 13 gatunków płazów i 7 gatunków</w:t>
      </w:r>
      <w:r>
        <w:rPr>
          <w:rFonts w:eastAsia="ArialUnicodeMS"/>
        </w:rPr>
        <w:t xml:space="preserve"> </w:t>
      </w:r>
      <w:r w:rsidRPr="00B47D75">
        <w:rPr>
          <w:rFonts w:eastAsia="ArialUnicodeMS"/>
        </w:rPr>
        <w:t>gadów. Wszystkie podlegają ochronie gatunkowej</w:t>
      </w:r>
      <w:r>
        <w:rPr>
          <w:rFonts w:eastAsia="ArialUnicodeMS"/>
        </w:rPr>
        <w:t>. Do gatunków rzadkich, zagrożonych oraz mających</w:t>
      </w:r>
      <w:r w:rsidRPr="00B47D75">
        <w:rPr>
          <w:rFonts w:eastAsia="ArialUnicodeMS"/>
        </w:rPr>
        <w:t xml:space="preserve"> znaczenie dla zachowania bioróżnorodności w skali</w:t>
      </w:r>
      <w:r>
        <w:rPr>
          <w:rFonts w:eastAsia="ArialUnicodeMS"/>
        </w:rPr>
        <w:t xml:space="preserve"> europejskiej należą</w:t>
      </w:r>
      <w:r w:rsidRPr="00B47D75">
        <w:rPr>
          <w:rFonts w:eastAsia="ArialUnicodeMS"/>
        </w:rPr>
        <w:t>: traszka grzebieniasta, kumak nizinny, huczek, ropucha zielona, ropucha</w:t>
      </w:r>
      <w:r>
        <w:rPr>
          <w:rFonts w:eastAsia="ArialUnicodeMS"/>
        </w:rPr>
        <w:t xml:space="preserve"> paskówka. Z kolei d</w:t>
      </w:r>
      <w:r w:rsidRPr="00B47D75">
        <w:rPr>
          <w:rFonts w:eastAsia="ArialUnicodeMS"/>
        </w:rPr>
        <w:t xml:space="preserve">o bardzo rzadkich i najcenniejszych </w:t>
      </w:r>
      <w:r>
        <w:rPr>
          <w:rFonts w:eastAsia="ArialUnicodeMS"/>
        </w:rPr>
        <w:t xml:space="preserve">gatunków gadów w województwie </w:t>
      </w:r>
      <w:r w:rsidRPr="00B47D75">
        <w:rPr>
          <w:rFonts w:eastAsia="ArialUnicodeMS"/>
        </w:rPr>
        <w:t>należą</w:t>
      </w:r>
      <w:r>
        <w:rPr>
          <w:rFonts w:eastAsia="ArialUnicodeMS"/>
        </w:rPr>
        <w:t xml:space="preserve">: </w:t>
      </w:r>
      <w:r w:rsidRPr="00B47D75">
        <w:rPr>
          <w:rFonts w:eastAsia="ArialUnicodeMS"/>
        </w:rPr>
        <w:t xml:space="preserve">gniewosz </w:t>
      </w:r>
      <w:r>
        <w:rPr>
          <w:rFonts w:eastAsia="ArialUnicodeMS"/>
        </w:rPr>
        <w:t xml:space="preserve">plamisty i </w:t>
      </w:r>
      <w:r w:rsidRPr="00B47D75">
        <w:rPr>
          <w:rFonts w:eastAsia="ArialUnicodeMS"/>
        </w:rPr>
        <w:t>żółw błotny</w:t>
      </w:r>
      <w:r>
        <w:rPr>
          <w:rFonts w:eastAsia="ArialUnicodeMS"/>
        </w:rPr>
        <w:t xml:space="preserve">. </w:t>
      </w:r>
      <w:r w:rsidRPr="006B103B">
        <w:rPr>
          <w:rFonts w:eastAsia="ArialUnicodeMS"/>
        </w:rPr>
        <w:t xml:space="preserve">Cechą charakterystyczną </w:t>
      </w:r>
      <w:r w:rsidRPr="006B103B">
        <w:rPr>
          <w:rFonts w:eastAsia="ArialUnicodeMS"/>
          <w:b/>
        </w:rPr>
        <w:t>ichtiofauny</w:t>
      </w:r>
      <w:r w:rsidRPr="006B103B">
        <w:rPr>
          <w:rFonts w:eastAsia="ArialUnicodeMS"/>
        </w:rPr>
        <w:t>, do której zaliczono minogi i ryby</w:t>
      </w:r>
      <w:r>
        <w:rPr>
          <w:rFonts w:eastAsia="ArialUnicodeMS"/>
        </w:rPr>
        <w:t>,</w:t>
      </w:r>
      <w:r w:rsidRPr="006B103B">
        <w:rPr>
          <w:rFonts w:eastAsia="ArialUnicodeMS"/>
        </w:rPr>
        <w:t xml:space="preserve"> jest występowanie gatunków</w:t>
      </w:r>
      <w:r>
        <w:rPr>
          <w:rFonts w:eastAsia="ArialUnicodeMS"/>
        </w:rPr>
        <w:t xml:space="preserve"> </w:t>
      </w:r>
      <w:r w:rsidRPr="006B103B">
        <w:rPr>
          <w:rFonts w:eastAsia="ArialUnicodeMS"/>
        </w:rPr>
        <w:t>dwuśrodowiskowych (anadromicznych), odbywających tarła w wodach słodkich i czasowo w nich</w:t>
      </w:r>
      <w:r>
        <w:rPr>
          <w:rFonts w:eastAsia="ArialUnicodeMS"/>
        </w:rPr>
        <w:t xml:space="preserve"> </w:t>
      </w:r>
      <w:r w:rsidRPr="006B103B">
        <w:rPr>
          <w:rFonts w:eastAsia="ArialUnicodeMS"/>
        </w:rPr>
        <w:t>przebywających, a następnie spływających do morza.</w:t>
      </w:r>
      <w:r w:rsidRPr="006B103B">
        <w:t xml:space="preserve"> </w:t>
      </w:r>
      <w:r w:rsidRPr="006B103B">
        <w:rPr>
          <w:rFonts w:eastAsia="ArialUnicodeMS"/>
        </w:rPr>
        <w:t>Akwenami o najbogatszej ichtiofaunie są rzeki Odra oraz Drawa</w:t>
      </w:r>
      <w:r>
        <w:rPr>
          <w:rFonts w:eastAsia="ArialUnicodeMS"/>
        </w:rPr>
        <w:t xml:space="preserve"> </w:t>
      </w:r>
      <w:r w:rsidRPr="006B103B">
        <w:rPr>
          <w:rFonts w:eastAsia="ArialUnicodeMS"/>
        </w:rPr>
        <w:t>w</w:t>
      </w:r>
      <w:r>
        <w:rPr>
          <w:rFonts w:eastAsia="ArialUnicodeMS"/>
        </w:rPr>
        <w:t>raz ze swoim dopływem Płociczną. Spośród 5</w:t>
      </w:r>
      <w:r w:rsidRPr="006B103B">
        <w:rPr>
          <w:rFonts w:eastAsia="ArialUnicodeMS"/>
        </w:rPr>
        <w:t xml:space="preserve"> gatunków minogów w Polsce,</w:t>
      </w:r>
      <w:r>
        <w:rPr>
          <w:rFonts w:eastAsia="ArialUnicodeMS"/>
        </w:rPr>
        <w:t xml:space="preserve"> 3</w:t>
      </w:r>
      <w:r w:rsidRPr="006B103B">
        <w:rPr>
          <w:rFonts w:eastAsia="ArialUnicodeMS"/>
        </w:rPr>
        <w:t xml:space="preserve"> występują na </w:t>
      </w:r>
      <w:r>
        <w:rPr>
          <w:rFonts w:eastAsia="ArialUnicodeMS"/>
        </w:rPr>
        <w:t xml:space="preserve">obszarze </w:t>
      </w:r>
      <w:r w:rsidRPr="006B103B">
        <w:rPr>
          <w:rFonts w:eastAsia="ArialUnicodeMS"/>
        </w:rPr>
        <w:t>województwa zachodniopomorskiego. Wszystkie one są uznawane za cenny,</w:t>
      </w:r>
      <w:r>
        <w:rPr>
          <w:rFonts w:eastAsia="ArialUnicodeMS"/>
        </w:rPr>
        <w:t xml:space="preserve"> </w:t>
      </w:r>
      <w:r w:rsidRPr="006B103B">
        <w:rPr>
          <w:rFonts w:eastAsia="ArialUnicodeMS"/>
        </w:rPr>
        <w:t>narażony na wyginięcie element fauny wodne</w:t>
      </w:r>
      <w:r>
        <w:rPr>
          <w:rFonts w:eastAsia="ArialUnicodeMS"/>
        </w:rPr>
        <w:t xml:space="preserve">j. Do szczególnie cennych gatunków ichtiofauny należą: </w:t>
      </w:r>
      <w:r w:rsidRPr="006B103B">
        <w:rPr>
          <w:rFonts w:eastAsia="ArialUnicodeMS"/>
        </w:rPr>
        <w:t>minóg</w:t>
      </w:r>
      <w:r>
        <w:rPr>
          <w:rFonts w:eastAsia="ArialUnicodeMS"/>
        </w:rPr>
        <w:t xml:space="preserve"> </w:t>
      </w:r>
      <w:r w:rsidRPr="006B103B">
        <w:rPr>
          <w:rFonts w:eastAsia="ArialUnicodeMS"/>
        </w:rPr>
        <w:t>strumieniowy, minóg rzeczny, minóg morski, aloza, parposz, łosoś, troć jeziorowa, lipień, głowacica, sieja,</w:t>
      </w:r>
      <w:r>
        <w:rPr>
          <w:rFonts w:eastAsia="ArialUnicodeMS"/>
        </w:rPr>
        <w:t xml:space="preserve"> </w:t>
      </w:r>
      <w:r w:rsidRPr="006B103B">
        <w:rPr>
          <w:rFonts w:eastAsia="ArialUnicodeMS"/>
        </w:rPr>
        <w:t>sielawa, boleń, różanka, strzebla przekopowa, piskorz, koza, koza złotawa, certa, ciosa, piekielnica,</w:t>
      </w:r>
      <w:r>
        <w:rPr>
          <w:rFonts w:eastAsia="ArialUnicodeMS"/>
        </w:rPr>
        <w:t xml:space="preserve"> </w:t>
      </w:r>
      <w:r w:rsidRPr="006B103B">
        <w:rPr>
          <w:rFonts w:eastAsia="ArialUnicodeMS"/>
        </w:rPr>
        <w:t>brzana, kiełb białopłetwy, miętus, iglicznia, dennik, głowacz białopłetwy</w:t>
      </w:r>
      <w:r>
        <w:rPr>
          <w:rFonts w:eastAsia="ArialUnicodeMS"/>
        </w:rPr>
        <w:t>. Warto także dodać, iż w</w:t>
      </w:r>
      <w:r w:rsidRPr="006B103B">
        <w:rPr>
          <w:rFonts w:eastAsia="ArialUnicodeMS"/>
        </w:rPr>
        <w:t xml:space="preserve"> jeziorze</w:t>
      </w:r>
      <w:r>
        <w:rPr>
          <w:rFonts w:eastAsia="ArialUnicodeMS"/>
        </w:rPr>
        <w:t xml:space="preserve"> </w:t>
      </w:r>
      <w:r w:rsidRPr="006B103B">
        <w:rPr>
          <w:rFonts w:eastAsia="ArialUnicodeMS"/>
        </w:rPr>
        <w:t>Miedwie występuje unikatowy podgatunek siei miedwiańskiej</w:t>
      </w:r>
      <w:r>
        <w:rPr>
          <w:rFonts w:eastAsia="ArialUnicodeMS"/>
        </w:rPr>
        <w:t xml:space="preserve">. </w:t>
      </w:r>
      <w:r w:rsidRPr="00A35D93">
        <w:rPr>
          <w:rFonts w:eastAsia="ArialUnicodeMS"/>
          <w:b/>
        </w:rPr>
        <w:t xml:space="preserve">Bezkręgowce </w:t>
      </w:r>
      <w:r w:rsidRPr="006B103B">
        <w:rPr>
          <w:rFonts w:eastAsia="ArialUnicodeMS"/>
        </w:rPr>
        <w:t>to najliczniejsza i</w:t>
      </w:r>
      <w:r>
        <w:rPr>
          <w:rFonts w:eastAsia="ArialUnicodeMS"/>
        </w:rPr>
        <w:t xml:space="preserve"> najbardziej rozpowszechniona, </w:t>
      </w:r>
      <w:r w:rsidRPr="006B103B">
        <w:rPr>
          <w:rFonts w:eastAsia="ArialUnicodeMS"/>
        </w:rPr>
        <w:t>jednocześnie najsłabiej rozpoznana grupa</w:t>
      </w:r>
      <w:r>
        <w:rPr>
          <w:rFonts w:eastAsia="ArialUnicodeMS"/>
        </w:rPr>
        <w:t xml:space="preserve"> </w:t>
      </w:r>
      <w:r w:rsidRPr="006B103B">
        <w:rPr>
          <w:rFonts w:eastAsia="ArialUnicodeMS"/>
        </w:rPr>
        <w:t>systematyczna zwierząt</w:t>
      </w:r>
      <w:r>
        <w:rPr>
          <w:rFonts w:eastAsia="ArialUnicodeMS"/>
        </w:rPr>
        <w:t xml:space="preserve"> w województwie zachodniopomorskim. </w:t>
      </w:r>
      <w:r w:rsidRPr="006B103B">
        <w:rPr>
          <w:rFonts w:eastAsia="ArialUnicodeMS"/>
        </w:rPr>
        <w:t>Do</w:t>
      </w:r>
      <w:r>
        <w:rPr>
          <w:rFonts w:eastAsia="ArialUnicodeMS"/>
        </w:rPr>
        <w:t xml:space="preserve"> </w:t>
      </w:r>
      <w:r w:rsidRPr="006B103B">
        <w:rPr>
          <w:rFonts w:eastAsia="ArialUnicodeMS"/>
        </w:rPr>
        <w:t xml:space="preserve">najcenniejszych gatunków </w:t>
      </w:r>
      <w:r w:rsidRPr="00A35D93">
        <w:rPr>
          <w:rFonts w:eastAsia="ArialUnicodeMS"/>
        </w:rPr>
        <w:t>fauny bezkręgowej</w:t>
      </w:r>
      <w:r>
        <w:rPr>
          <w:rFonts w:eastAsia="ArialUnicodeMS"/>
        </w:rPr>
        <w:t xml:space="preserve"> na analizowanym obszarze należy: </w:t>
      </w:r>
      <w:r w:rsidRPr="006B103B">
        <w:rPr>
          <w:rFonts w:eastAsia="ArialUnicodeMS"/>
          <w:i/>
        </w:rPr>
        <w:t>Hirudo medicinalis</w:t>
      </w:r>
      <w:r w:rsidRPr="006B103B">
        <w:rPr>
          <w:rFonts w:eastAsia="ArialUnicodeMS"/>
        </w:rPr>
        <w:t xml:space="preserve"> (pijawka lekarska), </w:t>
      </w:r>
      <w:r w:rsidRPr="006B103B">
        <w:rPr>
          <w:rFonts w:eastAsia="ArialUnicodeMS"/>
          <w:i/>
        </w:rPr>
        <w:t>Dina lineata</w:t>
      </w:r>
      <w:r w:rsidRPr="006B103B">
        <w:rPr>
          <w:rFonts w:eastAsia="ArialUnicodeMS"/>
        </w:rPr>
        <w:t xml:space="preserve"> i </w:t>
      </w:r>
      <w:r w:rsidRPr="006B103B">
        <w:rPr>
          <w:rFonts w:eastAsia="ArialUnicodeMS"/>
          <w:i/>
        </w:rPr>
        <w:t>Dina stschegolewi</w:t>
      </w:r>
      <w:r>
        <w:rPr>
          <w:rFonts w:eastAsia="ArialUnicodeMS"/>
          <w:i/>
        </w:rPr>
        <w:t xml:space="preserve">. </w:t>
      </w:r>
      <w:r>
        <w:rPr>
          <w:rFonts w:eastAsia="ArialUnicodeMS"/>
        </w:rPr>
        <w:t>Najcenniejsi przedstawiciele</w:t>
      </w:r>
      <w:r w:rsidRPr="0088081B">
        <w:rPr>
          <w:rFonts w:eastAsia="ArialUnicodeMS"/>
        </w:rPr>
        <w:t xml:space="preserve"> </w:t>
      </w:r>
      <w:r w:rsidRPr="00A35D93">
        <w:rPr>
          <w:rFonts w:eastAsia="ArialUnicodeMS"/>
        </w:rPr>
        <w:t>skorupiaków</w:t>
      </w:r>
      <w:r w:rsidRPr="0088081B">
        <w:rPr>
          <w:rFonts w:eastAsia="ArialUnicodeMS"/>
        </w:rPr>
        <w:t xml:space="preserve"> w zachodniopomorskim </w:t>
      </w:r>
      <w:r>
        <w:rPr>
          <w:rFonts w:eastAsia="ArialUnicodeMS"/>
        </w:rPr>
        <w:t>to</w:t>
      </w:r>
      <w:r w:rsidRPr="0088081B">
        <w:rPr>
          <w:rFonts w:eastAsia="ArialUnicodeMS"/>
        </w:rPr>
        <w:t>: rak szlachetny,</w:t>
      </w:r>
      <w:r>
        <w:rPr>
          <w:rFonts w:eastAsia="ArialUnicodeMS"/>
        </w:rPr>
        <w:t xml:space="preserve"> </w:t>
      </w:r>
      <w:r w:rsidRPr="0088081B">
        <w:rPr>
          <w:rFonts w:eastAsia="ArialUnicodeMS"/>
        </w:rPr>
        <w:t xml:space="preserve">rak błotny, </w:t>
      </w:r>
      <w:r w:rsidRPr="0088081B">
        <w:rPr>
          <w:rFonts w:eastAsia="ArialUnicodeMS"/>
          <w:i/>
        </w:rPr>
        <w:t>Mysis relicta</w:t>
      </w:r>
      <w:r w:rsidRPr="0088081B">
        <w:rPr>
          <w:rFonts w:eastAsia="ArialUnicodeMS"/>
        </w:rPr>
        <w:t xml:space="preserve">, </w:t>
      </w:r>
      <w:r w:rsidRPr="0088081B">
        <w:rPr>
          <w:rFonts w:eastAsia="ArialUnicodeMS"/>
          <w:i/>
        </w:rPr>
        <w:t>Pallasea quadrispinosa</w:t>
      </w:r>
      <w:r w:rsidRPr="0088081B">
        <w:rPr>
          <w:rFonts w:eastAsia="ArialUnicodeMS"/>
        </w:rPr>
        <w:t xml:space="preserve"> oraz zmieraczek plażowy</w:t>
      </w:r>
      <w:r>
        <w:rPr>
          <w:rFonts w:eastAsia="ArialUnicodeMS"/>
        </w:rPr>
        <w:t xml:space="preserve">. </w:t>
      </w:r>
      <w:r w:rsidRPr="0088081B">
        <w:rPr>
          <w:rFonts w:eastAsia="ArialUnicodeMS"/>
        </w:rPr>
        <w:t xml:space="preserve">Nowymi gatunkami skorupiaków </w:t>
      </w:r>
      <w:r>
        <w:rPr>
          <w:rFonts w:eastAsia="ArialUnicodeMS"/>
        </w:rPr>
        <w:t>na analizowanym terenie</w:t>
      </w:r>
      <w:r w:rsidRPr="0088081B">
        <w:rPr>
          <w:rFonts w:eastAsia="ArialUnicodeMS"/>
        </w:rPr>
        <w:t xml:space="preserve"> w ciągu ostatnich lat stały się</w:t>
      </w:r>
      <w:r>
        <w:rPr>
          <w:rFonts w:eastAsia="ArialUnicodeMS"/>
        </w:rPr>
        <w:t>:</w:t>
      </w:r>
      <w:r w:rsidRPr="0088081B">
        <w:rPr>
          <w:rFonts w:eastAsia="ArialUnicodeMS"/>
        </w:rPr>
        <w:t xml:space="preserve"> krab wełnistoręki</w:t>
      </w:r>
      <w:r>
        <w:rPr>
          <w:rFonts w:eastAsia="ArialUnicodeMS"/>
        </w:rPr>
        <w:t xml:space="preserve"> </w:t>
      </w:r>
      <w:r w:rsidRPr="0088081B">
        <w:rPr>
          <w:rFonts w:eastAsia="ArialUnicodeMS"/>
        </w:rPr>
        <w:t>oraz rak sygnałowy</w:t>
      </w:r>
      <w:r>
        <w:rPr>
          <w:rFonts w:eastAsia="ArialUnicodeMS"/>
        </w:rPr>
        <w:t>. Z kolei najcenniejszymi gatunkami ważek są:</w:t>
      </w:r>
      <w:r w:rsidRPr="004F629C">
        <w:rPr>
          <w:rFonts w:eastAsia="ArialUnicodeMS"/>
          <w:szCs w:val="24"/>
        </w:rPr>
        <w:t xml:space="preserve"> iglica mała, łątka ozdobna, łątka jeziorna, straszka północna, szklarnik leśny, </w:t>
      </w:r>
      <w:r w:rsidRPr="004F629C">
        <w:rPr>
          <w:szCs w:val="24"/>
        </w:rPr>
        <w:t>zalotka większa, zalotka białoczelna, zalotka spłaszczona, trzepla zielona, żagnica południowa, żagnica północna, żagnica zielona, żagnica torfowa, żagnica torfowiskowa. Z kolei gatunek piechotek leśny (przedstawiciel prostoskrzydłych) o</w:t>
      </w:r>
      <w:r w:rsidRPr="004F629C">
        <w:rPr>
          <w:rFonts w:eastAsia="ArialUnicodeMS"/>
          <w:szCs w:val="24"/>
        </w:rPr>
        <w:t>dnotowany został na pojedynczych stanowiskach zlokalizowanych w gminach: Wolin, Stare Czarnowo, Rewal i Cedynia. Chrząszcze stanowią najbogatszą w gatunki grupę owadów, wiele z nich podlega chronione i/lub zaliczane są do gatunków zagrożonych (m.in.: pływak szerokobrzeżek, kreślinek nizinny, tęcznik liszkarz, biegacz zwężony, biegacz obrzeżony, ciołek matowy, jelonek rogacz, borodziej cieśla, kozioróg dębosz, pachnica dębowa). Na obszarze województwa wyróżniono 31 cennych gatunków</w:t>
      </w:r>
      <w:r>
        <w:rPr>
          <w:rFonts w:eastAsia="ArialUnicodeMS"/>
          <w:szCs w:val="24"/>
        </w:rPr>
        <w:t xml:space="preserve"> </w:t>
      </w:r>
      <w:r w:rsidRPr="004F629C">
        <w:rPr>
          <w:rFonts w:eastAsia="ArialUnicodeMS"/>
          <w:szCs w:val="24"/>
        </w:rPr>
        <w:t>motyli (m.in. paź żeglarz, czerwończyk nieparek, niedźwiedziówka hebe, niedźwiedziówka włodarka, przeplatka aurinia) oraz cenne gatunki błonkówek m.in. porobnica włochatka, trzmiel ozdobny, trzmiel paskowany.</w:t>
      </w:r>
      <w:r>
        <w:rPr>
          <w:rFonts w:eastAsia="ArialUnicodeMS"/>
          <w:szCs w:val="24"/>
        </w:rPr>
        <w:t xml:space="preserve"> </w:t>
      </w:r>
      <w:r w:rsidRPr="004F629C">
        <w:rPr>
          <w:rFonts w:eastAsia="ArialUnicodeMS"/>
          <w:szCs w:val="24"/>
        </w:rPr>
        <w:t xml:space="preserve">Do </w:t>
      </w:r>
      <w:r w:rsidRPr="004F629C">
        <w:rPr>
          <w:rFonts w:eastAsia="ArialUnicodeMS" w:cs="ArialUnicodeMS"/>
          <w:szCs w:val="24"/>
        </w:rPr>
        <w:t>cennych gatunków pajęczaków należą m.in: tygrzyk paskowany, podskocz krasny, wymyk szarawy, krzyżnik tanecznik.</w:t>
      </w:r>
      <w:r w:rsidRPr="004F629C">
        <w:rPr>
          <w:szCs w:val="24"/>
        </w:rPr>
        <w:t xml:space="preserve"> R</w:t>
      </w:r>
      <w:r w:rsidRPr="004F629C">
        <w:rPr>
          <w:rFonts w:eastAsia="ArialUnicodeMS" w:cs="ArialUnicodeMS"/>
          <w:szCs w:val="24"/>
        </w:rPr>
        <w:t>zadkimi, a nawet krytycznie zagrożonymi wyginięciem gatunkami ślimaków w analizowanym województwie są: namułek pospolity</w:t>
      </w:r>
      <w:r>
        <w:rPr>
          <w:rFonts w:eastAsia="ArialUnicodeMS" w:cs="ArialUnicodeMS"/>
          <w:szCs w:val="24"/>
        </w:rPr>
        <w:t xml:space="preserve"> </w:t>
      </w:r>
      <w:r w:rsidRPr="004F629C">
        <w:rPr>
          <w:rFonts w:eastAsia="ArialUnicodeMS" w:cs="ArialUnicodeMS"/>
          <w:szCs w:val="24"/>
        </w:rPr>
        <w:t xml:space="preserve">oraz zawójka rzeczna. Do </w:t>
      </w:r>
      <w:r>
        <w:rPr>
          <w:rFonts w:eastAsia="ArialUnicodeMS" w:cs="ArialUnicodeMS"/>
          <w:szCs w:val="24"/>
        </w:rPr>
        <w:t xml:space="preserve">interesujących </w:t>
      </w:r>
      <w:r w:rsidRPr="004F629C">
        <w:rPr>
          <w:rFonts w:eastAsia="ArialUnicodeMS" w:cs="ArialUnicodeMS"/>
          <w:szCs w:val="24"/>
        </w:rPr>
        <w:t xml:space="preserve">rodzimych małży należy zaliczyć skójkę </w:t>
      </w:r>
      <w:r w:rsidRPr="004F629C">
        <w:rPr>
          <w:rFonts w:eastAsia="ArialUnicodeMS" w:cs="ArialUnicodeMS"/>
          <w:i/>
          <w:szCs w:val="24"/>
        </w:rPr>
        <w:t>Unio crassus</w:t>
      </w:r>
      <w:r>
        <w:rPr>
          <w:rStyle w:val="Odwoanieprzypisudolnego"/>
          <w:szCs w:val="24"/>
        </w:rPr>
        <w:footnoteReference w:id="52"/>
      </w:r>
      <w:r>
        <w:rPr>
          <w:rFonts w:eastAsia="ArialUnicodeMS" w:cs="ArialUnicodeMS"/>
          <w:i/>
          <w:szCs w:val="24"/>
        </w:rPr>
        <w:t>.</w:t>
      </w:r>
    </w:p>
    <w:p w14:paraId="5F8E8CAC" w14:textId="77777777" w:rsidR="00B83214" w:rsidRPr="005E3B1F" w:rsidRDefault="00B83214" w:rsidP="00B83214">
      <w:pPr>
        <w:pBdr>
          <w:bottom w:val="single" w:sz="6" w:space="1" w:color="549E39" w:themeColor="accent1"/>
        </w:pBdr>
        <w:spacing w:before="200" w:after="0"/>
        <w:outlineLvl w:val="4"/>
        <w:rPr>
          <w:caps/>
          <w:color w:val="3E762A" w:themeColor="accent1" w:themeShade="BF"/>
          <w:spacing w:val="10"/>
          <w:szCs w:val="24"/>
        </w:rPr>
      </w:pPr>
      <w:r w:rsidRPr="005E3B1F">
        <w:rPr>
          <w:caps/>
          <w:color w:val="3E762A" w:themeColor="accent1" w:themeShade="BF"/>
          <w:spacing w:val="10"/>
          <w:szCs w:val="24"/>
        </w:rPr>
        <w:t>Korytarze ekologiczne</w:t>
      </w:r>
    </w:p>
    <w:p w14:paraId="7AB78DEE" w14:textId="77777777" w:rsidR="00B83214" w:rsidRPr="00607EAF" w:rsidRDefault="00B83214" w:rsidP="00B83214">
      <w:pPr>
        <w:rPr>
          <w:szCs w:val="24"/>
        </w:rPr>
      </w:pPr>
      <w:r>
        <w:rPr>
          <w:szCs w:val="24"/>
        </w:rPr>
        <w:t>Według</w:t>
      </w:r>
      <w:r w:rsidRPr="002A35C0">
        <w:rPr>
          <w:szCs w:val="24"/>
        </w:rPr>
        <w:t xml:space="preserve"> ustawy z dn. 16 kwietnia 2004 r. o ochronie przyrody</w:t>
      </w:r>
      <w:r>
        <w:rPr>
          <w:rStyle w:val="Odwoanieprzypisudolnego"/>
          <w:szCs w:val="24"/>
        </w:rPr>
        <w:footnoteReference w:id="53"/>
      </w:r>
      <w:r>
        <w:rPr>
          <w:szCs w:val="24"/>
        </w:rPr>
        <w:t xml:space="preserve"> </w:t>
      </w:r>
      <w:r w:rsidRPr="002A35C0">
        <w:rPr>
          <w:szCs w:val="24"/>
        </w:rPr>
        <w:t xml:space="preserve">korytarz ekologiczny to </w:t>
      </w:r>
      <w:r>
        <w:rPr>
          <w:szCs w:val="24"/>
        </w:rPr>
        <w:t>„</w:t>
      </w:r>
      <w:r w:rsidRPr="005D6E9D">
        <w:rPr>
          <w:i/>
          <w:szCs w:val="24"/>
        </w:rPr>
        <w:t>obszar umożliwiający migrację roślin, zwierząt lub grzybów</w:t>
      </w:r>
      <w:r>
        <w:rPr>
          <w:szCs w:val="24"/>
        </w:rPr>
        <w:t>”</w:t>
      </w:r>
      <w:r w:rsidRPr="002A35C0">
        <w:rPr>
          <w:szCs w:val="24"/>
        </w:rPr>
        <w:t xml:space="preserve">. Korytarze ekologiczne </w:t>
      </w:r>
      <w:r>
        <w:rPr>
          <w:szCs w:val="24"/>
        </w:rPr>
        <w:t xml:space="preserve">odgrywają szczególna rolę </w:t>
      </w:r>
      <w:r w:rsidRPr="002A35C0">
        <w:rPr>
          <w:szCs w:val="24"/>
        </w:rPr>
        <w:t>w kontekście zapewnienia ciągłości ekologicznej, stanowią</w:t>
      </w:r>
      <w:r>
        <w:rPr>
          <w:szCs w:val="24"/>
        </w:rPr>
        <w:t>c</w:t>
      </w:r>
      <w:r w:rsidRPr="002A35C0">
        <w:rPr>
          <w:szCs w:val="24"/>
        </w:rPr>
        <w:t xml:space="preserve"> formy łąc</w:t>
      </w:r>
      <w:r>
        <w:rPr>
          <w:szCs w:val="24"/>
        </w:rPr>
        <w:t>zące obszary cenne przyrodniczo</w:t>
      </w:r>
      <w:r>
        <w:rPr>
          <w:rStyle w:val="Odwoanieprzypisudolnego"/>
          <w:szCs w:val="24"/>
        </w:rPr>
        <w:footnoteReference w:id="54"/>
      </w:r>
      <w:r w:rsidRPr="00FE117C">
        <w:rPr>
          <w:szCs w:val="24"/>
          <w:vertAlign w:val="superscript"/>
        </w:rPr>
        <w:t>,</w:t>
      </w:r>
      <w:r>
        <w:rPr>
          <w:rStyle w:val="Odwoanieprzypisudolnego"/>
          <w:szCs w:val="24"/>
        </w:rPr>
        <w:footnoteReference w:id="55"/>
      </w:r>
      <w:r>
        <w:rPr>
          <w:szCs w:val="24"/>
        </w:rPr>
        <w:t xml:space="preserve">. </w:t>
      </w:r>
      <w:r w:rsidRPr="005D6E9D">
        <w:rPr>
          <w:szCs w:val="24"/>
        </w:rPr>
        <w:t>Korytarze ekologiczne mają szczególne znaczenie dla gatunków wędrownych, które w naturalny sposób przemieszcz</w:t>
      </w:r>
      <w:r>
        <w:rPr>
          <w:szCs w:val="24"/>
        </w:rPr>
        <w:t>ają się w celach żerowiskowych/</w:t>
      </w:r>
      <w:r w:rsidRPr="005D6E9D">
        <w:rPr>
          <w:szCs w:val="24"/>
        </w:rPr>
        <w:t xml:space="preserve">pokarmowych, rozrodczych lub w wyniku prowadzonego trybu życia </w:t>
      </w:r>
      <w:r>
        <w:rPr>
          <w:szCs w:val="24"/>
        </w:rPr>
        <w:t xml:space="preserve">(wędrówki sezonowe i codzienne). </w:t>
      </w:r>
      <w:r w:rsidRPr="00CE0B36">
        <w:rPr>
          <w:szCs w:val="24"/>
        </w:rPr>
        <w:t xml:space="preserve">Powiązanie różnych form przyrodniczych korytarzami ekologicznymi stwarza warunki do funkcjonowania środowiska jako obszaru, w obrębie którego występuje migracja różnych organizmów żywych, ich ekspansja i zachowanie, a ostatecznie </w:t>
      </w:r>
      <w:r>
        <w:rPr>
          <w:szCs w:val="24"/>
        </w:rPr>
        <w:t>zapewnione</w:t>
      </w:r>
      <w:r w:rsidRPr="00CE0B36">
        <w:rPr>
          <w:szCs w:val="24"/>
        </w:rPr>
        <w:t xml:space="preserve"> są warunki do utrzymania różnorodności biologicznej środowis</w:t>
      </w:r>
      <w:r>
        <w:rPr>
          <w:szCs w:val="24"/>
        </w:rPr>
        <w:t>ka</w:t>
      </w:r>
      <w:r w:rsidRPr="00CE0B36">
        <w:rPr>
          <w:rStyle w:val="Odwoanieprzypisudolnego"/>
          <w:szCs w:val="24"/>
        </w:rPr>
        <w:footnoteReference w:id="56"/>
      </w:r>
      <w:r w:rsidRPr="00CE0B36">
        <w:rPr>
          <w:szCs w:val="24"/>
        </w:rPr>
        <w:t>.</w:t>
      </w:r>
      <w:r w:rsidRPr="00607EAF">
        <w:rPr>
          <w:szCs w:val="24"/>
        </w:rPr>
        <w:t xml:space="preserve"> Osnowę geoekologiczną obszaru województwa zachodniopomorskiego (o podstawowym znaczeniu dla funkcjonowania środowiska przyrodniczego) tworzą:</w:t>
      </w:r>
      <w:r>
        <w:rPr>
          <w:szCs w:val="24"/>
        </w:rPr>
        <w:t xml:space="preserve"> </w:t>
      </w:r>
      <w:r w:rsidRPr="00607EAF">
        <w:rPr>
          <w:szCs w:val="24"/>
        </w:rPr>
        <w:t>korytarze lądowe,</w:t>
      </w:r>
      <w:r>
        <w:rPr>
          <w:szCs w:val="24"/>
        </w:rPr>
        <w:t xml:space="preserve"> </w:t>
      </w:r>
      <w:r w:rsidRPr="00607EAF">
        <w:rPr>
          <w:szCs w:val="24"/>
        </w:rPr>
        <w:t>korytarze wodne,</w:t>
      </w:r>
      <w:r>
        <w:rPr>
          <w:szCs w:val="24"/>
        </w:rPr>
        <w:t xml:space="preserve"> </w:t>
      </w:r>
      <w:r w:rsidRPr="00607EAF">
        <w:rPr>
          <w:szCs w:val="24"/>
        </w:rPr>
        <w:t xml:space="preserve">korytarze </w:t>
      </w:r>
      <w:r w:rsidRPr="001834BA">
        <w:rPr>
          <w:szCs w:val="24"/>
        </w:rPr>
        <w:t>powietrzne</w:t>
      </w:r>
      <w:r w:rsidRPr="001834BA">
        <w:rPr>
          <w:rStyle w:val="Odwoanieprzypisudolnego"/>
          <w:szCs w:val="24"/>
        </w:rPr>
        <w:footnoteReference w:id="57"/>
      </w:r>
      <w:r w:rsidRPr="001834BA">
        <w:rPr>
          <w:szCs w:val="24"/>
        </w:rPr>
        <w:t>.</w:t>
      </w:r>
      <w:r>
        <w:rPr>
          <w:szCs w:val="24"/>
        </w:rPr>
        <w:t xml:space="preserve"> </w:t>
      </w:r>
      <w:r w:rsidRPr="00607EAF">
        <w:rPr>
          <w:rFonts w:cs="Arial"/>
          <w:color w:val="000000"/>
          <w:szCs w:val="24"/>
        </w:rPr>
        <w:t>W ramach PZPWZ</w:t>
      </w:r>
      <w:r w:rsidRPr="001834BA">
        <w:rPr>
          <w:rStyle w:val="Odwoanieprzypisudolnego"/>
          <w:rFonts w:cs="Arial"/>
          <w:color w:val="000000"/>
          <w:szCs w:val="24"/>
        </w:rPr>
        <w:footnoteReference w:id="58"/>
      </w:r>
      <w:r w:rsidRPr="00607EAF">
        <w:rPr>
          <w:rFonts w:cs="Arial"/>
          <w:color w:val="000000"/>
          <w:szCs w:val="24"/>
        </w:rPr>
        <w:t xml:space="preserve"> </w:t>
      </w:r>
      <w:r w:rsidRPr="001834BA">
        <w:rPr>
          <w:rFonts w:cs="Arial"/>
          <w:color w:val="000000"/>
          <w:szCs w:val="24"/>
        </w:rPr>
        <w:t>uwzględniając wiedzę o regionie w zakresie środowiska przyrodniczego wydzielono nas</w:t>
      </w:r>
      <w:r w:rsidRPr="00607EAF">
        <w:rPr>
          <w:rFonts w:cs="Arial"/>
          <w:color w:val="000000"/>
          <w:szCs w:val="24"/>
        </w:rPr>
        <w:t>tępujące korytarze ekologiczne</w:t>
      </w:r>
      <w:r>
        <w:rPr>
          <w:rFonts w:cs="Arial"/>
          <w:color w:val="000000"/>
          <w:szCs w:val="24"/>
        </w:rPr>
        <w:t xml:space="preserve"> (</w:t>
      </w:r>
      <w:r>
        <w:rPr>
          <w:rFonts w:cs="Arial"/>
          <w:color w:val="000000"/>
          <w:szCs w:val="24"/>
        </w:rPr>
        <w:fldChar w:fldCharType="begin"/>
      </w:r>
      <w:r>
        <w:rPr>
          <w:rFonts w:cs="Arial"/>
          <w:color w:val="000000"/>
          <w:szCs w:val="24"/>
        </w:rPr>
        <w:instrText xml:space="preserve"> REF _Ref102731057 \h </w:instrText>
      </w:r>
      <w:r>
        <w:rPr>
          <w:rFonts w:cs="Arial"/>
          <w:color w:val="000000"/>
          <w:szCs w:val="24"/>
        </w:rPr>
      </w:r>
      <w:r>
        <w:rPr>
          <w:rFonts w:cs="Arial"/>
          <w:color w:val="000000"/>
          <w:szCs w:val="24"/>
        </w:rPr>
        <w:fldChar w:fldCharType="separate"/>
      </w:r>
      <w:r w:rsidR="002B5007">
        <w:t xml:space="preserve">Rysunek </w:t>
      </w:r>
      <w:r w:rsidR="002B5007">
        <w:rPr>
          <w:noProof/>
        </w:rPr>
        <w:t>1</w:t>
      </w:r>
      <w:r>
        <w:rPr>
          <w:rFonts w:cs="Arial"/>
          <w:color w:val="000000"/>
          <w:szCs w:val="24"/>
        </w:rPr>
        <w:fldChar w:fldCharType="end"/>
      </w:r>
      <w:r>
        <w:rPr>
          <w:rFonts w:cs="Arial"/>
          <w:color w:val="000000"/>
          <w:szCs w:val="24"/>
        </w:rPr>
        <w:t>)</w:t>
      </w:r>
      <w:r w:rsidRPr="00607EAF">
        <w:rPr>
          <w:rFonts w:cs="Arial"/>
          <w:color w:val="000000"/>
          <w:szCs w:val="24"/>
        </w:rPr>
        <w:t xml:space="preserve">: </w:t>
      </w:r>
    </w:p>
    <w:p w14:paraId="6ECCCF6E" w14:textId="77777777" w:rsidR="00B83214" w:rsidRPr="001834BA" w:rsidRDefault="00B83214" w:rsidP="00B83214">
      <w:pPr>
        <w:pStyle w:val="Akapitzlist"/>
        <w:numPr>
          <w:ilvl w:val="0"/>
          <w:numId w:val="5"/>
        </w:numPr>
        <w:autoSpaceDE w:val="0"/>
        <w:autoSpaceDN w:val="0"/>
        <w:adjustRightInd w:val="0"/>
        <w:spacing w:before="0" w:after="0"/>
        <w:ind w:left="567" w:hanging="283"/>
        <w:rPr>
          <w:rFonts w:cs="Arial"/>
          <w:color w:val="000000"/>
          <w:szCs w:val="24"/>
        </w:rPr>
      </w:pPr>
      <w:r w:rsidRPr="001834BA">
        <w:rPr>
          <w:rFonts w:cs="Arial"/>
          <w:color w:val="000000"/>
          <w:szCs w:val="24"/>
        </w:rPr>
        <w:t xml:space="preserve">korytarze ponadregionalne o charakterze zarówno międzynarodowym, jak i krajowym, obejmujące: </w:t>
      </w:r>
    </w:p>
    <w:p w14:paraId="423EA56C" w14:textId="77777777" w:rsidR="00B83214" w:rsidRPr="00607EAF" w:rsidRDefault="00B83214" w:rsidP="00B83214">
      <w:pPr>
        <w:numPr>
          <w:ilvl w:val="0"/>
          <w:numId w:val="6"/>
        </w:numPr>
        <w:autoSpaceDE w:val="0"/>
        <w:autoSpaceDN w:val="0"/>
        <w:adjustRightInd w:val="0"/>
        <w:spacing w:before="0" w:after="0"/>
        <w:ind w:left="1418" w:hanging="425"/>
        <w:rPr>
          <w:rFonts w:cs="Arial"/>
          <w:color w:val="000000"/>
          <w:szCs w:val="24"/>
        </w:rPr>
      </w:pPr>
      <w:r w:rsidRPr="00607EAF">
        <w:rPr>
          <w:rFonts w:cs="Arial"/>
          <w:color w:val="000000"/>
          <w:szCs w:val="24"/>
        </w:rPr>
        <w:t xml:space="preserve">szlak sezonowych migracji ptaków – wędrówek znacznych populacji ptaków, głównie ze strefy umiarkowanej i arktycznej; </w:t>
      </w:r>
    </w:p>
    <w:p w14:paraId="785D00D0" w14:textId="77777777" w:rsidR="00B83214" w:rsidRPr="00607EAF" w:rsidRDefault="00B83214" w:rsidP="00B83214">
      <w:pPr>
        <w:numPr>
          <w:ilvl w:val="0"/>
          <w:numId w:val="6"/>
        </w:numPr>
        <w:autoSpaceDE w:val="0"/>
        <w:autoSpaceDN w:val="0"/>
        <w:adjustRightInd w:val="0"/>
        <w:spacing w:before="0" w:after="0"/>
        <w:ind w:left="1418" w:hanging="425"/>
        <w:rPr>
          <w:rFonts w:cs="Arial"/>
          <w:color w:val="000000"/>
          <w:szCs w:val="24"/>
        </w:rPr>
      </w:pPr>
      <w:r w:rsidRPr="00607EAF">
        <w:rPr>
          <w:rFonts w:cs="Arial"/>
          <w:color w:val="000000"/>
          <w:szCs w:val="24"/>
        </w:rPr>
        <w:t xml:space="preserve">korytarz ekologiczny Odry, Zalewu Szczecińskiego wraz z Dziwną, Zalewem Kamieńskim i Świną; </w:t>
      </w:r>
    </w:p>
    <w:p w14:paraId="22F530F0" w14:textId="77777777" w:rsidR="00B83214" w:rsidRPr="00607EAF" w:rsidRDefault="00B83214" w:rsidP="00B83214">
      <w:pPr>
        <w:numPr>
          <w:ilvl w:val="0"/>
          <w:numId w:val="6"/>
        </w:numPr>
        <w:autoSpaceDE w:val="0"/>
        <w:autoSpaceDN w:val="0"/>
        <w:adjustRightInd w:val="0"/>
        <w:spacing w:before="0" w:after="0"/>
        <w:ind w:left="1418" w:hanging="425"/>
        <w:rPr>
          <w:rFonts w:cs="Arial"/>
          <w:color w:val="000000"/>
          <w:szCs w:val="24"/>
        </w:rPr>
      </w:pPr>
      <w:r w:rsidRPr="00607EAF">
        <w:rPr>
          <w:rFonts w:cs="Arial"/>
          <w:color w:val="000000"/>
          <w:szCs w:val="24"/>
        </w:rPr>
        <w:t xml:space="preserve">strumienie rumowiska brzegowego w strefie przybrzeżnej Bałtyku. </w:t>
      </w:r>
    </w:p>
    <w:p w14:paraId="336326F4" w14:textId="77777777" w:rsidR="00B83214" w:rsidRPr="00607EAF" w:rsidRDefault="00B83214" w:rsidP="00B83214">
      <w:pPr>
        <w:pStyle w:val="Akapitzlist"/>
        <w:numPr>
          <w:ilvl w:val="0"/>
          <w:numId w:val="5"/>
        </w:numPr>
        <w:autoSpaceDE w:val="0"/>
        <w:autoSpaceDN w:val="0"/>
        <w:adjustRightInd w:val="0"/>
        <w:spacing w:before="0" w:after="167"/>
        <w:ind w:left="567" w:hanging="283"/>
        <w:rPr>
          <w:rFonts w:cs="Arial"/>
          <w:color w:val="000000"/>
          <w:szCs w:val="24"/>
        </w:rPr>
      </w:pPr>
      <w:r w:rsidRPr="00607EAF">
        <w:rPr>
          <w:rFonts w:cs="Arial"/>
          <w:color w:val="000000"/>
          <w:szCs w:val="24"/>
        </w:rPr>
        <w:t xml:space="preserve">korytarze regionalne - obejmujące pas nadmorski i główne doliny rzeczne, w tym m.in: korytarze ekologiczne rzek: Tywy, Płoni, Iny, Regi i </w:t>
      </w:r>
      <w:r w:rsidRPr="001834BA">
        <w:rPr>
          <w:rFonts w:cs="Arial"/>
          <w:color w:val="000000"/>
          <w:szCs w:val="24"/>
        </w:rPr>
        <w:t xml:space="preserve">Drawy, Parsęty, Radwi, Chotli, Chocieli i </w:t>
      </w:r>
      <w:r w:rsidRPr="00607EAF">
        <w:rPr>
          <w:rFonts w:cs="Arial"/>
          <w:color w:val="000000"/>
          <w:szCs w:val="24"/>
        </w:rPr>
        <w:t xml:space="preserve">Wieprzy; </w:t>
      </w:r>
    </w:p>
    <w:p w14:paraId="7DDA2837" w14:textId="77777777" w:rsidR="00B83214" w:rsidRPr="00607EAF" w:rsidRDefault="00B83214" w:rsidP="00B83214">
      <w:pPr>
        <w:pStyle w:val="Akapitzlist"/>
        <w:numPr>
          <w:ilvl w:val="0"/>
          <w:numId w:val="5"/>
        </w:numPr>
        <w:autoSpaceDE w:val="0"/>
        <w:autoSpaceDN w:val="0"/>
        <w:adjustRightInd w:val="0"/>
        <w:spacing w:before="0" w:after="167"/>
        <w:ind w:left="567" w:hanging="283"/>
        <w:rPr>
          <w:rFonts w:cs="Arial"/>
          <w:color w:val="000000"/>
          <w:szCs w:val="24"/>
        </w:rPr>
      </w:pPr>
      <w:r w:rsidRPr="00607EAF">
        <w:rPr>
          <w:rFonts w:cs="Arial"/>
          <w:color w:val="000000"/>
          <w:szCs w:val="24"/>
        </w:rPr>
        <w:t>korytarze migracji dużych ssaków</w:t>
      </w:r>
      <w:r w:rsidRPr="001834BA">
        <w:rPr>
          <w:rFonts w:cs="Arial"/>
          <w:color w:val="000000"/>
          <w:szCs w:val="24"/>
        </w:rPr>
        <w:t xml:space="preserve"> </w:t>
      </w:r>
      <w:r>
        <w:rPr>
          <w:rFonts w:cs="Arial"/>
          <w:color w:val="000000"/>
          <w:szCs w:val="24"/>
        </w:rPr>
        <w:t xml:space="preserve">- </w:t>
      </w:r>
      <w:r w:rsidRPr="001834BA">
        <w:rPr>
          <w:rFonts w:cs="Arial"/>
          <w:color w:val="000000"/>
          <w:szCs w:val="24"/>
        </w:rPr>
        <w:t xml:space="preserve">płaty ekologiczne </w:t>
      </w:r>
      <w:r w:rsidRPr="00607EAF">
        <w:rPr>
          <w:rFonts w:cs="Arial"/>
          <w:color w:val="000000"/>
          <w:szCs w:val="24"/>
        </w:rPr>
        <w:t>tworzące ciągi kompleksów leśnych i ekosystemów hydrogenicznych</w:t>
      </w:r>
      <w:r w:rsidRPr="001834BA">
        <w:rPr>
          <w:rFonts w:cs="Arial"/>
          <w:color w:val="000000"/>
          <w:szCs w:val="24"/>
        </w:rPr>
        <w:t xml:space="preserve"> (koryt</w:t>
      </w:r>
      <w:r>
        <w:rPr>
          <w:rFonts w:cs="Arial"/>
          <w:color w:val="000000"/>
          <w:szCs w:val="24"/>
        </w:rPr>
        <w:t>arze płatowe)</w:t>
      </w:r>
      <w:r w:rsidRPr="00607EAF">
        <w:rPr>
          <w:rFonts w:cs="Arial"/>
          <w:color w:val="000000"/>
          <w:szCs w:val="24"/>
        </w:rPr>
        <w:t xml:space="preserve">; </w:t>
      </w:r>
    </w:p>
    <w:p w14:paraId="3545D46C" w14:textId="77777777" w:rsidR="00B83214" w:rsidRDefault="00B83214" w:rsidP="00B83214">
      <w:pPr>
        <w:pStyle w:val="Akapitzlist"/>
        <w:numPr>
          <w:ilvl w:val="0"/>
          <w:numId w:val="5"/>
        </w:numPr>
        <w:autoSpaceDE w:val="0"/>
        <w:autoSpaceDN w:val="0"/>
        <w:adjustRightInd w:val="0"/>
        <w:spacing w:before="0" w:after="167"/>
        <w:ind w:left="567" w:hanging="283"/>
        <w:rPr>
          <w:rFonts w:cs="Arial"/>
          <w:color w:val="000000"/>
          <w:szCs w:val="24"/>
        </w:rPr>
      </w:pPr>
      <w:r w:rsidRPr="00607EAF">
        <w:rPr>
          <w:rFonts w:cs="Arial"/>
          <w:color w:val="000000"/>
          <w:szCs w:val="24"/>
        </w:rPr>
        <w:t>subregionalne koryta</w:t>
      </w:r>
      <w:r w:rsidRPr="001834BA">
        <w:rPr>
          <w:rFonts w:cs="Arial"/>
          <w:color w:val="000000"/>
          <w:szCs w:val="24"/>
        </w:rPr>
        <w:t>rze ekologiczne dolinne, które stanowią</w:t>
      </w:r>
      <w:r w:rsidRPr="00607EAF">
        <w:rPr>
          <w:rFonts w:cs="Arial"/>
          <w:color w:val="000000"/>
          <w:szCs w:val="24"/>
        </w:rPr>
        <w:t xml:space="preserve"> uzupełnienie sieci regionalnej. </w:t>
      </w:r>
    </w:p>
    <w:p w14:paraId="52F2F240" w14:textId="77777777" w:rsidR="00B83214" w:rsidRPr="00D07DA2" w:rsidRDefault="00B83214" w:rsidP="00B83214">
      <w:pPr>
        <w:keepNext/>
        <w:shd w:val="clear" w:color="auto" w:fill="DAEFD3" w:themeFill="accent1" w:themeFillTint="33"/>
        <w:spacing w:after="120"/>
        <w:rPr>
          <w:b/>
          <w:szCs w:val="24"/>
        </w:rPr>
        <w:sectPr w:rsidR="00B83214" w:rsidRPr="00D07DA2" w:rsidSect="006E38B9">
          <w:pgSz w:w="11906" w:h="16838"/>
          <w:pgMar w:top="1417" w:right="1417" w:bottom="1417" w:left="1417" w:header="708" w:footer="708" w:gutter="0"/>
          <w:pgNumType w:fmt="lowerRoman"/>
          <w:cols w:space="708"/>
          <w:titlePg/>
          <w:docGrid w:linePitch="360"/>
        </w:sectPr>
      </w:pPr>
    </w:p>
    <w:p w14:paraId="4D4451DF" w14:textId="77777777" w:rsidR="00B83214" w:rsidRDefault="00B83214" w:rsidP="00B83214">
      <w:pPr>
        <w:pStyle w:val="Akapitzlist"/>
        <w:keepNext/>
        <w:autoSpaceDE w:val="0"/>
        <w:autoSpaceDN w:val="0"/>
        <w:adjustRightInd w:val="0"/>
        <w:spacing w:before="0" w:after="167" w:line="240" w:lineRule="auto"/>
        <w:ind w:left="0"/>
        <w:jc w:val="center"/>
      </w:pPr>
      <w:r w:rsidRPr="003948FC">
        <w:rPr>
          <w:noProof/>
          <w:lang w:eastAsia="pl-PL"/>
        </w:rPr>
        <w:drawing>
          <wp:inline distT="0" distB="0" distL="0" distR="0" wp14:anchorId="2D2CF99E" wp14:editId="3170EB9B">
            <wp:extent cx="6637020" cy="4751848"/>
            <wp:effectExtent l="0" t="0" r="0" b="0"/>
            <wp:docPr id="5" name="Obraz 5" descr="C:\Users\mdeska.GIG\Desktop\Zachodniopomorskie\01opracowanieekofizjograficzne(1)\01_Opracowanie ekofizjograficzne\Mapy do opracowania ekofizjograficznego\15_korytarze_ekologiczn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eska.GIG\Desktop\Zachodniopomorskie\01opracowanieekofizjograficzne(1)\01_Opracowanie ekofizjograficzne\Mapy do opracowania ekofizjograficznego\15_korytarze_ekologiczne_17.tif"/>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632" t="3181" r="2999" b="2266"/>
                    <a:stretch/>
                  </pic:blipFill>
                  <pic:spPr bwMode="auto">
                    <a:xfrm>
                      <a:off x="0" y="0"/>
                      <a:ext cx="6649257" cy="4760609"/>
                    </a:xfrm>
                    <a:prstGeom prst="rect">
                      <a:avLst/>
                    </a:prstGeom>
                    <a:noFill/>
                    <a:ln>
                      <a:noFill/>
                    </a:ln>
                    <a:extLst>
                      <a:ext uri="{53640926-AAD7-44D8-BBD7-CCE9431645EC}">
                        <a14:shadowObscured xmlns:a14="http://schemas.microsoft.com/office/drawing/2010/main"/>
                      </a:ext>
                    </a:extLst>
                  </pic:spPr>
                </pic:pic>
              </a:graphicData>
            </a:graphic>
          </wp:inline>
        </w:drawing>
      </w:r>
    </w:p>
    <w:p w14:paraId="5105C2EF" w14:textId="77777777" w:rsidR="00B83214" w:rsidRPr="00607EAF" w:rsidRDefault="00B83214" w:rsidP="00B83214">
      <w:pPr>
        <w:pStyle w:val="Legenda"/>
        <w:rPr>
          <w:rFonts w:ascii="Arial" w:hAnsi="Arial" w:cs="Arial"/>
          <w:color w:val="000000"/>
          <w:sz w:val="20"/>
        </w:rPr>
      </w:pPr>
      <w:bookmarkStart w:id="92" w:name="_Ref102731057"/>
      <w:bookmarkStart w:id="93" w:name="_Toc104790103"/>
      <w:r>
        <w:t xml:space="preserve">Rysunek </w:t>
      </w:r>
      <w:r>
        <w:fldChar w:fldCharType="begin"/>
      </w:r>
      <w:r>
        <w:instrText>SEQ Rysunek \* ARABIC</w:instrText>
      </w:r>
      <w:r>
        <w:fldChar w:fldCharType="separate"/>
      </w:r>
      <w:r w:rsidR="002B5007">
        <w:rPr>
          <w:noProof/>
        </w:rPr>
        <w:t>1</w:t>
      </w:r>
      <w:r>
        <w:fldChar w:fldCharType="end"/>
      </w:r>
      <w:bookmarkEnd w:id="92"/>
      <w:r>
        <w:t xml:space="preserve"> Korytarze ekologiczne w województwie zachodniopomorskim</w:t>
      </w:r>
      <w:bookmarkEnd w:id="93"/>
    </w:p>
    <w:p w14:paraId="65142C61" w14:textId="77777777" w:rsidR="00B83214" w:rsidRDefault="00B83214" w:rsidP="00B83214">
      <w:pPr>
        <w:rPr>
          <w:szCs w:val="24"/>
        </w:rPr>
        <w:sectPr w:rsidR="00B83214" w:rsidSect="006E38B9">
          <w:pgSz w:w="16838" w:h="11906" w:orient="landscape"/>
          <w:pgMar w:top="1417" w:right="1417" w:bottom="1417" w:left="1417" w:header="708" w:footer="708" w:gutter="0"/>
          <w:pgNumType w:fmt="lowerRoman"/>
          <w:cols w:space="708"/>
          <w:titlePg/>
          <w:docGrid w:linePitch="360"/>
        </w:sectPr>
      </w:pPr>
      <w:r>
        <w:rPr>
          <w:szCs w:val="24"/>
        </w:rPr>
        <w:t xml:space="preserve">Źródło: </w:t>
      </w:r>
      <w:r w:rsidRPr="003948FC">
        <w:rPr>
          <w:szCs w:val="24"/>
        </w:rPr>
        <w:t>Aktualizacja Opracowania Ekofizjograficznego do Projektu Zmiany Planu Zagospodarowania Przestrzennego Województwa Zachodniopomorskiego, Szczecin, 2018</w:t>
      </w:r>
    </w:p>
    <w:p w14:paraId="51F7721C" w14:textId="77777777" w:rsidR="00B83214" w:rsidRPr="00AE2794" w:rsidRDefault="00B83214" w:rsidP="00B83214">
      <w:pPr>
        <w:pStyle w:val="Nagwek51"/>
      </w:pPr>
      <w:r w:rsidRPr="00AE2794">
        <w:t>Zagrożenia ekosystemów</w:t>
      </w:r>
    </w:p>
    <w:p w14:paraId="1CE17317" w14:textId="39966670" w:rsidR="00B83214" w:rsidRPr="001108E7" w:rsidRDefault="00B83214" w:rsidP="00B83214">
      <w:pPr>
        <w:spacing w:after="0"/>
        <w:rPr>
          <w:szCs w:val="24"/>
        </w:rPr>
      </w:pPr>
      <w:r>
        <w:t>Zgodnie z zapisami Programu Ochrony Środowiska</w:t>
      </w:r>
      <w:r w:rsidR="00557358">
        <w:t xml:space="preserve"> </w:t>
      </w:r>
      <w:r>
        <w:t xml:space="preserve">województwa zachodniopomorskiego </w:t>
      </w:r>
      <w:r w:rsidRPr="001108E7">
        <w:rPr>
          <w:szCs w:val="24"/>
        </w:rPr>
        <w:t>2030</w:t>
      </w:r>
      <w:r>
        <w:rPr>
          <w:rStyle w:val="Odwoanieprzypisudolnego"/>
        </w:rPr>
        <w:footnoteReference w:id="59"/>
      </w:r>
      <w:r>
        <w:t xml:space="preserve"> </w:t>
      </w:r>
      <w:r w:rsidRPr="001108E7">
        <w:rPr>
          <w:szCs w:val="24"/>
        </w:rPr>
        <w:t>zidentyfikowano następujące zagrożenia dla ekosystemów:</w:t>
      </w:r>
    </w:p>
    <w:p w14:paraId="100907CF" w14:textId="77777777" w:rsidR="00B83214" w:rsidRPr="001108E7" w:rsidRDefault="00B83214" w:rsidP="00B83214">
      <w:pPr>
        <w:pStyle w:val="Akapitzlist"/>
        <w:numPr>
          <w:ilvl w:val="0"/>
          <w:numId w:val="7"/>
        </w:numPr>
        <w:rPr>
          <w:szCs w:val="24"/>
        </w:rPr>
      </w:pPr>
      <w:r w:rsidRPr="001108E7">
        <w:rPr>
          <w:szCs w:val="24"/>
        </w:rPr>
        <w:t>rosnąca presja na zasoby przyrodnicze, leśne i krajobrazowe</w:t>
      </w:r>
      <w:r>
        <w:rPr>
          <w:szCs w:val="24"/>
        </w:rPr>
        <w:t xml:space="preserve"> wynikająca z presji</w:t>
      </w:r>
      <w:r w:rsidRPr="001108E7">
        <w:rPr>
          <w:szCs w:val="24"/>
        </w:rPr>
        <w:t xml:space="preserve"> urbanistycznej - postępujące rozlewanie się zabudowy poza tereny zurbanizowane oraz przekształcanie funkcji terenów wiejskich wiąże się z zagrożeniami dla ekosystemów siedlisk półnaturalnych, a na terenach podmokłych stanowi zagrożenie dla cennych siedlisk zależnych od wód;</w:t>
      </w:r>
    </w:p>
    <w:p w14:paraId="457D4A7E" w14:textId="77777777" w:rsidR="00B83214" w:rsidRPr="001108E7" w:rsidRDefault="00B83214" w:rsidP="00B83214">
      <w:pPr>
        <w:pStyle w:val="Akapitzlist"/>
        <w:numPr>
          <w:ilvl w:val="0"/>
          <w:numId w:val="7"/>
        </w:numPr>
        <w:rPr>
          <w:szCs w:val="24"/>
        </w:rPr>
      </w:pPr>
      <w:r w:rsidRPr="001108E7">
        <w:rPr>
          <w:szCs w:val="24"/>
        </w:rPr>
        <w:t>presja turystyczna -</w:t>
      </w:r>
      <w:r>
        <w:rPr>
          <w:szCs w:val="24"/>
        </w:rPr>
        <w:t xml:space="preserve"> </w:t>
      </w:r>
      <w:r w:rsidRPr="001108E7">
        <w:rPr>
          <w:szCs w:val="24"/>
        </w:rPr>
        <w:t>brak ogólnodostępnej infrastruktury pozwalającej na wykorzystanie potencjału turystycznego bez uszczerbku dla cennych elementów środowiska przyrodniczego; niedostosowanie istniejącego systemu odbioru ścieków i odpadów w okresie wzmożonego ruchu turystycznego;</w:t>
      </w:r>
    </w:p>
    <w:p w14:paraId="729FA9C0" w14:textId="77777777" w:rsidR="00B83214" w:rsidRPr="001108E7" w:rsidRDefault="00B83214" w:rsidP="00B83214">
      <w:pPr>
        <w:pStyle w:val="Akapitzlist"/>
        <w:numPr>
          <w:ilvl w:val="0"/>
          <w:numId w:val="7"/>
        </w:numPr>
        <w:rPr>
          <w:szCs w:val="24"/>
        </w:rPr>
      </w:pPr>
      <w:r w:rsidRPr="001108E7">
        <w:rPr>
          <w:szCs w:val="24"/>
        </w:rPr>
        <w:t>prowadzenie gospodarki rolnej niezgodnie z zasadami Kodeksu Dobrych Praktyk w Rolnictwie oraz zmiana sposobu użytkowania gruntów, zaniechanie tradycyjnego użytkowania rolniczego, wprowadzanie wielkopowierzchniowych upraw monokulturowych lub odłogowanie gruntów rolnych (sukcesja wtórna) - może przyczyniać do spadku różnorodności biologicznej ekosystemów i stopniowej degradacji siedlisk charakterystycznych dla krajobrazów wiejskich;</w:t>
      </w:r>
    </w:p>
    <w:p w14:paraId="72400CC1" w14:textId="77777777" w:rsidR="00B83214" w:rsidRPr="001108E7" w:rsidRDefault="00B83214" w:rsidP="00B83214">
      <w:pPr>
        <w:pStyle w:val="Akapitzlist"/>
        <w:numPr>
          <w:ilvl w:val="0"/>
          <w:numId w:val="7"/>
        </w:numPr>
        <w:rPr>
          <w:szCs w:val="24"/>
        </w:rPr>
      </w:pPr>
      <w:r w:rsidRPr="001108E7">
        <w:rPr>
          <w:szCs w:val="24"/>
        </w:rPr>
        <w:t>działania naruszające naturalne warunki hydrologiczne, związane z melioracjami oraz inwestycjami z zakresu ochrony przeciwpowodziowej - zagrożenie w szczególności dla ekosystemów terenów podmokłych (bagna, torfowiska, starorzecza) prowadząc do ich stopniowego osuszania;</w:t>
      </w:r>
    </w:p>
    <w:p w14:paraId="1E36386F" w14:textId="77777777" w:rsidR="00B83214" w:rsidRPr="001108E7" w:rsidRDefault="00B83214" w:rsidP="00B83214">
      <w:pPr>
        <w:pStyle w:val="Akapitzlist"/>
        <w:numPr>
          <w:ilvl w:val="0"/>
          <w:numId w:val="7"/>
        </w:numPr>
        <w:rPr>
          <w:szCs w:val="24"/>
        </w:rPr>
      </w:pPr>
      <w:r w:rsidRPr="001108E7">
        <w:rPr>
          <w:szCs w:val="24"/>
        </w:rPr>
        <w:t>zjawiska naturalne związane ze zmianami klimatu –</w:t>
      </w:r>
      <w:r>
        <w:rPr>
          <w:szCs w:val="24"/>
        </w:rPr>
        <w:t xml:space="preserve"> </w:t>
      </w:r>
      <w:r w:rsidRPr="001108E7">
        <w:rPr>
          <w:szCs w:val="24"/>
        </w:rPr>
        <w:t>ekstremalne temperatury, susze, bezśnieżne zimy;</w:t>
      </w:r>
    </w:p>
    <w:p w14:paraId="211FB898" w14:textId="77777777" w:rsidR="00B83214" w:rsidRDefault="00B83214" w:rsidP="00B83214">
      <w:pPr>
        <w:pStyle w:val="Akapitzlist"/>
        <w:numPr>
          <w:ilvl w:val="0"/>
          <w:numId w:val="7"/>
        </w:numPr>
      </w:pPr>
      <w:r w:rsidRPr="001108E7">
        <w:rPr>
          <w:szCs w:val="24"/>
        </w:rPr>
        <w:t>postępująca ekspansja gatunków obcych, w tym gatunków inwazyjnych, zagrażających rodzimym gatunkom i siedliskom przyrodniczym</w:t>
      </w:r>
      <w:r>
        <w:rPr>
          <w:rStyle w:val="Odwoanieprzypisudolnego"/>
        </w:rPr>
        <w:footnoteReference w:id="60"/>
      </w:r>
      <w:r w:rsidRPr="00AE2794">
        <w:t>.</w:t>
      </w:r>
    </w:p>
    <w:p w14:paraId="58F95085" w14:textId="77777777" w:rsidR="00B83214" w:rsidRDefault="00B83214" w:rsidP="00B83214">
      <w:pPr>
        <w:pStyle w:val="Akapitzlist"/>
        <w:ind w:left="0"/>
        <w:rPr>
          <w:szCs w:val="24"/>
        </w:rPr>
      </w:pPr>
      <w:r w:rsidRPr="001108E7">
        <w:rPr>
          <w:szCs w:val="24"/>
        </w:rPr>
        <w:t>Ponadto zagrożenia dla gatunków i siedlisk przyrodniczych w regionie, zidentyfikowane zostały także w dokumentach planistycznych sporządzanych dla poszczególnych form ochrony przyrody (plany i projekty planów ochrony oraz zadań ochronnych dla parków narodowych, plany zadań ochronnych/plany ochrony i ich projekty dla obszarów Natura 2000, plany ochrony dla parków krajobrazowych).</w:t>
      </w:r>
      <w:r>
        <w:rPr>
          <w:szCs w:val="24"/>
        </w:rPr>
        <w:t xml:space="preserve"> Wskazano</w:t>
      </w:r>
      <w:r w:rsidRPr="001108E7">
        <w:rPr>
          <w:szCs w:val="24"/>
        </w:rPr>
        <w:t xml:space="preserve"> także potrzebę kontynuowania działań edukacyjnych w odniesieniu do przedmiotów </w:t>
      </w:r>
      <w:r>
        <w:rPr>
          <w:szCs w:val="24"/>
        </w:rPr>
        <w:t>ochrony objętych ochroną prawną wraz z zaangażowaniem mieszkańców.</w:t>
      </w:r>
      <w:r w:rsidRPr="001108E7">
        <w:rPr>
          <w:szCs w:val="24"/>
        </w:rPr>
        <w:t xml:space="preserve"> Dotyczy to kilku aspektów – świadomości wartości przyrodniczych znajdujących się w najbliższej okolicy i regionie oraz obowiązujących zakazów oraz ograniczeń</w:t>
      </w:r>
      <w:r w:rsidRPr="001108E7">
        <w:rPr>
          <w:rStyle w:val="Odwoanieprzypisudolnego"/>
          <w:szCs w:val="24"/>
        </w:rPr>
        <w:footnoteReference w:id="61"/>
      </w:r>
      <w:r w:rsidRPr="001108E7">
        <w:rPr>
          <w:szCs w:val="24"/>
        </w:rPr>
        <w:t>.</w:t>
      </w:r>
      <w:r w:rsidRPr="004C62A5">
        <w:t xml:space="preserve"> </w:t>
      </w:r>
    </w:p>
    <w:p w14:paraId="6F92EC15" w14:textId="77777777" w:rsidR="00B83214" w:rsidRPr="005E3B1F" w:rsidRDefault="00B83214" w:rsidP="00B83214">
      <w:pPr>
        <w:pBdr>
          <w:bottom w:val="single" w:sz="6" w:space="1" w:color="549E39" w:themeColor="accent1"/>
        </w:pBdr>
        <w:spacing w:before="200" w:after="0"/>
        <w:outlineLvl w:val="4"/>
        <w:rPr>
          <w:caps/>
          <w:color w:val="3E762A" w:themeColor="accent1" w:themeShade="BF"/>
          <w:spacing w:val="10"/>
          <w:szCs w:val="24"/>
        </w:rPr>
      </w:pPr>
      <w:r w:rsidRPr="005E3B1F">
        <w:rPr>
          <w:caps/>
          <w:color w:val="3E762A" w:themeColor="accent1" w:themeShade="BF"/>
          <w:spacing w:val="10"/>
          <w:szCs w:val="24"/>
        </w:rPr>
        <w:t>OCHRONA BIORÓŻNORODNOŚCI W KONTEKŚCIE ZMIAN KLIMATU</w:t>
      </w:r>
    </w:p>
    <w:p w14:paraId="7277E5CD" w14:textId="77777777" w:rsidR="00B83214" w:rsidRPr="005E3B1F" w:rsidRDefault="00B83214" w:rsidP="00B83214">
      <w:pPr>
        <w:rPr>
          <w:szCs w:val="24"/>
        </w:rPr>
      </w:pPr>
      <w:r w:rsidRPr="00E93CF4">
        <w:rPr>
          <w:szCs w:val="24"/>
        </w:rPr>
        <w:t>W Europie, jak również na całym świecie podnosi się konieczność podjęcia działań w odpowiedzi na postępujące zmiany klimatu oraz utratę bioróżnorodności.</w:t>
      </w:r>
      <w:r>
        <w:rPr>
          <w:szCs w:val="24"/>
        </w:rPr>
        <w:t xml:space="preserve"> </w:t>
      </w:r>
      <w:r w:rsidRPr="00E93CF4">
        <w:rPr>
          <w:szCs w:val="24"/>
        </w:rPr>
        <w:t xml:space="preserve">Potrzeba przeciwdziałania zmianom klimatu, działań adaptacyjnych, a także działań ukierunkowanych na powstrzymywanie procesu zubażania różnorodności biologicznej i postępującej degradacji ekosystemów wskazuje na </w:t>
      </w:r>
      <w:r>
        <w:rPr>
          <w:szCs w:val="24"/>
        </w:rPr>
        <w:t xml:space="preserve">konieczność </w:t>
      </w:r>
      <w:r w:rsidRPr="00E93CF4">
        <w:rPr>
          <w:szCs w:val="24"/>
        </w:rPr>
        <w:t>pełnego włączania tych kwestii do planów, programów i przedsięwzięć realizowanych w całej Unii Europejskiej. Zjawisko zubożania i utraty bioróżnorodności stanowi aktualnie jeden z głównych problemów środowiskowych. Interakcje pomiędzy zasobami różnorodności biologicznej a postępującymi zmianami klimatu mają charakter obustronny, bowiem skutki zmian klimatu odciskają piętno na systemach przyrodniczych, ich kondycji oraz trwałości, wpływają na zasoby bioróżnorodności, również na funkcjonowanie całych ekosystemów. Z kolei systemy przyrodnicze - ich jakość, bogactwo, a także kondycja całych ekosystemów w istotnym stopniu warunkuje pełnienie przez nie funkcji: zaopatrzeniowej, regulacyjnej, kulturowej i wspomagającej. Zdrowe i prawidłowo funkcjonujące ekosystemy odgrywają istotną rolę w kontekście łagodzenia i adaptacji do zmian klimatu, szczególnie na silnie przekształconych terenach miejskich. Ekosystemy stanowią bowiem fundament życia i wszelkiej działalności człowieka, a zapewniane przez nie produkty i funkcje są niezbędne w celu utrzymania dobrostanu również w kontekście rozwoju gospodarczego i społecznego</w:t>
      </w:r>
      <w:r w:rsidRPr="00E93CF4">
        <w:rPr>
          <w:rStyle w:val="Odwoanieprzypisudolnego"/>
          <w:szCs w:val="24"/>
        </w:rPr>
        <w:footnoteReference w:id="62"/>
      </w:r>
      <w:r w:rsidRPr="00E93CF4">
        <w:rPr>
          <w:szCs w:val="24"/>
          <w:vertAlign w:val="superscript"/>
        </w:rPr>
        <w:t>,</w:t>
      </w:r>
      <w:r w:rsidRPr="00E93CF4">
        <w:rPr>
          <w:rStyle w:val="Odwoanieprzypisudolnego"/>
          <w:szCs w:val="24"/>
        </w:rPr>
        <w:footnoteReference w:id="63"/>
      </w:r>
      <w:r w:rsidRPr="00E93CF4">
        <w:rPr>
          <w:szCs w:val="24"/>
          <w:vertAlign w:val="superscript"/>
        </w:rPr>
        <w:t>,</w:t>
      </w:r>
      <w:r w:rsidRPr="00E93CF4">
        <w:rPr>
          <w:rStyle w:val="Odwoanieprzypisudolnego"/>
          <w:szCs w:val="24"/>
        </w:rPr>
        <w:footnoteReference w:id="64"/>
      </w:r>
      <w:r w:rsidRPr="00E93CF4">
        <w:rPr>
          <w:szCs w:val="24"/>
        </w:rPr>
        <w:t>. Zatem ważne jest dążenie do wzmacniania naturalnych ekosystemów w celu zwiększenia zdoln</w:t>
      </w:r>
      <w:r>
        <w:rPr>
          <w:szCs w:val="24"/>
        </w:rPr>
        <w:t>ości adaptacyjnych środowiska. Ł</w:t>
      </w:r>
      <w:r w:rsidRPr="00E93CF4">
        <w:rPr>
          <w:szCs w:val="24"/>
        </w:rPr>
        <w:t>agodzenie zmian klimatycznych na terenach miejskich może następować m.in. poprzez przywracanie i zachowanie powierzchni biologicznie czynnych, zadrzewień, zakrzewień oraz zwiększanie terenów zieleni, a także dążenie do jej integracji z zielenią naturalną, zwiększanie różnorodności biologicznej na terenach miejskich (np. łąki kwietne, ograniczenie koszenia). W przestrzeni miejskiej istotną rolę pełni także zielona i błękitna infrastruktura, gdyż elementy tej infrastruktury, odpowiednio zagospodarowanej, poprawiają mikroklimat, wspomagają zasilanie wód gruntowych, stanowią także cenne siedliska fauny i flory. Coraz większe zagrożenie dla ekosystemów (zwłaszcza wodnych) stanowią zjawiska naturalne związane ze zmianami klimatu – przede wszystkim ekstremalne temperatury, susze, bezśnieżne zimy. Także rosnąca wartość wskaźnika defoliacji na poziomie województwa oraz kraju świadczy o stopniowym osłabieniu drzewostanów, który może się pogłębiać głównie z powodu obserwowanych zmian klimatu</w:t>
      </w:r>
      <w:r w:rsidRPr="00E93CF4">
        <w:rPr>
          <w:rStyle w:val="Odwoanieprzypisudolnego"/>
          <w:szCs w:val="24"/>
        </w:rPr>
        <w:footnoteReference w:id="65"/>
      </w:r>
      <w:r>
        <w:rPr>
          <w:szCs w:val="24"/>
        </w:rPr>
        <w:t xml:space="preserve">. </w:t>
      </w:r>
      <w:r>
        <w:t>W Aktualizacji Opracowania Ekofizjograficznego do Projektu Zmiany Planu Zagospodarowania Przestrzennego Województwa Zachodniopomorskiego</w:t>
      </w:r>
      <w:r>
        <w:rPr>
          <w:rStyle w:val="Odwoanieprzypisudolnego"/>
        </w:rPr>
        <w:footnoteReference w:id="66"/>
      </w:r>
      <w:r>
        <w:t xml:space="preserve"> jako </w:t>
      </w:r>
      <w:r w:rsidRPr="005E3B1F">
        <w:rPr>
          <w:szCs w:val="24"/>
        </w:rPr>
        <w:t>obszary problemowe związane ze zmianami środowiska przyrodniczego w wyniku globalnych zmian klimatu wskazano: strefę nadmorską - jako obszar potencjalnie możliwej dezintegracji funkcjonowania systemu osadniczego, w tym gospodarki i infrastruktury oraz obszar negatywnego wpływu na formy ochrony przyrody; doliny rzek (zwłaszcza: Odry, Regi, Parsęty, Wieprzy i Grabowy, Iny, Płoni, Drawy i Gwdy), obszarowe formy ochrony przyrody – zwła</w:t>
      </w:r>
      <w:r>
        <w:rPr>
          <w:szCs w:val="24"/>
        </w:rPr>
        <w:t xml:space="preserve">szcza Woliński Park Narodowy; </w:t>
      </w:r>
      <w:r w:rsidRPr="005E3B1F">
        <w:rPr>
          <w:szCs w:val="24"/>
        </w:rPr>
        <w:t>Parki Krajobrazowe „Dolina Dolnej Odry”, Cedyński i „Ujście Warty”; obszary chronionego krajobrazu: „Koszaliński Pas Nadmorski” i „Pas Pobrzeża na zachód od Ustki”, obszary Natura 2000 specjalnej ochrony ptaków o wysokim stopniu zagrożenia przedmiotów ochrony zmianami klima</w:t>
      </w:r>
      <w:r>
        <w:rPr>
          <w:szCs w:val="24"/>
        </w:rPr>
        <w:t>tu (</w:t>
      </w:r>
      <w:r w:rsidRPr="005E3B1F">
        <w:rPr>
          <w:szCs w:val="24"/>
        </w:rPr>
        <w:t>PLB320002 Delta Świny; PLB320003 Dolina Dolnej Odry</w:t>
      </w:r>
      <w:r>
        <w:rPr>
          <w:szCs w:val="24"/>
        </w:rPr>
        <w:t>)</w:t>
      </w:r>
      <w:r w:rsidRPr="005E3B1F">
        <w:rPr>
          <w:szCs w:val="24"/>
        </w:rPr>
        <w:t>; obszary Natura 2000 mające znaczenie dla Wspólnoty o bardzo wysokim i wysokim stopniu zagrożenia przedm</w:t>
      </w:r>
      <w:r>
        <w:rPr>
          <w:szCs w:val="24"/>
        </w:rPr>
        <w:t>iotów ochrony zmianami klimatu (</w:t>
      </w:r>
      <w:r w:rsidRPr="005E3B1F">
        <w:rPr>
          <w:szCs w:val="24"/>
        </w:rPr>
        <w:t>PLH220038 Dolina Wieprzy i Studnicy; PLH320001 Bobolickie Jeziora Lobeliowe; PLH320006 Dolina Płoni i Jezioro Miedwie; PLH320007 Dorzecze Parsęty; PLH320009 Jeziora Szczecineckie; PLH320017 Trzebiatowsko-Kołobrzeski Pas Nadmorski; PLH320018 Ujście Odry i Zalew Szczeciński; PLH320019 Wolin i Uznam; PLH320022 Dolina Radwi, Chocieli i Chotli; PLH320023 Jezioro Lubie i Dolina Drawy; PLH320039 Jeziora Czaplineckie; PLH320046 Uroczyska Puszczy Drawskiej</w:t>
      </w:r>
      <w:r>
        <w:rPr>
          <w:szCs w:val="24"/>
        </w:rPr>
        <w:t>)</w:t>
      </w:r>
      <w:r w:rsidRPr="005E3B1F">
        <w:rPr>
          <w:szCs w:val="24"/>
        </w:rPr>
        <w:t>. Obszarami problemowymi związanymi ze zmianami obciążenia antropogenicznego środowiska przyrodniczego, w tym w warunkach zmienionego klimatu będą: wody powierzchniowe, tereny zurbanizowane oraz systemy korytarzy ekologicznych w związku z powstawaniem nowych barier antropogenicznych</w:t>
      </w:r>
      <w:r>
        <w:rPr>
          <w:rStyle w:val="Odwoanieprzypisudolnego"/>
          <w:szCs w:val="24"/>
        </w:rPr>
        <w:footnoteReference w:id="67"/>
      </w:r>
      <w:r w:rsidRPr="005E3B1F">
        <w:rPr>
          <w:szCs w:val="24"/>
        </w:rPr>
        <w:t xml:space="preserve">. Obszary konfliktów przestrzennych </w:t>
      </w:r>
      <w:r>
        <w:rPr>
          <w:szCs w:val="24"/>
        </w:rPr>
        <w:t xml:space="preserve">w </w:t>
      </w:r>
      <w:r w:rsidRPr="005E3B1F">
        <w:rPr>
          <w:szCs w:val="24"/>
        </w:rPr>
        <w:t>województwie zachodniopomorskim związane ze zmianą środowiska przyrodniczego w wyniku</w:t>
      </w:r>
      <w:r>
        <w:rPr>
          <w:szCs w:val="24"/>
        </w:rPr>
        <w:t xml:space="preserve"> </w:t>
      </w:r>
      <w:r w:rsidRPr="005E3B1F">
        <w:rPr>
          <w:szCs w:val="24"/>
        </w:rPr>
        <w:t>globalnych zmian klimatu przedstawiono na rysunku poniżej (</w:t>
      </w:r>
      <w:r w:rsidRPr="005E3B1F">
        <w:rPr>
          <w:szCs w:val="24"/>
        </w:rPr>
        <w:fldChar w:fldCharType="begin"/>
      </w:r>
      <w:r w:rsidRPr="005E3B1F">
        <w:rPr>
          <w:szCs w:val="24"/>
        </w:rPr>
        <w:instrText xml:space="preserve"> REF _Ref102742865 \h </w:instrText>
      </w:r>
      <w:r w:rsidRPr="005E3B1F">
        <w:rPr>
          <w:szCs w:val="24"/>
        </w:rPr>
      </w:r>
      <w:r w:rsidRPr="005E3B1F">
        <w:rPr>
          <w:szCs w:val="24"/>
        </w:rPr>
        <w:fldChar w:fldCharType="separate"/>
      </w:r>
      <w:r w:rsidR="002B5007">
        <w:t xml:space="preserve">Rysunek </w:t>
      </w:r>
      <w:r w:rsidR="002B5007">
        <w:rPr>
          <w:noProof/>
        </w:rPr>
        <w:t>2</w:t>
      </w:r>
      <w:r w:rsidRPr="005E3B1F">
        <w:rPr>
          <w:szCs w:val="24"/>
        </w:rPr>
        <w:fldChar w:fldCharType="end"/>
      </w:r>
      <w:r w:rsidRPr="005E3B1F">
        <w:rPr>
          <w:szCs w:val="24"/>
        </w:rPr>
        <w:t>).</w:t>
      </w:r>
    </w:p>
    <w:p w14:paraId="7CB7D331" w14:textId="77777777" w:rsidR="00B83214" w:rsidRDefault="00B83214" w:rsidP="00B83214">
      <w:pPr>
        <w:pStyle w:val="Akapitzlist"/>
        <w:ind w:left="360"/>
        <w:rPr>
          <w:szCs w:val="24"/>
        </w:rPr>
        <w:sectPr w:rsidR="00B83214" w:rsidSect="006E38B9">
          <w:pgSz w:w="11906" w:h="16838"/>
          <w:pgMar w:top="1417" w:right="1417" w:bottom="1417" w:left="1417" w:header="708" w:footer="708" w:gutter="0"/>
          <w:pgNumType w:fmt="lowerRoman"/>
          <w:cols w:space="708"/>
          <w:titlePg/>
          <w:docGrid w:linePitch="360"/>
        </w:sectPr>
      </w:pPr>
    </w:p>
    <w:p w14:paraId="332E0A65" w14:textId="77777777" w:rsidR="00B83214" w:rsidRDefault="00B83214" w:rsidP="00B83214">
      <w:pPr>
        <w:pStyle w:val="Akapitzlist"/>
        <w:keepNext/>
        <w:ind w:left="360"/>
      </w:pPr>
      <w:r>
        <w:rPr>
          <w:noProof/>
          <w:szCs w:val="24"/>
          <w:lang w:eastAsia="pl-PL"/>
        </w:rPr>
        <w:drawing>
          <wp:inline distT="0" distB="0" distL="0" distR="0" wp14:anchorId="540B6A0B" wp14:editId="54F00A30">
            <wp:extent cx="6486525" cy="4371025"/>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t="1768" b="2895"/>
                    <a:stretch/>
                  </pic:blipFill>
                  <pic:spPr bwMode="auto">
                    <a:xfrm>
                      <a:off x="0" y="0"/>
                      <a:ext cx="6500101" cy="4380174"/>
                    </a:xfrm>
                    <a:prstGeom prst="rect">
                      <a:avLst/>
                    </a:prstGeom>
                    <a:noFill/>
                    <a:ln>
                      <a:noFill/>
                    </a:ln>
                    <a:extLst>
                      <a:ext uri="{53640926-AAD7-44D8-BBD7-CCE9431645EC}">
                        <a14:shadowObscured xmlns:a14="http://schemas.microsoft.com/office/drawing/2010/main"/>
                      </a:ext>
                    </a:extLst>
                  </pic:spPr>
                </pic:pic>
              </a:graphicData>
            </a:graphic>
          </wp:inline>
        </w:drawing>
      </w:r>
    </w:p>
    <w:p w14:paraId="08518775" w14:textId="77777777" w:rsidR="00B83214" w:rsidRPr="0038195A" w:rsidRDefault="00B83214" w:rsidP="00B83214">
      <w:pPr>
        <w:pStyle w:val="Legenda"/>
      </w:pPr>
      <w:bookmarkStart w:id="94" w:name="_Ref102742865"/>
      <w:bookmarkStart w:id="95" w:name="_Toc104790104"/>
      <w:r>
        <w:t xml:space="preserve">Rysunek </w:t>
      </w:r>
      <w:r>
        <w:fldChar w:fldCharType="begin"/>
      </w:r>
      <w:r>
        <w:instrText>SEQ Rysunek \* ARABIC</w:instrText>
      </w:r>
      <w:r>
        <w:fldChar w:fldCharType="separate"/>
      </w:r>
      <w:r w:rsidR="002B5007">
        <w:rPr>
          <w:noProof/>
        </w:rPr>
        <w:t>2</w:t>
      </w:r>
      <w:r>
        <w:fldChar w:fldCharType="end"/>
      </w:r>
      <w:bookmarkEnd w:id="94"/>
      <w:r>
        <w:t xml:space="preserve"> </w:t>
      </w:r>
      <w:r w:rsidRPr="0038195A">
        <w:t>Obszary konfliktów przestrzennych województwie zachodniopomorskim związane ze zmianą środowiska przyrodniczego w wyniku</w:t>
      </w:r>
      <w:r>
        <w:t xml:space="preserve"> </w:t>
      </w:r>
      <w:r w:rsidRPr="0038195A">
        <w:t>globalnych zmian klimatu</w:t>
      </w:r>
      <w:bookmarkEnd w:id="95"/>
    </w:p>
    <w:p w14:paraId="3AC640E9" w14:textId="77777777" w:rsidR="00B83214" w:rsidRDefault="00B83214" w:rsidP="00B83214">
      <w:pPr>
        <w:rPr>
          <w:szCs w:val="24"/>
        </w:rPr>
        <w:sectPr w:rsidR="00B83214" w:rsidSect="006E38B9">
          <w:pgSz w:w="16838" w:h="11906" w:orient="landscape"/>
          <w:pgMar w:top="1417" w:right="1417" w:bottom="1417" w:left="1417" w:header="708" w:footer="708" w:gutter="0"/>
          <w:pgNumType w:fmt="lowerRoman"/>
          <w:cols w:space="708"/>
          <w:titlePg/>
          <w:docGrid w:linePitch="360"/>
        </w:sectPr>
      </w:pPr>
      <w:r>
        <w:rPr>
          <w:szCs w:val="24"/>
        </w:rPr>
        <w:t xml:space="preserve">Źródło: </w:t>
      </w:r>
      <w:r w:rsidRPr="003948FC">
        <w:rPr>
          <w:szCs w:val="24"/>
        </w:rPr>
        <w:t>Aktualizacja Opracowania Ekofizjograficznego do Projektu Zmiany Planu Zagospodarowania Przestrzennego Województwa Zachodniopomorskiego, Szczecin, 2018</w:t>
      </w:r>
    </w:p>
    <w:p w14:paraId="62B50754" w14:textId="77777777" w:rsidR="00B83214" w:rsidRPr="00D07DA2" w:rsidRDefault="00B83214" w:rsidP="00B83214">
      <w:pPr>
        <w:pBdr>
          <w:bottom w:val="single" w:sz="6" w:space="1" w:color="549E39" w:themeColor="accent1"/>
        </w:pBdr>
        <w:spacing w:before="200" w:after="0"/>
        <w:outlineLvl w:val="4"/>
        <w:rPr>
          <w:b/>
          <w:szCs w:val="24"/>
        </w:rPr>
      </w:pPr>
      <w:r w:rsidRPr="00AE2794">
        <w:rPr>
          <w:caps/>
          <w:color w:val="3E762A" w:themeColor="accent1" w:themeShade="BF"/>
          <w:spacing w:val="10"/>
          <w:szCs w:val="24"/>
        </w:rPr>
        <w:t>obszary</w:t>
      </w:r>
      <w:r w:rsidRPr="00AE2794">
        <w:rPr>
          <w:b/>
          <w:szCs w:val="24"/>
        </w:rPr>
        <w:t xml:space="preserve"> </w:t>
      </w:r>
      <w:r w:rsidRPr="00AE2794">
        <w:rPr>
          <w:caps/>
          <w:color w:val="3E762A" w:themeColor="accent1" w:themeShade="BF"/>
          <w:spacing w:val="10"/>
          <w:szCs w:val="24"/>
        </w:rPr>
        <w:t>chronione</w:t>
      </w:r>
    </w:p>
    <w:p w14:paraId="55E715CE" w14:textId="55931C18" w:rsidR="00B83214" w:rsidRPr="001108E7" w:rsidRDefault="00B83214" w:rsidP="00B83214">
      <w:pPr>
        <w:rPr>
          <w:szCs w:val="24"/>
        </w:rPr>
      </w:pPr>
      <w:r w:rsidRPr="001108E7">
        <w:rPr>
          <w:szCs w:val="24"/>
        </w:rPr>
        <w:t xml:space="preserve">Praktyczny wymiar działań w zakresie ochrony różnorodności biologicznej stanowi utworzenie w Polsce sieci obszarów i obiektów chronionych. Celem utrzymania istniejących form ochrony przyrody oraz tworzenia nowych obszarów jest zapewnienie trwałego zachowania gatunków zwierząt i roślin, zagrożonych wyginięciem w wyniku zmian środowiskowych spowodowanych działalnością człowieka. Obszary o szczególnych walorach przyrodniczych prawnie chronione stanowią </w:t>
      </w:r>
      <w:r>
        <w:rPr>
          <w:szCs w:val="24"/>
        </w:rPr>
        <w:t>21,8</w:t>
      </w:r>
      <w:r w:rsidRPr="001108E7">
        <w:rPr>
          <w:szCs w:val="24"/>
        </w:rPr>
        <w:t xml:space="preserve">% </w:t>
      </w:r>
      <w:r w:rsidRPr="001108E7">
        <w:rPr>
          <w:szCs w:val="24"/>
          <w:vertAlign w:val="superscript"/>
        </w:rPr>
        <w:footnoteReference w:id="68"/>
      </w:r>
      <w:r w:rsidRPr="001108E7">
        <w:rPr>
          <w:szCs w:val="24"/>
        </w:rPr>
        <w:t xml:space="preserve"> (dane za 2020 r.) powierzchni województwa </w:t>
      </w:r>
      <w:r>
        <w:rPr>
          <w:szCs w:val="24"/>
        </w:rPr>
        <w:t xml:space="preserve">zachodniopomorskiego </w:t>
      </w:r>
      <w:r w:rsidRPr="001108E7">
        <w:rPr>
          <w:szCs w:val="24"/>
        </w:rPr>
        <w:t>ogółem.</w:t>
      </w:r>
      <w:r>
        <w:rPr>
          <w:szCs w:val="24"/>
        </w:rPr>
        <w:t xml:space="preserve"> </w:t>
      </w:r>
      <w:r w:rsidRPr="0065252D">
        <w:rPr>
          <w:szCs w:val="24"/>
        </w:rPr>
        <w:t>Wartość ta jest niższa od średniej dla kraju, która wynosi 32,3%.</w:t>
      </w:r>
      <w:r>
        <w:rPr>
          <w:szCs w:val="24"/>
        </w:rPr>
        <w:t xml:space="preserve"> </w:t>
      </w:r>
      <w:r w:rsidRPr="001108E7">
        <w:rPr>
          <w:szCs w:val="24"/>
        </w:rPr>
        <w:t>W tabeli poniżej (</w:t>
      </w:r>
      <w:r>
        <w:rPr>
          <w:szCs w:val="24"/>
        </w:rPr>
        <w:fldChar w:fldCharType="begin"/>
      </w:r>
      <w:r>
        <w:rPr>
          <w:szCs w:val="24"/>
        </w:rPr>
        <w:instrText xml:space="preserve"> REF _Ref97278431 \h  \* MERGEFORMAT </w:instrText>
      </w:r>
      <w:r>
        <w:rPr>
          <w:szCs w:val="24"/>
        </w:rPr>
      </w:r>
      <w:r>
        <w:rPr>
          <w:szCs w:val="24"/>
        </w:rPr>
        <w:fldChar w:fldCharType="separate"/>
      </w:r>
      <w:r w:rsidR="002B5007" w:rsidRPr="002B5007">
        <w:rPr>
          <w:szCs w:val="24"/>
        </w:rPr>
        <w:t>Tabela 2</w:t>
      </w:r>
      <w:r>
        <w:rPr>
          <w:szCs w:val="24"/>
        </w:rPr>
        <w:fldChar w:fldCharType="end"/>
      </w:r>
      <w:r w:rsidRPr="001108E7">
        <w:rPr>
          <w:szCs w:val="24"/>
        </w:rPr>
        <w:t>) zestawiono liczbę poszczególnych rodzajów obszarów chronionych w </w:t>
      </w:r>
      <w:r>
        <w:rPr>
          <w:szCs w:val="24"/>
        </w:rPr>
        <w:t>granicach województwa zachodniopomorskiego</w:t>
      </w:r>
      <w:r w:rsidRPr="001108E7">
        <w:rPr>
          <w:szCs w:val="24"/>
        </w:rPr>
        <w:t>.</w:t>
      </w:r>
    </w:p>
    <w:p w14:paraId="1D3C5615" w14:textId="77777777" w:rsidR="00B83214" w:rsidRPr="001108E7" w:rsidRDefault="00B83214" w:rsidP="00B83214">
      <w:pPr>
        <w:pStyle w:val="Podpispodrysunkiem"/>
      </w:pPr>
      <w:bookmarkStart w:id="96" w:name="_Ref97278431"/>
      <w:bookmarkStart w:id="97" w:name="_Toc97537931"/>
      <w:bookmarkStart w:id="98" w:name="_Toc104790072"/>
      <w:r>
        <w:t xml:space="preserve">Tabela </w:t>
      </w:r>
      <w:r>
        <w:fldChar w:fldCharType="begin"/>
      </w:r>
      <w:r>
        <w:instrText>SEQ Tabela \* ARABIC</w:instrText>
      </w:r>
      <w:r>
        <w:fldChar w:fldCharType="separate"/>
      </w:r>
      <w:r w:rsidR="002B5007">
        <w:rPr>
          <w:noProof/>
        </w:rPr>
        <w:t>2</w:t>
      </w:r>
      <w:r>
        <w:fldChar w:fldCharType="end"/>
      </w:r>
      <w:bookmarkEnd w:id="96"/>
      <w:r w:rsidRPr="001108E7">
        <w:t xml:space="preserve"> Liczba poszczególnych form ochrony przyrody w obrębie województwa </w:t>
      </w:r>
      <w:bookmarkEnd w:id="97"/>
      <w:r>
        <w:t>zachodniopomorskiego</w:t>
      </w:r>
      <w:bookmarkEnd w:id="98"/>
    </w:p>
    <w:tbl>
      <w:tblPr>
        <w:tblStyle w:val="Tabelasiatki1jasnaakcent114"/>
        <w:tblW w:w="8959" w:type="dxa"/>
        <w:tblInd w:w="108" w:type="dxa"/>
        <w:tblLayout w:type="fixed"/>
        <w:tblLook w:val="04A0" w:firstRow="1" w:lastRow="0" w:firstColumn="1" w:lastColumn="0" w:noHBand="0" w:noVBand="1"/>
        <w:tblCaption w:val="Liczba poszczególnych form ochrony przyrody w obrębie województwa śląskiego"/>
        <w:tblDescription w:val="Liczba poszczególnych form ochrony przyrody w obrębie województwa śląskiego"/>
      </w:tblPr>
      <w:tblGrid>
        <w:gridCol w:w="2410"/>
        <w:gridCol w:w="992"/>
        <w:gridCol w:w="2694"/>
        <w:gridCol w:w="2863"/>
      </w:tblGrid>
      <w:tr w:rsidR="00B83214" w:rsidRPr="001108E7" w14:paraId="0D7F7ABC" w14:textId="77777777" w:rsidTr="00B83214">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B7DFA8" w:themeColor="accent1" w:themeTint="66"/>
              <w:left w:val="single" w:sz="4" w:space="0" w:color="B7DFA8" w:themeColor="accent1" w:themeTint="66"/>
              <w:right w:val="single" w:sz="4" w:space="0" w:color="B7DFA8" w:themeColor="accent1" w:themeTint="66"/>
            </w:tcBorders>
            <w:noWrap/>
            <w:hideMark/>
          </w:tcPr>
          <w:p w14:paraId="2EBF19BB" w14:textId="77777777" w:rsidR="00B83214" w:rsidRPr="001108E7" w:rsidRDefault="00B83214" w:rsidP="00B83214">
            <w:pPr>
              <w:keepNext/>
              <w:spacing w:before="0"/>
              <w:rPr>
                <w:szCs w:val="24"/>
              </w:rPr>
            </w:pPr>
            <w:r w:rsidRPr="001108E7">
              <w:rPr>
                <w:szCs w:val="24"/>
              </w:rPr>
              <w:t>Forma ochrony przyrody</w:t>
            </w:r>
          </w:p>
        </w:tc>
        <w:tc>
          <w:tcPr>
            <w:tcW w:w="992" w:type="dxa"/>
            <w:tcBorders>
              <w:top w:val="single" w:sz="4" w:space="0" w:color="B7DFA8" w:themeColor="accent1" w:themeTint="66"/>
              <w:left w:val="single" w:sz="4" w:space="0" w:color="B7DFA8" w:themeColor="accent1" w:themeTint="66"/>
              <w:right w:val="single" w:sz="4" w:space="0" w:color="B7DFA8" w:themeColor="accent1" w:themeTint="66"/>
            </w:tcBorders>
            <w:noWrap/>
            <w:hideMark/>
          </w:tcPr>
          <w:p w14:paraId="744AD3F3" w14:textId="77777777" w:rsidR="00B83214" w:rsidRPr="001108E7" w:rsidRDefault="00B83214" w:rsidP="00B83214">
            <w:pPr>
              <w:keepNext/>
              <w:spacing w:before="0"/>
              <w:jc w:val="center"/>
              <w:cnfStyle w:val="100000000000" w:firstRow="1" w:lastRow="0" w:firstColumn="0" w:lastColumn="0" w:oddVBand="0" w:evenVBand="0" w:oddHBand="0" w:evenHBand="0" w:firstRowFirstColumn="0" w:firstRowLastColumn="0" w:lastRowFirstColumn="0" w:lastRowLastColumn="0"/>
              <w:rPr>
                <w:szCs w:val="24"/>
              </w:rPr>
            </w:pPr>
            <w:r w:rsidRPr="001108E7">
              <w:rPr>
                <w:szCs w:val="24"/>
              </w:rPr>
              <w:t>Liczba</w:t>
            </w:r>
          </w:p>
        </w:tc>
        <w:tc>
          <w:tcPr>
            <w:tcW w:w="2694" w:type="dxa"/>
            <w:tcBorders>
              <w:top w:val="single" w:sz="4" w:space="0" w:color="B7DFA8" w:themeColor="accent1" w:themeTint="66"/>
              <w:left w:val="single" w:sz="4" w:space="0" w:color="B7DFA8" w:themeColor="accent1" w:themeTint="66"/>
              <w:right w:val="single" w:sz="4" w:space="0" w:color="B7DFA8" w:themeColor="accent1" w:themeTint="66"/>
            </w:tcBorders>
            <w:hideMark/>
          </w:tcPr>
          <w:p w14:paraId="75B21A3E" w14:textId="77777777" w:rsidR="00B83214" w:rsidRPr="001108E7" w:rsidRDefault="00B83214" w:rsidP="00B83214">
            <w:pPr>
              <w:keepNext/>
              <w:spacing w:before="0"/>
              <w:jc w:val="center"/>
              <w:cnfStyle w:val="100000000000" w:firstRow="1" w:lastRow="0" w:firstColumn="0" w:lastColumn="0" w:oddVBand="0" w:evenVBand="0" w:oddHBand="0" w:evenHBand="0" w:firstRowFirstColumn="0" w:firstRowLastColumn="0" w:lastRowFirstColumn="0" w:lastRowLastColumn="0"/>
              <w:rPr>
                <w:szCs w:val="24"/>
              </w:rPr>
            </w:pPr>
            <w:r w:rsidRPr="001108E7">
              <w:rPr>
                <w:szCs w:val="24"/>
              </w:rPr>
              <w:t>Powierzchnia obszarów prawnie chronionych</w:t>
            </w:r>
            <w:r w:rsidRPr="001108E7">
              <w:rPr>
                <w:szCs w:val="24"/>
                <w:vertAlign w:val="superscript"/>
              </w:rPr>
              <w:t>*</w:t>
            </w:r>
            <w:r w:rsidRPr="001108E7">
              <w:rPr>
                <w:szCs w:val="24"/>
              </w:rPr>
              <w:t xml:space="preserve"> ogółem [ha]</w:t>
            </w:r>
          </w:p>
        </w:tc>
        <w:tc>
          <w:tcPr>
            <w:tcW w:w="2863" w:type="dxa"/>
            <w:tcBorders>
              <w:top w:val="single" w:sz="4" w:space="0" w:color="B7DFA8" w:themeColor="accent1" w:themeTint="66"/>
              <w:left w:val="single" w:sz="4" w:space="0" w:color="B7DFA8" w:themeColor="accent1" w:themeTint="66"/>
              <w:right w:val="single" w:sz="4" w:space="0" w:color="B7DFA8" w:themeColor="accent1" w:themeTint="66"/>
            </w:tcBorders>
            <w:hideMark/>
          </w:tcPr>
          <w:p w14:paraId="4CA5BE39" w14:textId="77777777" w:rsidR="00B83214" w:rsidRPr="001108E7" w:rsidRDefault="00B83214" w:rsidP="00B83214">
            <w:pPr>
              <w:keepNext/>
              <w:spacing w:before="0"/>
              <w:jc w:val="center"/>
              <w:cnfStyle w:val="100000000000" w:firstRow="1" w:lastRow="0" w:firstColumn="0" w:lastColumn="0" w:oddVBand="0" w:evenVBand="0" w:oddHBand="0" w:evenHBand="0" w:firstRowFirstColumn="0" w:firstRowLastColumn="0" w:lastRowFirstColumn="0" w:lastRowLastColumn="0"/>
              <w:rPr>
                <w:szCs w:val="24"/>
              </w:rPr>
            </w:pPr>
            <w:r w:rsidRPr="001108E7">
              <w:rPr>
                <w:szCs w:val="24"/>
              </w:rPr>
              <w:t>Udział obszarów prawnie chronionych w powierzchni woj. ogółem [%]</w:t>
            </w:r>
          </w:p>
        </w:tc>
      </w:tr>
      <w:tr w:rsidR="00B83214" w:rsidRPr="001108E7" w14:paraId="6A47464B" w14:textId="77777777" w:rsidTr="00B83214">
        <w:trPr>
          <w:trHeight w:val="334"/>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B7DFA8" w:themeColor="accent1" w:themeTint="66"/>
              <w:left w:val="single" w:sz="4" w:space="0" w:color="B7DFA8" w:themeColor="accent1" w:themeTint="66"/>
              <w:right w:val="single" w:sz="4" w:space="0" w:color="B7DFA8" w:themeColor="accent1" w:themeTint="66"/>
            </w:tcBorders>
            <w:noWrap/>
          </w:tcPr>
          <w:p w14:paraId="6E943298" w14:textId="77777777" w:rsidR="00B83214" w:rsidRPr="0065252D" w:rsidRDefault="00B83214" w:rsidP="00B83214">
            <w:pPr>
              <w:keepNext/>
              <w:spacing w:before="0"/>
              <w:rPr>
                <w:b w:val="0"/>
                <w:szCs w:val="24"/>
              </w:rPr>
            </w:pPr>
            <w:r w:rsidRPr="0065252D">
              <w:rPr>
                <w:b w:val="0"/>
                <w:szCs w:val="24"/>
              </w:rPr>
              <w:t>park narodowy</w:t>
            </w:r>
          </w:p>
        </w:tc>
        <w:tc>
          <w:tcPr>
            <w:tcW w:w="992" w:type="dxa"/>
            <w:tcBorders>
              <w:top w:val="single" w:sz="4" w:space="0" w:color="B7DFA8" w:themeColor="accent1" w:themeTint="66"/>
              <w:left w:val="single" w:sz="4" w:space="0" w:color="B7DFA8" w:themeColor="accent1" w:themeTint="66"/>
              <w:right w:val="single" w:sz="4" w:space="0" w:color="B7DFA8" w:themeColor="accent1" w:themeTint="66"/>
            </w:tcBorders>
            <w:noWrap/>
          </w:tcPr>
          <w:p w14:paraId="4665E92E" w14:textId="77777777" w:rsidR="00B83214" w:rsidRPr="001108E7" w:rsidRDefault="00B83214" w:rsidP="00B83214">
            <w:pPr>
              <w:keepNext/>
              <w:spacing w:before="0"/>
              <w:jc w:val="center"/>
              <w:cnfStyle w:val="000000000000" w:firstRow="0" w:lastRow="0" w:firstColumn="0" w:lastColumn="0" w:oddVBand="0" w:evenVBand="0" w:oddHBand="0" w:evenHBand="0" w:firstRowFirstColumn="0" w:firstRowLastColumn="0" w:lastRowFirstColumn="0" w:lastRowLastColumn="0"/>
              <w:rPr>
                <w:szCs w:val="24"/>
              </w:rPr>
            </w:pPr>
            <w:r>
              <w:rPr>
                <w:szCs w:val="24"/>
              </w:rPr>
              <w:t>2</w:t>
            </w:r>
          </w:p>
        </w:tc>
        <w:tc>
          <w:tcPr>
            <w:tcW w:w="2694" w:type="dxa"/>
            <w:vMerge w:val="restart"/>
            <w:tcBorders>
              <w:top w:val="single" w:sz="4" w:space="0" w:color="B7DFA8" w:themeColor="accent1" w:themeTint="66"/>
              <w:left w:val="single" w:sz="4" w:space="0" w:color="B7DFA8" w:themeColor="accent1" w:themeTint="66"/>
              <w:right w:val="single" w:sz="4" w:space="0" w:color="B7DFA8" w:themeColor="accent1" w:themeTint="66"/>
            </w:tcBorders>
            <w:vAlign w:val="center"/>
          </w:tcPr>
          <w:p w14:paraId="4EAF5C35" w14:textId="77777777" w:rsidR="00B83214" w:rsidRPr="001108E7" w:rsidRDefault="00B83214" w:rsidP="00B83214">
            <w:pPr>
              <w:keepNext/>
              <w:spacing w:before="0"/>
              <w:jc w:val="center"/>
              <w:cnfStyle w:val="000000000000" w:firstRow="0" w:lastRow="0" w:firstColumn="0" w:lastColumn="0" w:oddVBand="0" w:evenVBand="0" w:oddHBand="0" w:evenHBand="0" w:firstRowFirstColumn="0" w:firstRowLastColumn="0" w:lastRowFirstColumn="0" w:lastRowLastColumn="0"/>
              <w:rPr>
                <w:szCs w:val="24"/>
              </w:rPr>
            </w:pPr>
            <w:r w:rsidRPr="00FB5CD3">
              <w:rPr>
                <w:szCs w:val="24"/>
              </w:rPr>
              <w:t>498 872,26</w:t>
            </w:r>
          </w:p>
        </w:tc>
        <w:tc>
          <w:tcPr>
            <w:tcW w:w="2863" w:type="dxa"/>
            <w:vMerge w:val="restart"/>
            <w:tcBorders>
              <w:top w:val="single" w:sz="4" w:space="0" w:color="B7DFA8" w:themeColor="accent1" w:themeTint="66"/>
              <w:left w:val="single" w:sz="4" w:space="0" w:color="B7DFA8" w:themeColor="accent1" w:themeTint="66"/>
              <w:right w:val="single" w:sz="4" w:space="0" w:color="B7DFA8" w:themeColor="accent1" w:themeTint="66"/>
            </w:tcBorders>
            <w:vAlign w:val="center"/>
          </w:tcPr>
          <w:p w14:paraId="38713692" w14:textId="77777777" w:rsidR="00B83214" w:rsidRPr="001108E7" w:rsidRDefault="00B83214" w:rsidP="00B83214">
            <w:pPr>
              <w:keepNext/>
              <w:spacing w:before="0"/>
              <w:jc w:val="center"/>
              <w:cnfStyle w:val="000000000000" w:firstRow="0" w:lastRow="0" w:firstColumn="0" w:lastColumn="0" w:oddVBand="0" w:evenVBand="0" w:oddHBand="0" w:evenHBand="0" w:firstRowFirstColumn="0" w:firstRowLastColumn="0" w:lastRowFirstColumn="0" w:lastRowLastColumn="0"/>
              <w:rPr>
                <w:szCs w:val="24"/>
              </w:rPr>
            </w:pPr>
            <w:r>
              <w:rPr>
                <w:szCs w:val="24"/>
              </w:rPr>
              <w:t>21,8</w:t>
            </w:r>
          </w:p>
        </w:tc>
      </w:tr>
      <w:tr w:rsidR="00B83214" w:rsidRPr="001108E7" w14:paraId="0D8BA883" w14:textId="77777777" w:rsidTr="00B83214">
        <w:trPr>
          <w:trHeight w:val="334"/>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B7DFA8" w:themeColor="accent1" w:themeTint="66"/>
              <w:left w:val="single" w:sz="4" w:space="0" w:color="B7DFA8" w:themeColor="accent1" w:themeTint="66"/>
              <w:right w:val="single" w:sz="4" w:space="0" w:color="B7DFA8" w:themeColor="accent1" w:themeTint="66"/>
            </w:tcBorders>
            <w:noWrap/>
          </w:tcPr>
          <w:p w14:paraId="4B60A17C" w14:textId="77777777" w:rsidR="00B83214" w:rsidRPr="001108E7" w:rsidRDefault="00B83214" w:rsidP="00B83214">
            <w:pPr>
              <w:keepNext/>
              <w:spacing w:before="0"/>
              <w:rPr>
                <w:b w:val="0"/>
                <w:szCs w:val="24"/>
              </w:rPr>
            </w:pPr>
            <w:r w:rsidRPr="001108E7">
              <w:rPr>
                <w:b w:val="0"/>
                <w:szCs w:val="24"/>
              </w:rPr>
              <w:t>rezerwat przyrody</w:t>
            </w:r>
          </w:p>
        </w:tc>
        <w:tc>
          <w:tcPr>
            <w:tcW w:w="992" w:type="dxa"/>
            <w:tcBorders>
              <w:top w:val="single" w:sz="4" w:space="0" w:color="B7DFA8" w:themeColor="accent1" w:themeTint="66"/>
              <w:left w:val="single" w:sz="4" w:space="0" w:color="B7DFA8" w:themeColor="accent1" w:themeTint="66"/>
              <w:right w:val="single" w:sz="4" w:space="0" w:color="B7DFA8" w:themeColor="accent1" w:themeTint="66"/>
            </w:tcBorders>
            <w:noWrap/>
          </w:tcPr>
          <w:p w14:paraId="551FDDA6" w14:textId="77777777" w:rsidR="00B83214" w:rsidRPr="001108E7" w:rsidRDefault="00B83214" w:rsidP="00B83214">
            <w:pPr>
              <w:keepNext/>
              <w:spacing w:before="0"/>
              <w:jc w:val="center"/>
              <w:cnfStyle w:val="000000000000" w:firstRow="0" w:lastRow="0" w:firstColumn="0" w:lastColumn="0" w:oddVBand="0" w:evenVBand="0" w:oddHBand="0" w:evenHBand="0" w:firstRowFirstColumn="0" w:firstRowLastColumn="0" w:lastRowFirstColumn="0" w:lastRowLastColumn="0"/>
              <w:rPr>
                <w:szCs w:val="24"/>
              </w:rPr>
            </w:pPr>
            <w:r>
              <w:rPr>
                <w:szCs w:val="24"/>
              </w:rPr>
              <w:t>125</w:t>
            </w:r>
          </w:p>
        </w:tc>
        <w:tc>
          <w:tcPr>
            <w:tcW w:w="2694" w:type="dxa"/>
            <w:vMerge/>
            <w:tcBorders>
              <w:left w:val="single" w:sz="4" w:space="0" w:color="B7DFA8" w:themeColor="accent1" w:themeTint="66"/>
              <w:right w:val="single" w:sz="4" w:space="0" w:color="B7DFA8" w:themeColor="accent1" w:themeTint="66"/>
            </w:tcBorders>
            <w:vAlign w:val="center"/>
            <w:hideMark/>
          </w:tcPr>
          <w:p w14:paraId="42870DB5" w14:textId="77777777" w:rsidR="00B83214" w:rsidRPr="001108E7" w:rsidRDefault="00B83214" w:rsidP="00B83214">
            <w:pPr>
              <w:keepNext/>
              <w:spacing w:before="0"/>
              <w:jc w:val="center"/>
              <w:cnfStyle w:val="000000000000" w:firstRow="0" w:lastRow="0" w:firstColumn="0" w:lastColumn="0" w:oddVBand="0" w:evenVBand="0" w:oddHBand="0" w:evenHBand="0" w:firstRowFirstColumn="0" w:firstRowLastColumn="0" w:lastRowFirstColumn="0" w:lastRowLastColumn="0"/>
              <w:rPr>
                <w:szCs w:val="24"/>
              </w:rPr>
            </w:pPr>
          </w:p>
        </w:tc>
        <w:tc>
          <w:tcPr>
            <w:tcW w:w="2863" w:type="dxa"/>
            <w:vMerge/>
            <w:tcBorders>
              <w:left w:val="single" w:sz="4" w:space="0" w:color="B7DFA8" w:themeColor="accent1" w:themeTint="66"/>
              <w:right w:val="single" w:sz="4" w:space="0" w:color="B7DFA8" w:themeColor="accent1" w:themeTint="66"/>
            </w:tcBorders>
            <w:vAlign w:val="center"/>
            <w:hideMark/>
          </w:tcPr>
          <w:p w14:paraId="5225C1E1" w14:textId="77777777" w:rsidR="00B83214" w:rsidRPr="001108E7" w:rsidRDefault="00B83214" w:rsidP="00B83214">
            <w:pPr>
              <w:keepNext/>
              <w:spacing w:before="0"/>
              <w:jc w:val="center"/>
              <w:cnfStyle w:val="000000000000" w:firstRow="0" w:lastRow="0" w:firstColumn="0" w:lastColumn="0" w:oddVBand="0" w:evenVBand="0" w:oddHBand="0" w:evenHBand="0" w:firstRowFirstColumn="0" w:firstRowLastColumn="0" w:lastRowFirstColumn="0" w:lastRowLastColumn="0"/>
              <w:rPr>
                <w:szCs w:val="24"/>
              </w:rPr>
            </w:pPr>
          </w:p>
        </w:tc>
      </w:tr>
      <w:tr w:rsidR="00B83214" w:rsidRPr="001108E7" w14:paraId="501E189A" w14:textId="77777777" w:rsidTr="00B83214">
        <w:trPr>
          <w:trHeight w:val="30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hideMark/>
          </w:tcPr>
          <w:p w14:paraId="41CC5FEA" w14:textId="77777777" w:rsidR="00B83214" w:rsidRPr="001108E7" w:rsidRDefault="00B83214" w:rsidP="00B83214">
            <w:pPr>
              <w:keepNext/>
              <w:spacing w:before="0"/>
              <w:rPr>
                <w:b w:val="0"/>
                <w:szCs w:val="24"/>
              </w:rPr>
            </w:pPr>
            <w:r w:rsidRPr="001108E7">
              <w:rPr>
                <w:b w:val="0"/>
                <w:szCs w:val="24"/>
              </w:rPr>
              <w:t>park krajobrazowy</w:t>
            </w:r>
          </w:p>
        </w:tc>
        <w:tc>
          <w:tcPr>
            <w:tcW w:w="99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hideMark/>
          </w:tcPr>
          <w:p w14:paraId="588861EF" w14:textId="77777777" w:rsidR="00B83214" w:rsidRPr="001108E7" w:rsidRDefault="00B83214" w:rsidP="00B83214">
            <w:pPr>
              <w:keepNext/>
              <w:spacing w:before="0"/>
              <w:jc w:val="center"/>
              <w:cnfStyle w:val="000000000000" w:firstRow="0" w:lastRow="0" w:firstColumn="0" w:lastColumn="0" w:oddVBand="0" w:evenVBand="0" w:oddHBand="0" w:evenHBand="0" w:firstRowFirstColumn="0" w:firstRowLastColumn="0" w:lastRowFirstColumn="0" w:lastRowLastColumn="0"/>
              <w:rPr>
                <w:szCs w:val="24"/>
              </w:rPr>
            </w:pPr>
            <w:r>
              <w:rPr>
                <w:szCs w:val="24"/>
              </w:rPr>
              <w:t>7</w:t>
            </w:r>
          </w:p>
        </w:tc>
        <w:tc>
          <w:tcPr>
            <w:tcW w:w="2694" w:type="dxa"/>
            <w:vMerge/>
            <w:tcBorders>
              <w:left w:val="single" w:sz="4" w:space="0" w:color="B7DFA8" w:themeColor="accent1" w:themeTint="66"/>
              <w:right w:val="single" w:sz="4" w:space="0" w:color="B7DFA8" w:themeColor="accent1" w:themeTint="66"/>
            </w:tcBorders>
            <w:vAlign w:val="center"/>
            <w:hideMark/>
          </w:tcPr>
          <w:p w14:paraId="0321E412" w14:textId="77777777" w:rsidR="00B83214" w:rsidRPr="001108E7" w:rsidRDefault="00B83214" w:rsidP="00B83214">
            <w:pPr>
              <w:keepNext/>
              <w:spacing w:before="0"/>
              <w:cnfStyle w:val="000000000000" w:firstRow="0" w:lastRow="0" w:firstColumn="0" w:lastColumn="0" w:oddVBand="0" w:evenVBand="0" w:oddHBand="0" w:evenHBand="0" w:firstRowFirstColumn="0" w:firstRowLastColumn="0" w:lastRowFirstColumn="0" w:lastRowLastColumn="0"/>
              <w:rPr>
                <w:szCs w:val="24"/>
              </w:rPr>
            </w:pPr>
          </w:p>
        </w:tc>
        <w:tc>
          <w:tcPr>
            <w:tcW w:w="2863" w:type="dxa"/>
            <w:vMerge/>
            <w:tcBorders>
              <w:left w:val="single" w:sz="4" w:space="0" w:color="B7DFA8" w:themeColor="accent1" w:themeTint="66"/>
              <w:right w:val="single" w:sz="4" w:space="0" w:color="B7DFA8" w:themeColor="accent1" w:themeTint="66"/>
            </w:tcBorders>
            <w:vAlign w:val="center"/>
            <w:hideMark/>
          </w:tcPr>
          <w:p w14:paraId="46373CA3" w14:textId="77777777" w:rsidR="00B83214" w:rsidRPr="001108E7" w:rsidRDefault="00B83214" w:rsidP="00B83214">
            <w:pPr>
              <w:keepNext/>
              <w:spacing w:before="0"/>
              <w:cnfStyle w:val="000000000000" w:firstRow="0" w:lastRow="0" w:firstColumn="0" w:lastColumn="0" w:oddVBand="0" w:evenVBand="0" w:oddHBand="0" w:evenHBand="0" w:firstRowFirstColumn="0" w:firstRowLastColumn="0" w:lastRowFirstColumn="0" w:lastRowLastColumn="0"/>
              <w:rPr>
                <w:szCs w:val="24"/>
              </w:rPr>
            </w:pPr>
          </w:p>
        </w:tc>
      </w:tr>
      <w:tr w:rsidR="00B83214" w:rsidRPr="001108E7" w14:paraId="01277E54" w14:textId="77777777" w:rsidTr="00B83214">
        <w:trPr>
          <w:trHeight w:val="30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hideMark/>
          </w:tcPr>
          <w:p w14:paraId="2DA29F31" w14:textId="77777777" w:rsidR="00B83214" w:rsidRPr="001108E7" w:rsidRDefault="00B83214" w:rsidP="00B83214">
            <w:pPr>
              <w:keepNext/>
              <w:spacing w:before="0"/>
              <w:rPr>
                <w:b w:val="0"/>
                <w:szCs w:val="24"/>
              </w:rPr>
            </w:pPr>
            <w:r w:rsidRPr="001108E7">
              <w:rPr>
                <w:b w:val="0"/>
                <w:szCs w:val="24"/>
              </w:rPr>
              <w:t>obszar chronionego krajobrazu</w:t>
            </w:r>
          </w:p>
        </w:tc>
        <w:tc>
          <w:tcPr>
            <w:tcW w:w="99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hideMark/>
          </w:tcPr>
          <w:p w14:paraId="52C1ED12" w14:textId="77777777" w:rsidR="00B83214" w:rsidRPr="001108E7" w:rsidRDefault="00B83214" w:rsidP="00B83214">
            <w:pPr>
              <w:keepNext/>
              <w:spacing w:before="0"/>
              <w:jc w:val="center"/>
              <w:cnfStyle w:val="000000000000" w:firstRow="0" w:lastRow="0" w:firstColumn="0" w:lastColumn="0" w:oddVBand="0" w:evenVBand="0" w:oddHBand="0" w:evenHBand="0" w:firstRowFirstColumn="0" w:firstRowLastColumn="0" w:lastRowFirstColumn="0" w:lastRowLastColumn="0"/>
              <w:rPr>
                <w:szCs w:val="24"/>
              </w:rPr>
            </w:pPr>
            <w:r>
              <w:rPr>
                <w:szCs w:val="24"/>
              </w:rPr>
              <w:t>22</w:t>
            </w:r>
          </w:p>
        </w:tc>
        <w:tc>
          <w:tcPr>
            <w:tcW w:w="2694" w:type="dxa"/>
            <w:vMerge/>
            <w:tcBorders>
              <w:left w:val="single" w:sz="4" w:space="0" w:color="B7DFA8" w:themeColor="accent1" w:themeTint="66"/>
              <w:right w:val="single" w:sz="4" w:space="0" w:color="B7DFA8" w:themeColor="accent1" w:themeTint="66"/>
            </w:tcBorders>
            <w:vAlign w:val="center"/>
            <w:hideMark/>
          </w:tcPr>
          <w:p w14:paraId="74B0B64F" w14:textId="77777777" w:rsidR="00B83214" w:rsidRPr="001108E7" w:rsidRDefault="00B83214" w:rsidP="00B83214">
            <w:pPr>
              <w:keepNext/>
              <w:spacing w:before="0"/>
              <w:cnfStyle w:val="000000000000" w:firstRow="0" w:lastRow="0" w:firstColumn="0" w:lastColumn="0" w:oddVBand="0" w:evenVBand="0" w:oddHBand="0" w:evenHBand="0" w:firstRowFirstColumn="0" w:firstRowLastColumn="0" w:lastRowFirstColumn="0" w:lastRowLastColumn="0"/>
              <w:rPr>
                <w:szCs w:val="24"/>
              </w:rPr>
            </w:pPr>
          </w:p>
        </w:tc>
        <w:tc>
          <w:tcPr>
            <w:tcW w:w="2863" w:type="dxa"/>
            <w:vMerge/>
            <w:tcBorders>
              <w:left w:val="single" w:sz="4" w:space="0" w:color="B7DFA8" w:themeColor="accent1" w:themeTint="66"/>
              <w:right w:val="single" w:sz="4" w:space="0" w:color="B7DFA8" w:themeColor="accent1" w:themeTint="66"/>
            </w:tcBorders>
            <w:vAlign w:val="center"/>
            <w:hideMark/>
          </w:tcPr>
          <w:p w14:paraId="3A4EEEAF" w14:textId="77777777" w:rsidR="00B83214" w:rsidRPr="001108E7" w:rsidRDefault="00B83214" w:rsidP="00B83214">
            <w:pPr>
              <w:keepNext/>
              <w:spacing w:before="0"/>
              <w:cnfStyle w:val="000000000000" w:firstRow="0" w:lastRow="0" w:firstColumn="0" w:lastColumn="0" w:oddVBand="0" w:evenVBand="0" w:oddHBand="0" w:evenHBand="0" w:firstRowFirstColumn="0" w:firstRowLastColumn="0" w:lastRowFirstColumn="0" w:lastRowLastColumn="0"/>
              <w:rPr>
                <w:szCs w:val="24"/>
              </w:rPr>
            </w:pPr>
          </w:p>
        </w:tc>
      </w:tr>
      <w:tr w:rsidR="00B83214" w:rsidRPr="001108E7" w14:paraId="54E29F41" w14:textId="77777777" w:rsidTr="00B83214">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hideMark/>
          </w:tcPr>
          <w:p w14:paraId="63260C51" w14:textId="77777777" w:rsidR="00B83214" w:rsidRPr="001108E7" w:rsidRDefault="00B83214" w:rsidP="00B83214">
            <w:pPr>
              <w:keepNext/>
              <w:spacing w:before="0"/>
              <w:rPr>
                <w:b w:val="0"/>
                <w:szCs w:val="24"/>
              </w:rPr>
            </w:pPr>
            <w:r w:rsidRPr="001108E7">
              <w:rPr>
                <w:b w:val="0"/>
                <w:szCs w:val="24"/>
              </w:rPr>
              <w:t>zespół przyrodniczo-krajobrazowy</w:t>
            </w:r>
          </w:p>
        </w:tc>
        <w:tc>
          <w:tcPr>
            <w:tcW w:w="99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hideMark/>
          </w:tcPr>
          <w:p w14:paraId="45B37B49" w14:textId="77777777" w:rsidR="00B83214" w:rsidRPr="001108E7" w:rsidRDefault="00B83214" w:rsidP="00B83214">
            <w:pPr>
              <w:keepNext/>
              <w:spacing w:before="0"/>
              <w:jc w:val="center"/>
              <w:cnfStyle w:val="000000000000" w:firstRow="0" w:lastRow="0" w:firstColumn="0" w:lastColumn="0" w:oddVBand="0" w:evenVBand="0" w:oddHBand="0" w:evenHBand="0" w:firstRowFirstColumn="0" w:firstRowLastColumn="0" w:lastRowFirstColumn="0" w:lastRowLastColumn="0"/>
              <w:rPr>
                <w:szCs w:val="24"/>
              </w:rPr>
            </w:pPr>
            <w:r>
              <w:rPr>
                <w:szCs w:val="24"/>
              </w:rPr>
              <w:t>43</w:t>
            </w:r>
          </w:p>
        </w:tc>
        <w:tc>
          <w:tcPr>
            <w:tcW w:w="2694" w:type="dxa"/>
            <w:vMerge/>
            <w:tcBorders>
              <w:left w:val="single" w:sz="4" w:space="0" w:color="B7DFA8" w:themeColor="accent1" w:themeTint="66"/>
              <w:right w:val="single" w:sz="4" w:space="0" w:color="B7DFA8" w:themeColor="accent1" w:themeTint="66"/>
            </w:tcBorders>
            <w:vAlign w:val="center"/>
            <w:hideMark/>
          </w:tcPr>
          <w:p w14:paraId="118D6821" w14:textId="77777777" w:rsidR="00B83214" w:rsidRPr="001108E7" w:rsidRDefault="00B83214" w:rsidP="00B83214">
            <w:pPr>
              <w:keepNext/>
              <w:spacing w:before="0"/>
              <w:cnfStyle w:val="000000000000" w:firstRow="0" w:lastRow="0" w:firstColumn="0" w:lastColumn="0" w:oddVBand="0" w:evenVBand="0" w:oddHBand="0" w:evenHBand="0" w:firstRowFirstColumn="0" w:firstRowLastColumn="0" w:lastRowFirstColumn="0" w:lastRowLastColumn="0"/>
              <w:rPr>
                <w:szCs w:val="24"/>
              </w:rPr>
            </w:pPr>
          </w:p>
        </w:tc>
        <w:tc>
          <w:tcPr>
            <w:tcW w:w="2863" w:type="dxa"/>
            <w:vMerge/>
            <w:tcBorders>
              <w:left w:val="single" w:sz="4" w:space="0" w:color="B7DFA8" w:themeColor="accent1" w:themeTint="66"/>
              <w:right w:val="single" w:sz="4" w:space="0" w:color="B7DFA8" w:themeColor="accent1" w:themeTint="66"/>
            </w:tcBorders>
            <w:vAlign w:val="center"/>
            <w:hideMark/>
          </w:tcPr>
          <w:p w14:paraId="78E06DD6" w14:textId="77777777" w:rsidR="00B83214" w:rsidRPr="001108E7" w:rsidRDefault="00B83214" w:rsidP="00B83214">
            <w:pPr>
              <w:keepNext/>
              <w:spacing w:before="0"/>
              <w:cnfStyle w:val="000000000000" w:firstRow="0" w:lastRow="0" w:firstColumn="0" w:lastColumn="0" w:oddVBand="0" w:evenVBand="0" w:oddHBand="0" w:evenHBand="0" w:firstRowFirstColumn="0" w:firstRowLastColumn="0" w:lastRowFirstColumn="0" w:lastRowLastColumn="0"/>
              <w:rPr>
                <w:szCs w:val="24"/>
              </w:rPr>
            </w:pPr>
          </w:p>
        </w:tc>
      </w:tr>
      <w:tr w:rsidR="00B83214" w:rsidRPr="001108E7" w14:paraId="738A0101" w14:textId="77777777" w:rsidTr="00B83214">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15046BD7" w14:textId="77777777" w:rsidR="00B83214" w:rsidRPr="001108E7" w:rsidRDefault="00B83214" w:rsidP="00B83214">
            <w:pPr>
              <w:keepNext/>
              <w:spacing w:before="0"/>
              <w:rPr>
                <w:szCs w:val="24"/>
              </w:rPr>
            </w:pPr>
            <w:r w:rsidRPr="001108E7">
              <w:rPr>
                <w:b w:val="0"/>
                <w:szCs w:val="24"/>
              </w:rPr>
              <w:t>użytek ekologiczny</w:t>
            </w:r>
          </w:p>
        </w:tc>
        <w:tc>
          <w:tcPr>
            <w:tcW w:w="99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65A9C7CF" w14:textId="77777777" w:rsidR="00B83214" w:rsidRPr="001108E7" w:rsidRDefault="00B83214" w:rsidP="00B83214">
            <w:pPr>
              <w:keepNext/>
              <w:spacing w:before="0"/>
              <w:jc w:val="center"/>
              <w:cnfStyle w:val="000000000000" w:firstRow="0" w:lastRow="0" w:firstColumn="0" w:lastColumn="0" w:oddVBand="0" w:evenVBand="0" w:oddHBand="0" w:evenHBand="0" w:firstRowFirstColumn="0" w:firstRowLastColumn="0" w:lastRowFirstColumn="0" w:lastRowLastColumn="0"/>
              <w:rPr>
                <w:szCs w:val="24"/>
              </w:rPr>
            </w:pPr>
            <w:r>
              <w:rPr>
                <w:szCs w:val="24"/>
              </w:rPr>
              <w:t>624</w:t>
            </w:r>
          </w:p>
        </w:tc>
        <w:tc>
          <w:tcPr>
            <w:tcW w:w="2694" w:type="dxa"/>
            <w:vMerge/>
            <w:tcBorders>
              <w:left w:val="single" w:sz="4" w:space="0" w:color="B7DFA8" w:themeColor="accent1" w:themeTint="66"/>
              <w:right w:val="single" w:sz="4" w:space="0" w:color="B7DFA8" w:themeColor="accent1" w:themeTint="66"/>
            </w:tcBorders>
            <w:vAlign w:val="center"/>
          </w:tcPr>
          <w:p w14:paraId="3D632C96" w14:textId="77777777" w:rsidR="00B83214" w:rsidRPr="001108E7" w:rsidRDefault="00B83214" w:rsidP="00B83214">
            <w:pPr>
              <w:keepNext/>
              <w:spacing w:before="0"/>
              <w:cnfStyle w:val="000000000000" w:firstRow="0" w:lastRow="0" w:firstColumn="0" w:lastColumn="0" w:oddVBand="0" w:evenVBand="0" w:oddHBand="0" w:evenHBand="0" w:firstRowFirstColumn="0" w:firstRowLastColumn="0" w:lastRowFirstColumn="0" w:lastRowLastColumn="0"/>
              <w:rPr>
                <w:szCs w:val="24"/>
              </w:rPr>
            </w:pPr>
          </w:p>
        </w:tc>
        <w:tc>
          <w:tcPr>
            <w:tcW w:w="2863" w:type="dxa"/>
            <w:vMerge/>
            <w:tcBorders>
              <w:left w:val="single" w:sz="4" w:space="0" w:color="B7DFA8" w:themeColor="accent1" w:themeTint="66"/>
              <w:right w:val="single" w:sz="4" w:space="0" w:color="B7DFA8" w:themeColor="accent1" w:themeTint="66"/>
            </w:tcBorders>
            <w:vAlign w:val="center"/>
          </w:tcPr>
          <w:p w14:paraId="20B24EE9" w14:textId="77777777" w:rsidR="00B83214" w:rsidRPr="001108E7" w:rsidRDefault="00B83214" w:rsidP="00B83214">
            <w:pPr>
              <w:keepNext/>
              <w:spacing w:before="0"/>
              <w:cnfStyle w:val="000000000000" w:firstRow="0" w:lastRow="0" w:firstColumn="0" w:lastColumn="0" w:oddVBand="0" w:evenVBand="0" w:oddHBand="0" w:evenHBand="0" w:firstRowFirstColumn="0" w:firstRowLastColumn="0" w:lastRowFirstColumn="0" w:lastRowLastColumn="0"/>
              <w:rPr>
                <w:szCs w:val="24"/>
              </w:rPr>
            </w:pPr>
          </w:p>
        </w:tc>
      </w:tr>
      <w:tr w:rsidR="00B83214" w:rsidRPr="001108E7" w14:paraId="1420AD9D" w14:textId="77777777" w:rsidTr="00B83214">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105584B1" w14:textId="77777777" w:rsidR="00B83214" w:rsidRPr="001108E7" w:rsidRDefault="00B83214" w:rsidP="00B83214">
            <w:pPr>
              <w:keepNext/>
              <w:spacing w:before="0"/>
              <w:rPr>
                <w:b w:val="0"/>
                <w:bCs w:val="0"/>
                <w:szCs w:val="24"/>
              </w:rPr>
            </w:pPr>
            <w:r w:rsidRPr="001108E7">
              <w:rPr>
                <w:b w:val="0"/>
                <w:bCs w:val="0"/>
                <w:szCs w:val="24"/>
              </w:rPr>
              <w:t>stanowisko dokumentacyjne</w:t>
            </w:r>
          </w:p>
        </w:tc>
        <w:tc>
          <w:tcPr>
            <w:tcW w:w="99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3BD04169" w14:textId="77777777" w:rsidR="00B83214" w:rsidRPr="001108E7" w:rsidRDefault="00B83214" w:rsidP="00B83214">
            <w:pPr>
              <w:keepNext/>
              <w:spacing w:before="0"/>
              <w:jc w:val="center"/>
              <w:cnfStyle w:val="000000000000" w:firstRow="0" w:lastRow="0" w:firstColumn="0" w:lastColumn="0" w:oddVBand="0" w:evenVBand="0" w:oddHBand="0" w:evenHBand="0" w:firstRowFirstColumn="0" w:firstRowLastColumn="0" w:lastRowFirstColumn="0" w:lastRowLastColumn="0"/>
              <w:rPr>
                <w:szCs w:val="24"/>
              </w:rPr>
            </w:pPr>
            <w:r>
              <w:rPr>
                <w:szCs w:val="24"/>
              </w:rPr>
              <w:t>9</w:t>
            </w:r>
          </w:p>
        </w:tc>
        <w:tc>
          <w:tcPr>
            <w:tcW w:w="2694" w:type="dxa"/>
            <w:vMerge/>
            <w:tcBorders>
              <w:left w:val="single" w:sz="4" w:space="0" w:color="B7DFA8" w:themeColor="accent1" w:themeTint="66"/>
              <w:right w:val="single" w:sz="4" w:space="0" w:color="B7DFA8" w:themeColor="accent1" w:themeTint="66"/>
            </w:tcBorders>
            <w:vAlign w:val="center"/>
          </w:tcPr>
          <w:p w14:paraId="3F6A1B15" w14:textId="77777777" w:rsidR="00B83214" w:rsidRPr="001108E7" w:rsidRDefault="00B83214" w:rsidP="00B83214">
            <w:pPr>
              <w:keepNext/>
              <w:spacing w:before="0"/>
              <w:cnfStyle w:val="000000000000" w:firstRow="0" w:lastRow="0" w:firstColumn="0" w:lastColumn="0" w:oddVBand="0" w:evenVBand="0" w:oddHBand="0" w:evenHBand="0" w:firstRowFirstColumn="0" w:firstRowLastColumn="0" w:lastRowFirstColumn="0" w:lastRowLastColumn="0"/>
              <w:rPr>
                <w:szCs w:val="24"/>
              </w:rPr>
            </w:pPr>
          </w:p>
        </w:tc>
        <w:tc>
          <w:tcPr>
            <w:tcW w:w="2863" w:type="dxa"/>
            <w:vMerge/>
            <w:tcBorders>
              <w:left w:val="single" w:sz="4" w:space="0" w:color="B7DFA8" w:themeColor="accent1" w:themeTint="66"/>
              <w:right w:val="single" w:sz="4" w:space="0" w:color="B7DFA8" w:themeColor="accent1" w:themeTint="66"/>
            </w:tcBorders>
            <w:vAlign w:val="center"/>
          </w:tcPr>
          <w:p w14:paraId="649DC879" w14:textId="77777777" w:rsidR="00B83214" w:rsidRPr="001108E7" w:rsidRDefault="00B83214" w:rsidP="00B83214">
            <w:pPr>
              <w:keepNext/>
              <w:spacing w:before="0"/>
              <w:cnfStyle w:val="000000000000" w:firstRow="0" w:lastRow="0" w:firstColumn="0" w:lastColumn="0" w:oddVBand="0" w:evenVBand="0" w:oddHBand="0" w:evenHBand="0" w:firstRowFirstColumn="0" w:firstRowLastColumn="0" w:lastRowFirstColumn="0" w:lastRowLastColumn="0"/>
              <w:rPr>
                <w:szCs w:val="24"/>
              </w:rPr>
            </w:pPr>
          </w:p>
        </w:tc>
      </w:tr>
      <w:tr w:rsidR="00B83214" w:rsidRPr="001108E7" w14:paraId="24D9A59C" w14:textId="77777777" w:rsidTr="00B83214">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44B129D7" w14:textId="77777777" w:rsidR="00B83214" w:rsidRPr="001108E7" w:rsidRDefault="00B83214" w:rsidP="00B83214">
            <w:pPr>
              <w:keepNext/>
              <w:spacing w:before="0"/>
              <w:rPr>
                <w:b w:val="0"/>
                <w:bCs w:val="0"/>
                <w:szCs w:val="24"/>
              </w:rPr>
            </w:pPr>
            <w:r w:rsidRPr="001108E7">
              <w:rPr>
                <w:b w:val="0"/>
                <w:bCs w:val="0"/>
                <w:szCs w:val="24"/>
              </w:rPr>
              <w:t>pomnik przyrody</w:t>
            </w:r>
          </w:p>
        </w:tc>
        <w:tc>
          <w:tcPr>
            <w:tcW w:w="99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5B9EF3B9" w14:textId="77777777" w:rsidR="00B83214" w:rsidRPr="001108E7" w:rsidRDefault="00B83214" w:rsidP="00B83214">
            <w:pPr>
              <w:keepNext/>
              <w:spacing w:before="0"/>
              <w:jc w:val="center"/>
              <w:cnfStyle w:val="000000000000" w:firstRow="0" w:lastRow="0" w:firstColumn="0" w:lastColumn="0" w:oddVBand="0" w:evenVBand="0" w:oddHBand="0" w:evenHBand="0" w:firstRowFirstColumn="0" w:firstRowLastColumn="0" w:lastRowFirstColumn="0" w:lastRowLastColumn="0"/>
              <w:rPr>
                <w:szCs w:val="24"/>
              </w:rPr>
            </w:pPr>
            <w:r>
              <w:rPr>
                <w:szCs w:val="24"/>
              </w:rPr>
              <w:t>2 383</w:t>
            </w:r>
          </w:p>
        </w:tc>
        <w:tc>
          <w:tcPr>
            <w:tcW w:w="2694" w:type="dxa"/>
            <w:vMerge/>
            <w:tcBorders>
              <w:left w:val="single" w:sz="4" w:space="0" w:color="B7DFA8" w:themeColor="accent1" w:themeTint="66"/>
              <w:bottom w:val="single" w:sz="4" w:space="0" w:color="B7DFA8" w:themeColor="accent1" w:themeTint="66"/>
              <w:right w:val="single" w:sz="4" w:space="0" w:color="B7DFA8" w:themeColor="accent1" w:themeTint="66"/>
            </w:tcBorders>
            <w:vAlign w:val="center"/>
          </w:tcPr>
          <w:p w14:paraId="7BF8D925" w14:textId="77777777" w:rsidR="00B83214" w:rsidRPr="001108E7" w:rsidRDefault="00B83214" w:rsidP="00B83214">
            <w:pPr>
              <w:keepNext/>
              <w:spacing w:before="0"/>
              <w:cnfStyle w:val="000000000000" w:firstRow="0" w:lastRow="0" w:firstColumn="0" w:lastColumn="0" w:oddVBand="0" w:evenVBand="0" w:oddHBand="0" w:evenHBand="0" w:firstRowFirstColumn="0" w:firstRowLastColumn="0" w:lastRowFirstColumn="0" w:lastRowLastColumn="0"/>
              <w:rPr>
                <w:szCs w:val="24"/>
              </w:rPr>
            </w:pPr>
          </w:p>
        </w:tc>
        <w:tc>
          <w:tcPr>
            <w:tcW w:w="2863" w:type="dxa"/>
            <w:vMerge/>
            <w:tcBorders>
              <w:left w:val="single" w:sz="4" w:space="0" w:color="B7DFA8" w:themeColor="accent1" w:themeTint="66"/>
              <w:bottom w:val="single" w:sz="4" w:space="0" w:color="B7DFA8" w:themeColor="accent1" w:themeTint="66"/>
              <w:right w:val="single" w:sz="4" w:space="0" w:color="B7DFA8" w:themeColor="accent1" w:themeTint="66"/>
            </w:tcBorders>
            <w:vAlign w:val="center"/>
          </w:tcPr>
          <w:p w14:paraId="14AF5196" w14:textId="77777777" w:rsidR="00B83214" w:rsidRPr="001108E7" w:rsidRDefault="00B83214" w:rsidP="00B83214">
            <w:pPr>
              <w:keepNext/>
              <w:spacing w:before="0"/>
              <w:cnfStyle w:val="000000000000" w:firstRow="0" w:lastRow="0" w:firstColumn="0" w:lastColumn="0" w:oddVBand="0" w:evenVBand="0" w:oddHBand="0" w:evenHBand="0" w:firstRowFirstColumn="0" w:firstRowLastColumn="0" w:lastRowFirstColumn="0" w:lastRowLastColumn="0"/>
              <w:rPr>
                <w:szCs w:val="24"/>
              </w:rPr>
            </w:pPr>
          </w:p>
        </w:tc>
      </w:tr>
    </w:tbl>
    <w:p w14:paraId="4CB31B67" w14:textId="77777777" w:rsidR="00B83214" w:rsidRPr="001108E7" w:rsidRDefault="00B83214" w:rsidP="00B83214">
      <w:pPr>
        <w:keepNext/>
        <w:spacing w:before="0" w:after="0"/>
        <w:rPr>
          <w:i/>
          <w:szCs w:val="24"/>
        </w:rPr>
      </w:pPr>
      <w:r w:rsidRPr="001108E7">
        <w:rPr>
          <w:szCs w:val="24"/>
        </w:rPr>
        <w:t xml:space="preserve">* </w:t>
      </w:r>
      <w:r w:rsidRPr="001108E7">
        <w:rPr>
          <w:i/>
          <w:szCs w:val="24"/>
        </w:rPr>
        <w:t>Powierzchnia o szczególnych walorach przyrodniczych prawnie chroniona to zgodnie z definicją pojęć stosowanych w statystyce publicznej powierzchnia obszarów objętych formami ochrony przyrody żywej i nieożywionej oraz krajobrazu w celu ochrony zasobów, tworów i składników przyrody tj.: parków narodowych, rezerwatów przyrody, parków krajobrazowych, obszarów chronionego krajobrazu, stanowisk dokumentacyjnych, użytków ekologicznych i zespołów przyrodniczo-krajobrazowych, nie uwzględnia powierzchni rezerwatów przyrody, stanowisk dokumentacyjnych, użytków ekologicznych i zespołów przyrodniczo-krajobrazowych położonych na terenie parków krajobrazowych i obszarów chronionego krajobrazu, w celu wyeliminowania podwójnego liczenia tej samej powierzchni.</w:t>
      </w:r>
    </w:p>
    <w:p w14:paraId="0E2F0E12" w14:textId="77777777" w:rsidR="00B83214" w:rsidRPr="001108E7" w:rsidRDefault="00B83214" w:rsidP="00B83214">
      <w:pPr>
        <w:jc w:val="both"/>
        <w:rPr>
          <w:szCs w:val="18"/>
        </w:rPr>
      </w:pPr>
      <w:r w:rsidRPr="001108E7">
        <w:rPr>
          <w:szCs w:val="18"/>
        </w:rPr>
        <w:t xml:space="preserve">Źródło: GUS BDL, dane za 2020 r.; Centralny Rejestr Form Ochrony Przyrody, crfop.gdos.gov.pl; </w:t>
      </w:r>
      <w:hyperlink r:id="rId19" w:history="1">
        <w:r w:rsidRPr="001108E7">
          <w:rPr>
            <w:color w:val="6B9F25" w:themeColor="hyperlink"/>
            <w:szCs w:val="24"/>
            <w:u w:val="single"/>
          </w:rPr>
          <w:t>https://stat.gov.pl/</w:t>
        </w:r>
      </w:hyperlink>
      <w:r>
        <w:rPr>
          <w:color w:val="6B9F25" w:themeColor="hyperlink"/>
          <w:szCs w:val="24"/>
          <w:u w:val="single"/>
        </w:rPr>
        <w:t>;</w:t>
      </w:r>
      <w:r w:rsidRPr="001108E7">
        <w:rPr>
          <w:szCs w:val="18"/>
        </w:rPr>
        <w:t xml:space="preserve"> (</w:t>
      </w:r>
      <w:r>
        <w:rPr>
          <w:szCs w:val="18"/>
        </w:rPr>
        <w:t>dostęp z dn.: 05.05</w:t>
      </w:r>
      <w:r w:rsidRPr="001108E7">
        <w:rPr>
          <w:szCs w:val="18"/>
        </w:rPr>
        <w:t>.2022)</w:t>
      </w:r>
    </w:p>
    <w:p w14:paraId="3E3B7F3D" w14:textId="77777777" w:rsidR="00B83214" w:rsidRDefault="00B83214" w:rsidP="00B83214">
      <w:pPr>
        <w:rPr>
          <w:szCs w:val="24"/>
        </w:rPr>
      </w:pPr>
      <w:r w:rsidRPr="001108E7">
        <w:rPr>
          <w:szCs w:val="24"/>
        </w:rPr>
        <w:t xml:space="preserve">W granicach województwa </w:t>
      </w:r>
      <w:r>
        <w:rPr>
          <w:szCs w:val="24"/>
        </w:rPr>
        <w:t xml:space="preserve">występują </w:t>
      </w:r>
      <w:r w:rsidRPr="00B411FC">
        <w:rPr>
          <w:b/>
          <w:szCs w:val="24"/>
        </w:rPr>
        <w:t>2</w:t>
      </w:r>
      <w:r>
        <w:rPr>
          <w:szCs w:val="24"/>
        </w:rPr>
        <w:t xml:space="preserve"> </w:t>
      </w:r>
      <w:r w:rsidRPr="001108E7">
        <w:rPr>
          <w:b/>
          <w:szCs w:val="24"/>
        </w:rPr>
        <w:t>park</w:t>
      </w:r>
      <w:r w:rsidRPr="00856451">
        <w:rPr>
          <w:b/>
          <w:szCs w:val="24"/>
        </w:rPr>
        <w:t>i</w:t>
      </w:r>
      <w:r w:rsidRPr="001108E7">
        <w:rPr>
          <w:b/>
          <w:szCs w:val="24"/>
        </w:rPr>
        <w:t xml:space="preserve"> </w:t>
      </w:r>
      <w:r w:rsidRPr="00856451">
        <w:rPr>
          <w:b/>
          <w:szCs w:val="24"/>
        </w:rPr>
        <w:t>narodowe</w:t>
      </w:r>
      <w:r>
        <w:rPr>
          <w:szCs w:val="24"/>
        </w:rPr>
        <w:t xml:space="preserve">: </w:t>
      </w:r>
      <w:r>
        <w:t>Woliński Park Narodowy i Drawieński Park Narodowy</w:t>
      </w:r>
      <w:r>
        <w:rPr>
          <w:szCs w:val="24"/>
        </w:rPr>
        <w:t xml:space="preserve"> -</w:t>
      </w:r>
      <w:r w:rsidRPr="001108E7">
        <w:rPr>
          <w:szCs w:val="24"/>
        </w:rPr>
        <w:t xml:space="preserve"> forma ochrony przyrody o najwyższej randze ochronnej</w:t>
      </w:r>
      <w:r>
        <w:rPr>
          <w:szCs w:val="24"/>
        </w:rPr>
        <w:t>.</w:t>
      </w:r>
      <w:r w:rsidRPr="001108E7">
        <w:rPr>
          <w:szCs w:val="24"/>
        </w:rPr>
        <w:t xml:space="preserve"> </w:t>
      </w:r>
      <w:r>
        <w:rPr>
          <w:szCs w:val="24"/>
        </w:rPr>
        <w:t xml:space="preserve">Pokrywają one 0,59% powierzchni województwa zajmując obszar </w:t>
      </w:r>
      <w:r>
        <w:t xml:space="preserve">13 594,81 ha. </w:t>
      </w:r>
      <w:r w:rsidRPr="00AD1A7D">
        <w:rPr>
          <w:szCs w:val="24"/>
        </w:rPr>
        <w:t>Dla Drawieńskiego Parku Narodowego</w:t>
      </w:r>
      <w:r w:rsidRPr="00AD1A7D">
        <w:rPr>
          <w:rStyle w:val="Odwoanieprzypisudolnego"/>
          <w:szCs w:val="24"/>
        </w:rPr>
        <w:footnoteReference w:id="69"/>
      </w:r>
      <w:r w:rsidRPr="00AD1A7D">
        <w:rPr>
          <w:szCs w:val="24"/>
        </w:rPr>
        <w:t xml:space="preserve"> oraz Wolińskiego Parku Narodowego</w:t>
      </w:r>
      <w:r w:rsidRPr="00AD1A7D">
        <w:rPr>
          <w:rStyle w:val="Odwoanieprzypisudolnego"/>
          <w:szCs w:val="24"/>
        </w:rPr>
        <w:footnoteReference w:id="70"/>
      </w:r>
      <w:r w:rsidRPr="00AD1A7D">
        <w:rPr>
          <w:szCs w:val="24"/>
        </w:rPr>
        <w:t xml:space="preserve"> obowiązują przyjęte zarządzeniami Ministra Klimatu zadania ochronne. Ponadto dla Drawieńskiego Parku Narodowego opracowano projekt planu ochrony</w:t>
      </w:r>
      <w:r>
        <w:rPr>
          <w:rStyle w:val="Odwoanieprzypisudolnego"/>
          <w:szCs w:val="24"/>
        </w:rPr>
        <w:footnoteReference w:id="71"/>
      </w:r>
      <w:r w:rsidRPr="00AD1A7D">
        <w:rPr>
          <w:szCs w:val="24"/>
        </w:rPr>
        <w:t>.</w:t>
      </w:r>
      <w:r>
        <w:rPr>
          <w:szCs w:val="24"/>
        </w:rPr>
        <w:t xml:space="preserve"> </w:t>
      </w:r>
      <w:r>
        <w:t xml:space="preserve">Drawieński Park Narodowy został utworzony w 1990 roku w celu ochrony młodoglacjalnego krajobrazu równin sandrowych z ekosystemami wodno-leśnymi, całym bogactwem występujących tu gatunków: roślin, zwierząt i grzybów oraz ukrytych wśród puszczańskich lasów elementów dziedzictwa kulturowego. </w:t>
      </w:r>
      <w:r w:rsidRPr="008232AF">
        <w:rPr>
          <w:szCs w:val="24"/>
        </w:rPr>
        <w:t xml:space="preserve">Teren Drawieńskiego Parku Narodowego i otuliny znajduje się na Równinie Drawskiej, która jest fragmentem Pojezierza Południowopomorskiego, w północno-zachodniej Polsce. Zajmuje centralną część kompleksu </w:t>
      </w:r>
      <w:r>
        <w:rPr>
          <w:szCs w:val="24"/>
        </w:rPr>
        <w:t>leśnego zwanego Puszczą Drawską</w:t>
      </w:r>
      <w:r w:rsidRPr="008232AF">
        <w:rPr>
          <w:szCs w:val="24"/>
        </w:rPr>
        <w:t>. W całości położony jest w zlewni rzeki Drawy</w:t>
      </w:r>
      <w:r>
        <w:rPr>
          <w:rStyle w:val="Odwoanieprzypisudolnego"/>
          <w:szCs w:val="24"/>
        </w:rPr>
        <w:footnoteReference w:id="72"/>
      </w:r>
      <w:r>
        <w:rPr>
          <w:szCs w:val="24"/>
        </w:rPr>
        <w:t xml:space="preserve">. </w:t>
      </w:r>
      <w:r>
        <w:t>Woliński Park Narodowy został utworzony w 1960 roku i obejmuje ochroną część największej polskiej wyspy – Wolin. Szczególne walory Parku to: odcinek polskiego wybrzeża klifowego, dobrze zachowane lasy bukowe, unikalna - wyspiarska delta Świny, przybrzeżny pas wód Bałtyku</w:t>
      </w:r>
      <w:r>
        <w:rPr>
          <w:rStyle w:val="Odwoanieprzypisudolnego"/>
        </w:rPr>
        <w:footnoteReference w:id="73"/>
      </w:r>
      <w:r>
        <w:t>.</w:t>
      </w:r>
    </w:p>
    <w:p w14:paraId="0B8D1191" w14:textId="77777777" w:rsidR="00B83214" w:rsidRDefault="00B83214" w:rsidP="00B83214">
      <w:pPr>
        <w:rPr>
          <w:szCs w:val="24"/>
        </w:rPr>
      </w:pPr>
      <w:r w:rsidRPr="00EE534A">
        <w:rPr>
          <w:szCs w:val="24"/>
        </w:rPr>
        <w:t>W</w:t>
      </w:r>
      <w:r w:rsidRPr="001108E7">
        <w:rPr>
          <w:szCs w:val="24"/>
        </w:rPr>
        <w:t xml:space="preserve"> województwie </w:t>
      </w:r>
      <w:r w:rsidRPr="00EE534A">
        <w:rPr>
          <w:szCs w:val="24"/>
        </w:rPr>
        <w:t xml:space="preserve">zachodniopomorskim znajduje się </w:t>
      </w:r>
      <w:r w:rsidRPr="008232AF">
        <w:rPr>
          <w:b/>
          <w:szCs w:val="24"/>
        </w:rPr>
        <w:t xml:space="preserve">7 </w:t>
      </w:r>
      <w:r w:rsidRPr="00EE534A">
        <w:rPr>
          <w:b/>
          <w:szCs w:val="24"/>
        </w:rPr>
        <w:t>parków krajobrazowych</w:t>
      </w:r>
      <w:r w:rsidRPr="001108E7">
        <w:rPr>
          <w:szCs w:val="24"/>
        </w:rPr>
        <w:t xml:space="preserve">, </w:t>
      </w:r>
      <w:r w:rsidRPr="00EE534A">
        <w:rPr>
          <w:szCs w:val="24"/>
        </w:rPr>
        <w:t>zajmując</w:t>
      </w:r>
      <w:r w:rsidRPr="001108E7">
        <w:rPr>
          <w:szCs w:val="24"/>
        </w:rPr>
        <w:t xml:space="preserve"> powierzchni</w:t>
      </w:r>
      <w:r w:rsidRPr="00EE534A">
        <w:rPr>
          <w:szCs w:val="24"/>
        </w:rPr>
        <w:t>ę 115 570,95 ha (ok. 5% powierzchni województwa)</w:t>
      </w:r>
      <w:r w:rsidRPr="001108E7">
        <w:rPr>
          <w:szCs w:val="24"/>
        </w:rPr>
        <w:t xml:space="preserve">. Największy z nich to </w:t>
      </w:r>
      <w:r w:rsidRPr="00EE534A">
        <w:rPr>
          <w:szCs w:val="24"/>
        </w:rPr>
        <w:t xml:space="preserve">Drawski </w:t>
      </w:r>
      <w:r w:rsidRPr="001108E7">
        <w:rPr>
          <w:szCs w:val="24"/>
        </w:rPr>
        <w:t xml:space="preserve">Park Krajobrazowy </w:t>
      </w:r>
      <w:r w:rsidRPr="00EE534A">
        <w:rPr>
          <w:szCs w:val="24"/>
        </w:rPr>
        <w:t xml:space="preserve">o </w:t>
      </w:r>
      <w:r>
        <w:rPr>
          <w:szCs w:val="24"/>
        </w:rPr>
        <w:t>powierzchni 38 360,17</w:t>
      </w:r>
      <w:r w:rsidRPr="00EE534A">
        <w:rPr>
          <w:szCs w:val="24"/>
        </w:rPr>
        <w:t xml:space="preserve"> ha. Szczególnymi celami ochrony Parku jest m.in.: ochrona wartości przyrodniczych, w tym: a) torfowisk, b) zasobów wodnych, w szczególności jezior lobeliowych, c) zróżnicowania limnologicznego jezior, d) żyznej buczyny pomorskiej w pasie moren czołowych buczyny pomorskiej oraz kwaśnej buczyny, e) obszarów o dużej naturalnej różnorodności faunistycznej i florystycznej, charakterystycznych dla poszczególnych środowisk naturalnych i półnaturalnych parku.</w:t>
      </w:r>
      <w:r w:rsidRPr="001108E7">
        <w:rPr>
          <w:szCs w:val="24"/>
        </w:rPr>
        <w:t xml:space="preserve"> W granicach województwa </w:t>
      </w:r>
      <w:r w:rsidRPr="00EE534A">
        <w:rPr>
          <w:szCs w:val="24"/>
        </w:rPr>
        <w:t>ustanowiono</w:t>
      </w:r>
      <w:r w:rsidRPr="008955B5">
        <w:rPr>
          <w:b/>
          <w:szCs w:val="24"/>
        </w:rPr>
        <w:t xml:space="preserve"> 125</w:t>
      </w:r>
      <w:r w:rsidRPr="001108E7">
        <w:rPr>
          <w:szCs w:val="24"/>
        </w:rPr>
        <w:t xml:space="preserve"> </w:t>
      </w:r>
      <w:r w:rsidRPr="001108E7">
        <w:rPr>
          <w:b/>
          <w:szCs w:val="24"/>
        </w:rPr>
        <w:t>rezerwatów przyrody</w:t>
      </w:r>
      <w:r w:rsidRPr="001108E7">
        <w:rPr>
          <w:szCs w:val="24"/>
        </w:rPr>
        <w:t>, w większości powołanyc</w:t>
      </w:r>
      <w:r w:rsidRPr="00EE534A">
        <w:rPr>
          <w:szCs w:val="24"/>
        </w:rPr>
        <w:t>h dla ochrony siedlisk leśnych</w:t>
      </w:r>
      <w:r w:rsidRPr="001108E7">
        <w:rPr>
          <w:szCs w:val="24"/>
        </w:rPr>
        <w:t>.</w:t>
      </w:r>
      <w:r>
        <w:rPr>
          <w:szCs w:val="24"/>
        </w:rPr>
        <w:t xml:space="preserve"> </w:t>
      </w:r>
      <w:r w:rsidRPr="00EE534A">
        <w:rPr>
          <w:szCs w:val="24"/>
        </w:rPr>
        <w:t xml:space="preserve">Na terenie województwa zachodniopomorskiego znajdują się </w:t>
      </w:r>
      <w:r w:rsidRPr="008955B5">
        <w:rPr>
          <w:b/>
          <w:szCs w:val="24"/>
        </w:rPr>
        <w:t>43 zespoły przyrodniczo-krajobrazowe</w:t>
      </w:r>
      <w:r w:rsidRPr="00EE534A">
        <w:rPr>
          <w:szCs w:val="24"/>
        </w:rPr>
        <w:t xml:space="preserve">. Większość z nich została powołana ze względu na ochronę, m.in. dolin rzecznych, zbiorników wodnych oraz obszarów podmokłych i bagiennych. Ponadto ze względu na walory krajobrazowe ochroną objęte są formy polodowcowe, formy wykształcone w dolinach rzek, a także związane z nimi siedliska i gatunki zwierząt i roślin. W województwie zachodniopomorskim zlokalizowane są </w:t>
      </w:r>
      <w:r w:rsidRPr="008955B5">
        <w:rPr>
          <w:b/>
          <w:szCs w:val="24"/>
        </w:rPr>
        <w:t>22</w:t>
      </w:r>
      <w:r w:rsidRPr="00EE534A">
        <w:rPr>
          <w:szCs w:val="24"/>
        </w:rPr>
        <w:t xml:space="preserve"> </w:t>
      </w:r>
      <w:r w:rsidRPr="00EE534A">
        <w:rPr>
          <w:b/>
          <w:szCs w:val="24"/>
        </w:rPr>
        <w:t>obszary chronionego krajobrazu</w:t>
      </w:r>
      <w:r w:rsidRPr="00EE534A">
        <w:rPr>
          <w:szCs w:val="24"/>
        </w:rPr>
        <w:t xml:space="preserve">. Obszary te zlokalizowane są głównie w południowo-wschodniej części województwa, a także w pasie wybrzeża. Zajmują przede wszystkim tereny pojezierzy, kompleksów leśnych, dolin rzecznych oraz strefy przybrzeżnej. </w:t>
      </w:r>
      <w:r w:rsidRPr="001108E7">
        <w:rPr>
          <w:b/>
          <w:szCs w:val="24"/>
        </w:rPr>
        <w:t>Użytki ekologiczne</w:t>
      </w:r>
      <w:r w:rsidRPr="001108E7">
        <w:rPr>
          <w:szCs w:val="24"/>
        </w:rPr>
        <w:t xml:space="preserve"> stanowią podstawowe narzędzie ochrony różnorodności biologicznej na szczeblu lokalnym, chroniące pozostałości ekosystemów, które mają znaczenie dla zachowania unikatowych zasobów genowych i typów środowisk. W województwie</w:t>
      </w:r>
      <w:r w:rsidRPr="00EE534A">
        <w:rPr>
          <w:szCs w:val="24"/>
        </w:rPr>
        <w:t xml:space="preserve"> ustanowiono 624 takie</w:t>
      </w:r>
      <w:r w:rsidRPr="001108E7">
        <w:rPr>
          <w:szCs w:val="24"/>
        </w:rPr>
        <w:t xml:space="preserve"> </w:t>
      </w:r>
      <w:r w:rsidRPr="00EE534A">
        <w:rPr>
          <w:szCs w:val="24"/>
        </w:rPr>
        <w:t>obiekty</w:t>
      </w:r>
      <w:r w:rsidRPr="001108E7">
        <w:rPr>
          <w:szCs w:val="24"/>
        </w:rPr>
        <w:t>. W granicach analizowanego terenu znajduje się także</w:t>
      </w:r>
      <w:r w:rsidRPr="00EE534A">
        <w:rPr>
          <w:szCs w:val="24"/>
        </w:rPr>
        <w:t xml:space="preserve"> 9</w:t>
      </w:r>
      <w:r w:rsidRPr="001108E7">
        <w:rPr>
          <w:szCs w:val="24"/>
        </w:rPr>
        <w:t xml:space="preserve"> </w:t>
      </w:r>
      <w:r w:rsidRPr="001108E7">
        <w:rPr>
          <w:b/>
          <w:szCs w:val="24"/>
        </w:rPr>
        <w:t>stan</w:t>
      </w:r>
      <w:r w:rsidRPr="00EE534A">
        <w:rPr>
          <w:b/>
          <w:szCs w:val="24"/>
        </w:rPr>
        <w:t>owisk dokumentacyjnych</w:t>
      </w:r>
      <w:r w:rsidRPr="00EE534A">
        <w:rPr>
          <w:szCs w:val="24"/>
        </w:rPr>
        <w:t xml:space="preserve"> oraz </w:t>
      </w:r>
      <w:r w:rsidRPr="008955B5">
        <w:rPr>
          <w:b/>
          <w:szCs w:val="24"/>
        </w:rPr>
        <w:t>2 383</w:t>
      </w:r>
      <w:r w:rsidRPr="00EE534A">
        <w:rPr>
          <w:szCs w:val="24"/>
        </w:rPr>
        <w:t xml:space="preserve"> </w:t>
      </w:r>
      <w:r w:rsidRPr="00EE534A">
        <w:rPr>
          <w:b/>
          <w:szCs w:val="24"/>
        </w:rPr>
        <w:t>pomniki</w:t>
      </w:r>
      <w:r w:rsidRPr="001108E7">
        <w:rPr>
          <w:b/>
          <w:szCs w:val="24"/>
        </w:rPr>
        <w:t xml:space="preserve"> przyrody</w:t>
      </w:r>
      <w:r w:rsidRPr="001108E7">
        <w:rPr>
          <w:szCs w:val="24"/>
        </w:rPr>
        <w:t>, w </w:t>
      </w:r>
      <w:r>
        <w:rPr>
          <w:szCs w:val="24"/>
        </w:rPr>
        <w:t>przeważającej części stanowiące</w:t>
      </w:r>
      <w:r w:rsidRPr="001108E7">
        <w:rPr>
          <w:szCs w:val="24"/>
        </w:rPr>
        <w:t xml:space="preserve"> pojedyncze drzewa i grupy drzew</w:t>
      </w:r>
      <w:r w:rsidRPr="00EE534A">
        <w:rPr>
          <w:szCs w:val="24"/>
          <w:vertAlign w:val="superscript"/>
        </w:rPr>
        <w:footnoteReference w:id="74"/>
      </w:r>
      <w:r w:rsidRPr="001108E7">
        <w:rPr>
          <w:szCs w:val="24"/>
        </w:rPr>
        <w:t xml:space="preserve">. Lokalizację obszarów prawnie chronionych w granicach województwa </w:t>
      </w:r>
      <w:r>
        <w:rPr>
          <w:szCs w:val="24"/>
        </w:rPr>
        <w:t>zachodniopomorskiego</w:t>
      </w:r>
      <w:r w:rsidRPr="001108E7">
        <w:rPr>
          <w:szCs w:val="24"/>
        </w:rPr>
        <w:t xml:space="preserve"> przedstawiono na rysunku poniżej (</w:t>
      </w:r>
      <w:r>
        <w:rPr>
          <w:szCs w:val="24"/>
        </w:rPr>
        <w:fldChar w:fldCharType="begin"/>
      </w:r>
      <w:r>
        <w:rPr>
          <w:szCs w:val="24"/>
        </w:rPr>
        <w:instrText xml:space="preserve"> REF _Ref102737050 \h </w:instrText>
      </w:r>
      <w:r>
        <w:rPr>
          <w:szCs w:val="24"/>
        </w:rPr>
      </w:r>
      <w:r>
        <w:rPr>
          <w:szCs w:val="24"/>
        </w:rPr>
        <w:fldChar w:fldCharType="separate"/>
      </w:r>
      <w:r w:rsidR="002B5007">
        <w:t xml:space="preserve">Rysunek </w:t>
      </w:r>
      <w:r w:rsidR="002B5007">
        <w:rPr>
          <w:noProof/>
        </w:rPr>
        <w:t>3</w:t>
      </w:r>
      <w:r>
        <w:rPr>
          <w:szCs w:val="24"/>
        </w:rPr>
        <w:fldChar w:fldCharType="end"/>
      </w:r>
      <w:r w:rsidRPr="001108E7">
        <w:rPr>
          <w:szCs w:val="24"/>
        </w:rPr>
        <w:t>).</w:t>
      </w:r>
    </w:p>
    <w:p w14:paraId="3DE7A950" w14:textId="77777777" w:rsidR="00B83214" w:rsidRDefault="00B83214" w:rsidP="00B83214">
      <w:pPr>
        <w:keepNext/>
      </w:pPr>
      <w:r w:rsidRPr="00EE534A">
        <w:rPr>
          <w:noProof/>
          <w:szCs w:val="24"/>
          <w:lang w:eastAsia="pl-PL"/>
        </w:rPr>
        <w:drawing>
          <wp:inline distT="0" distB="0" distL="0" distR="0" wp14:anchorId="17C3C209" wp14:editId="4BF78AA4">
            <wp:extent cx="5760720" cy="4076659"/>
            <wp:effectExtent l="0" t="0" r="0" b="635"/>
            <wp:docPr id="6" name="Obraz 6" descr="C:\Users\mdeska.GIG\Desktop\Zachodniopomorskie\Obszary chron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deska.GIG\Desktop\Zachodniopomorskie\Obszary chronione.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076659"/>
                    </a:xfrm>
                    <a:prstGeom prst="rect">
                      <a:avLst/>
                    </a:prstGeom>
                    <a:noFill/>
                    <a:ln>
                      <a:noFill/>
                    </a:ln>
                  </pic:spPr>
                </pic:pic>
              </a:graphicData>
            </a:graphic>
          </wp:inline>
        </w:drawing>
      </w:r>
    </w:p>
    <w:p w14:paraId="7B574065" w14:textId="0193F716" w:rsidR="00B83214" w:rsidRDefault="00B83214" w:rsidP="00B83214">
      <w:pPr>
        <w:pStyle w:val="Podpispodrysunkiem"/>
      </w:pPr>
      <w:bookmarkStart w:id="99" w:name="_Ref102737050"/>
      <w:bookmarkStart w:id="100" w:name="_Toc104790105"/>
      <w:r>
        <w:t xml:space="preserve">Rysunek </w:t>
      </w:r>
      <w:r>
        <w:fldChar w:fldCharType="begin"/>
      </w:r>
      <w:r>
        <w:instrText>SEQ Rysunek \* ARABIC</w:instrText>
      </w:r>
      <w:r>
        <w:fldChar w:fldCharType="separate"/>
      </w:r>
      <w:r w:rsidR="002B5007">
        <w:rPr>
          <w:noProof/>
        </w:rPr>
        <w:t>3</w:t>
      </w:r>
      <w:r>
        <w:fldChar w:fldCharType="end"/>
      </w:r>
      <w:bookmarkEnd w:id="99"/>
      <w:r>
        <w:t xml:space="preserve"> Obszary</w:t>
      </w:r>
      <w:r w:rsidRPr="001108E7">
        <w:t xml:space="preserve"> prawnie chronion</w:t>
      </w:r>
      <w:r w:rsidR="00557358">
        <w:t>e</w:t>
      </w:r>
      <w:r w:rsidRPr="001108E7">
        <w:t xml:space="preserve"> w granicach województwa </w:t>
      </w:r>
      <w:r>
        <w:t>zachodniopomorskiego</w:t>
      </w:r>
      <w:bookmarkEnd w:id="100"/>
    </w:p>
    <w:p w14:paraId="5D4E56D4" w14:textId="4E7D5CB4" w:rsidR="00B83214" w:rsidRDefault="00B83214" w:rsidP="00B83214">
      <w:pPr>
        <w:pStyle w:val="rdo"/>
      </w:pPr>
      <w:r w:rsidRPr="0092202A">
        <w:t xml:space="preserve">Źródło: opracowanie własne na podstawie danych GDOŚ; </w:t>
      </w:r>
      <w:hyperlink r:id="rId21" w:history="1">
        <w:r w:rsidRPr="00603825">
          <w:rPr>
            <w:rStyle w:val="Hipercze"/>
            <w:szCs w:val="24"/>
          </w:rPr>
          <w:t>https://www.gdos.gov.pl/dane-i-metadane</w:t>
        </w:r>
      </w:hyperlink>
      <w:r w:rsidRPr="0092202A">
        <w:t xml:space="preserve">; </w:t>
      </w:r>
      <w:r>
        <w:t>(</w:t>
      </w:r>
      <w:r w:rsidRPr="0092202A">
        <w:t>dostęp z dn.</w:t>
      </w:r>
      <w:r>
        <w:t>: 05.05</w:t>
      </w:r>
      <w:r w:rsidRPr="0092202A">
        <w:t>.2022</w:t>
      </w:r>
      <w:r>
        <w:t>)</w:t>
      </w:r>
    </w:p>
    <w:p w14:paraId="7244C21F" w14:textId="77777777" w:rsidR="00884CC2" w:rsidRDefault="00154DC4" w:rsidP="00154DC4">
      <w:pPr>
        <w:spacing w:before="60" w:after="60"/>
        <w:rPr>
          <w:rFonts w:eastAsia="Times New Roman" w:cstheme="minorHAnsi"/>
          <w:szCs w:val="24"/>
        </w:rPr>
      </w:pPr>
      <w:r w:rsidRPr="00841EA4">
        <w:rPr>
          <w:rFonts w:eastAsia="Times New Roman" w:cstheme="minorHAnsi"/>
          <w:szCs w:val="24"/>
        </w:rPr>
        <w:t>Wśród wskazanych zagrożeń dla parków krajobrazowych (w planach ochrony dla Szczecińskiego Parku Krajobrazowego "Puszcza Bukowa"</w:t>
      </w:r>
      <w:r w:rsidRPr="00291FE0">
        <w:rPr>
          <w:rFonts w:eastAsia="Times New Roman" w:cstheme="minorHAnsi"/>
          <w:szCs w:val="24"/>
          <w:vertAlign w:val="superscript"/>
        </w:rPr>
        <w:footnoteReference w:id="75"/>
      </w:r>
      <w:r w:rsidRPr="00841EA4">
        <w:rPr>
          <w:rFonts w:eastAsia="Times New Roman" w:cstheme="minorHAnsi"/>
          <w:szCs w:val="24"/>
          <w:vertAlign w:val="superscript"/>
        </w:rPr>
        <w:t xml:space="preserve"> </w:t>
      </w:r>
      <w:r w:rsidRPr="00841EA4">
        <w:rPr>
          <w:rFonts w:eastAsia="Times New Roman" w:cstheme="minorHAnsi"/>
          <w:szCs w:val="24"/>
        </w:rPr>
        <w:t>oraz Ińskiego Parku Krajobrazowego</w:t>
      </w:r>
      <w:r w:rsidRPr="00291FE0">
        <w:rPr>
          <w:rFonts w:eastAsia="Times New Roman" w:cstheme="minorHAnsi"/>
          <w:szCs w:val="24"/>
          <w:vertAlign w:val="superscript"/>
        </w:rPr>
        <w:footnoteReference w:id="76"/>
      </w:r>
      <w:r w:rsidRPr="00841EA4">
        <w:rPr>
          <w:rFonts w:eastAsia="Times New Roman" w:cstheme="minorHAnsi"/>
          <w:szCs w:val="24"/>
          <w:vertAlign w:val="superscript"/>
        </w:rPr>
        <w:t xml:space="preserve"> </w:t>
      </w:r>
      <w:r w:rsidRPr="00841EA4">
        <w:rPr>
          <w:rFonts w:eastAsia="Times New Roman" w:cstheme="minorHAnsi"/>
          <w:szCs w:val="24"/>
        </w:rPr>
        <w:t>) jako istniejące zagrożenia wymieniono m.in.: zabudowa krajobrazu otwartego powodująca degradację walorów przyrodniczych i krajobrazowych, zabudowa (głównie rekreacyjna) w sąsiedztwie jezior powodująca tworzenie barier ekologicznych, zmianę warunków siedliskowych, obniżenie wartości jezior jako bazy żerowej dla zwierząt, degradację krajobrazu; eksploatacja kruszyw i torfu powodująca zmiany stosunków wodnych; budowa przemysłowych ferm zwierząt; zanikanie mozaikowatości siedlisk i krajobrazu; tworzenie barier ekologicznych; hałas i zanieczyszczenia powietrza; rozprzestrzenianie obcych gatunków zwierząt i roślin; zmniejszenie powierzchni starodrzewu w lasach; intensyfikacja prac leśnych zwłaszcza w okresie lęgowym; eutrofizacja siedlisk zwłaszcza zbiorników wód w krajobrazie rolniczym; degradacja gleb; penetracja turystyczna obszarów cennych przyrodniczo i krajobrazowo; zaniechanie wykorzystania rolniczego gruntów ornych, łąk i pastwisk - zmniejszanie się powierzchni ekosystemów otwartych w wyniku sukcesji roślinności zaroślowej i leśnej, w tym zwłaszcza łąk i pastwisk; ustępowanie gatunków typowych dla agrocenoz oraz gatunków i siedlisk; zmniejszanie mozaiki upraw oraz zajmowanie nowych terenów pod uprawy</w:t>
      </w:r>
      <w:r w:rsidRPr="00291FE0">
        <w:rPr>
          <w:rFonts w:eastAsia="Times New Roman" w:cstheme="minorHAnsi"/>
          <w:szCs w:val="24"/>
        </w:rPr>
        <w:t xml:space="preserve"> </w:t>
      </w:r>
      <w:r>
        <w:rPr>
          <w:rFonts w:eastAsia="Times New Roman" w:cstheme="minorHAnsi"/>
          <w:szCs w:val="24"/>
        </w:rPr>
        <w:t>(</w:t>
      </w:r>
      <w:r w:rsidRPr="00841EA4">
        <w:rPr>
          <w:rFonts w:eastAsia="Times New Roman" w:cstheme="minorHAnsi"/>
          <w:szCs w:val="24"/>
        </w:rPr>
        <w:t>ograniczenie powierzchni naturalnej i półnaturalnej przyrody, w tym zanikanie zadrzewień śródpolnych, oczek wodnych i miedz, ustępowanie gatunków towarzyszących uprawom, zubożenie krajobrazu rolniczego</w:t>
      </w:r>
      <w:r>
        <w:rPr>
          <w:rFonts w:eastAsia="Times New Roman" w:cstheme="minorHAnsi"/>
          <w:szCs w:val="24"/>
        </w:rPr>
        <w:t>)</w:t>
      </w:r>
      <w:r w:rsidRPr="00841EA4">
        <w:rPr>
          <w:rFonts w:eastAsia="Times New Roman" w:cstheme="minorHAnsi"/>
          <w:szCs w:val="24"/>
        </w:rPr>
        <w:t xml:space="preserve">, izolacja siedlisk i populacji dziko żyjących zwierząt; zawlekanie gatunków obcych i organizmów modyfikowanych genetycznie (GMO); pobór wody do celów rolniczych skutkujący zmianą warunków siedliskowych w wyniku zaburzenia lokalnych układów hydrologicznych i w efekcie przekształcenia siedlisk; wypalanie łąk ściernisk i nieużytków. </w:t>
      </w:r>
    </w:p>
    <w:p w14:paraId="4AA5B1CB" w14:textId="3AABF78D" w:rsidR="00154DC4" w:rsidRPr="00841EA4" w:rsidRDefault="00154DC4" w:rsidP="00154DC4">
      <w:pPr>
        <w:spacing w:before="60" w:after="60"/>
        <w:rPr>
          <w:rFonts w:eastAsia="Times New Roman" w:cstheme="minorHAnsi"/>
          <w:szCs w:val="24"/>
        </w:rPr>
      </w:pPr>
      <w:r w:rsidRPr="00841EA4">
        <w:rPr>
          <w:rFonts w:eastAsia="Times New Roman" w:cstheme="minorHAnsi"/>
          <w:szCs w:val="24"/>
        </w:rPr>
        <w:t xml:space="preserve">Wśród zagrożeń zidentyfikowanych dla parków narodowych na obszarze analizowanego województwa wskazano: </w:t>
      </w:r>
    </w:p>
    <w:p w14:paraId="51A2A40B" w14:textId="77777777" w:rsidR="00154DC4" w:rsidRPr="00841EA4" w:rsidRDefault="00154DC4" w:rsidP="00154DC4">
      <w:pPr>
        <w:numPr>
          <w:ilvl w:val="0"/>
          <w:numId w:val="30"/>
        </w:numPr>
        <w:spacing w:before="60" w:after="60"/>
        <w:contextualSpacing/>
        <w:rPr>
          <w:rFonts w:cstheme="minorHAnsi"/>
          <w:szCs w:val="24"/>
        </w:rPr>
      </w:pPr>
      <w:r w:rsidRPr="00841EA4">
        <w:rPr>
          <w:rFonts w:cstheme="minorHAnsi"/>
          <w:szCs w:val="24"/>
        </w:rPr>
        <w:t>w ramach ustanowionych zadań ochronnych dla Wolińskiego Parku Narodowego na lata 2020-2023</w:t>
      </w:r>
      <w:r w:rsidRPr="00841EA4">
        <w:rPr>
          <w:rFonts w:cstheme="minorHAnsi"/>
          <w:szCs w:val="24"/>
          <w:vertAlign w:val="superscript"/>
        </w:rPr>
        <w:footnoteReference w:id="77"/>
      </w:r>
      <w:r w:rsidRPr="00841EA4">
        <w:rPr>
          <w:rFonts w:cstheme="minorHAnsi"/>
          <w:szCs w:val="24"/>
        </w:rPr>
        <w:t xml:space="preserve"> jako istniejące zagrożenia wskazano m.in.: zagrożenie pożarowe, zanieczyszczanie środowiska przyrodniczego substancjami ropopochodnymi, kolizje zwierząt z użytkownikami ciągów komunikacyjnych; presja na stanowiska fauny, flory, siedliska przyrodnicze i zaburzenie krajobrazu WPN przez funkcjonowanie Kompleksu Edukacyjnego Grodno I; wzrost ruchu turystycznego; niewłaściwy względem siedliska skład gatunkowy i budowa drzewostanów, występowanie obcych przyrodniczo i geograficznie gatunków; ubożenie składów gatunkowych biocenoz; synantropizacja; zanik gatunków występujących wcześniej i obecnie na terenie wyspy Wolin; zanik gatunków roślin w ekosystemach; obce gatunki roślin i zwierząt; wzrastająca ilość wypadków z udziałem zwierząt na ciągach komunikacyjnych; fragmentacja siedlisk, zagrożenie dla fauny, flory wodnej i siedlisk;</w:t>
      </w:r>
    </w:p>
    <w:p w14:paraId="3A5A51AA" w14:textId="10AFBD88" w:rsidR="00154DC4" w:rsidRDefault="00154DC4" w:rsidP="00D41923">
      <w:pPr>
        <w:numPr>
          <w:ilvl w:val="0"/>
          <w:numId w:val="30"/>
        </w:numPr>
        <w:spacing w:before="60" w:after="60"/>
        <w:contextualSpacing/>
      </w:pPr>
      <w:r w:rsidRPr="00841EA4">
        <w:rPr>
          <w:rFonts w:cstheme="minorHAnsi"/>
          <w:szCs w:val="24"/>
        </w:rPr>
        <w:t>w ramach ustanowionych zadań ochronnych dla Drawieńskiego Parku Narodowego na lata 2021–2022</w:t>
      </w:r>
      <w:r w:rsidRPr="00841EA4">
        <w:rPr>
          <w:rFonts w:cstheme="minorHAnsi"/>
          <w:szCs w:val="24"/>
          <w:vertAlign w:val="superscript"/>
        </w:rPr>
        <w:footnoteReference w:id="78"/>
      </w:r>
      <w:r w:rsidRPr="00841EA4">
        <w:rPr>
          <w:rFonts w:cstheme="minorHAnsi"/>
          <w:szCs w:val="24"/>
        </w:rPr>
        <w:t xml:space="preserve"> jako istniejące zagrożenia wskazano m.in.: zarastanie lądowych ekosystemów nieleśnych drzewami i krzewami oraz niepożądanymi gatunkami roślin zielnych, powodujące obniżenie różnorodności biologicznej; zanikanie populacji zwierząt rzadko występujących, zagrożonych i chronionych; zanikanie gatunków roślin rzadko występujących, zagrożonych i chronionych; proces antropogenicznej eutrofizacji ekosystemów wodnych prowadzący do niekorzystnych zmian jakościowych i ilościowych w populacjach ryb drapieżnych oraz bentosu; emisja hałasu wywołana ruchem turystycznym na rzece Drawie i w jej sąsiedztwie skutkująca płoszeniem zwierząt; wydeptywanie pokrywy glebowej wraz z szatą roślinną, uszkadzanie brzegów rzeki Drawy i jezior w wyniku ruchu turystycznego i presji wędkarskiej; niedostateczna dla stabilnej wielkości populacji (liczebności zapewniającej przetrwanie gatunku) liczebność niektórych gatunków ptaków; negatywny wpływ obcych i inwazyjnych gatunków zwierząt i roślin na rodzime, dziko żyjące populacje zwierząt i roślin</w:t>
      </w:r>
      <w:r w:rsidR="00A2645D">
        <w:rPr>
          <w:rFonts w:cstheme="minorHAnsi"/>
          <w:szCs w:val="24"/>
        </w:rPr>
        <w:t>;</w:t>
      </w:r>
      <w:r w:rsidRPr="00A2645D">
        <w:rPr>
          <w:rFonts w:cstheme="minorHAnsi"/>
          <w:szCs w:val="24"/>
        </w:rPr>
        <w:t>w ramach projektu planu ochrony dla Drawieńskiego Parku Narodowego</w:t>
      </w:r>
      <w:r w:rsidRPr="00841EA4">
        <w:rPr>
          <w:vertAlign w:val="superscript"/>
        </w:rPr>
        <w:footnoteReference w:id="79"/>
      </w:r>
      <w:r w:rsidRPr="00A2645D">
        <w:rPr>
          <w:rFonts w:cstheme="minorHAnsi"/>
          <w:szCs w:val="24"/>
        </w:rPr>
        <w:t xml:space="preserve"> m.in.: sukcesja wtórna na nieużytkowanych łąkach i pastwiskach, prowadząca do utraty różnorodności florystycznej i faunistycznej związanej z ekosystemami półnaturalnymi, a także zaniku przestrzeni otwartej, stanowiącej istotny komponent krajobrazów Parku; presja turystyczna – spływy kajakowe Drawą; presja inwazyjnych gatunków obcych roślin i zwierząt; odwadnianie niektórych ekosystemów hydrogenicznych przez elementy antropogeniczne (rowy i dreny), wpływające negatywnie na stan torfowisk i złóż torfowych oraz ograniczające możliwości rozwoju populacji płazów; dopływ zanieczyszczeń antropogenicznych, w tym z terenów rolniczych, wnoszonych do Parku przez cieki i rowy wpływające na jego teren oraz wnoszonych ze ściekami odprowadzanymi na teren Parku, wzmagający eutrofizację wód i pogarszający ich stan.</w:t>
      </w:r>
    </w:p>
    <w:p w14:paraId="2165F1B0" w14:textId="77777777" w:rsidR="00B83214" w:rsidRPr="00AE2794" w:rsidRDefault="00B83214" w:rsidP="00B83214">
      <w:pPr>
        <w:pBdr>
          <w:bottom w:val="single" w:sz="6" w:space="1" w:color="549E39" w:themeColor="accent1"/>
        </w:pBdr>
        <w:spacing w:before="200" w:after="0"/>
        <w:outlineLvl w:val="4"/>
        <w:rPr>
          <w:caps/>
          <w:color w:val="3E762A" w:themeColor="accent1" w:themeShade="BF"/>
          <w:spacing w:val="10"/>
          <w:szCs w:val="24"/>
        </w:rPr>
      </w:pPr>
      <w:r w:rsidRPr="00AE2794">
        <w:rPr>
          <w:caps/>
          <w:color w:val="3E762A" w:themeColor="accent1" w:themeShade="BF"/>
          <w:spacing w:val="10"/>
          <w:szCs w:val="24"/>
        </w:rPr>
        <w:t>Obszary Natura 2000</w:t>
      </w:r>
    </w:p>
    <w:p w14:paraId="5EF5AB47" w14:textId="14EC1AD1" w:rsidR="00B83214" w:rsidRDefault="00B83214" w:rsidP="00B83214">
      <w:pPr>
        <w:rPr>
          <w:szCs w:val="24"/>
        </w:rPr>
      </w:pPr>
      <w:r>
        <w:rPr>
          <w:szCs w:val="24"/>
        </w:rPr>
        <w:t>Najcenniejsze siedliska</w:t>
      </w:r>
      <w:r w:rsidRPr="00676CF4">
        <w:rPr>
          <w:szCs w:val="24"/>
        </w:rPr>
        <w:t xml:space="preserve"> w województwie zachodniopomorskim </w:t>
      </w:r>
      <w:r>
        <w:rPr>
          <w:szCs w:val="24"/>
        </w:rPr>
        <w:t>zostały</w:t>
      </w:r>
      <w:r w:rsidRPr="00676CF4">
        <w:rPr>
          <w:szCs w:val="24"/>
        </w:rPr>
        <w:t xml:space="preserve"> objęte programem europejskim</w:t>
      </w:r>
      <w:r>
        <w:rPr>
          <w:szCs w:val="24"/>
        </w:rPr>
        <w:t xml:space="preserve"> </w:t>
      </w:r>
      <w:r w:rsidRPr="00676CF4">
        <w:rPr>
          <w:szCs w:val="24"/>
        </w:rPr>
        <w:t xml:space="preserve">Natura 2000 </w:t>
      </w:r>
      <w:r>
        <w:rPr>
          <w:szCs w:val="24"/>
        </w:rPr>
        <w:t xml:space="preserve">jako </w:t>
      </w:r>
      <w:r w:rsidRPr="00676CF4">
        <w:rPr>
          <w:szCs w:val="24"/>
        </w:rPr>
        <w:t>specjalne obszary ochrony siedlisk utworzone lub planowane w myśl dyrektywy habitatowej</w:t>
      </w:r>
      <w:r>
        <w:rPr>
          <w:szCs w:val="24"/>
        </w:rPr>
        <w:t xml:space="preserve"> </w:t>
      </w:r>
      <w:r w:rsidRPr="00676CF4">
        <w:rPr>
          <w:szCs w:val="24"/>
        </w:rPr>
        <w:t>i obszary specjalnej ochrony ptaków według dyrektywy ptasiej.</w:t>
      </w:r>
      <w:r>
        <w:rPr>
          <w:szCs w:val="24"/>
        </w:rPr>
        <w:t xml:space="preserve"> </w:t>
      </w:r>
      <w:r w:rsidRPr="00F94FE9">
        <w:rPr>
          <w:szCs w:val="24"/>
        </w:rPr>
        <w:t>Ideą sieci Natura 2000 jest zwiększenie skuteczności działań ochronnych poprzez stworzenie dodatkowego systemu ochrony dziedzictwa przyrodniczego Europy, kompletnego i metodycznie spójnego, nakładającego się na już funkcjonujące systemy ochrony obszarowej i gatunkowej, stanowiąc ich uzupełnienie i wzmocnienie. Głównym celem funkcjonowania Europejskiej Sieci Ekologicznej Natura 2000 jest zachowanie określonych typów siedlisk przyrodniczych i gatunków roślin i zwierząt, uważanych za cenne (znaczące dla zachowania dziedzictwa przyrodniczego Europy) i zagrożone wyginięciem w skali całej Europy. Cel ten realizowany jest poprzez wyznaczenie i objęcie ochroną obszarów, na których te gatunki i siedliska występują</w:t>
      </w:r>
      <w:r w:rsidRPr="00F94FE9">
        <w:rPr>
          <w:rStyle w:val="Odwoanieprzypisudolnego"/>
          <w:szCs w:val="24"/>
        </w:rPr>
        <w:footnoteReference w:id="80"/>
      </w:r>
      <w:r w:rsidRPr="00F94FE9">
        <w:rPr>
          <w:szCs w:val="24"/>
        </w:rPr>
        <w:t xml:space="preserve">. Na obszarze województwa </w:t>
      </w:r>
      <w:r>
        <w:rPr>
          <w:szCs w:val="24"/>
        </w:rPr>
        <w:t>zachodniopomorskiego</w:t>
      </w:r>
      <w:r w:rsidRPr="00F94FE9">
        <w:rPr>
          <w:szCs w:val="24"/>
        </w:rPr>
        <w:t xml:space="preserve"> obecn</w:t>
      </w:r>
      <w:r>
        <w:rPr>
          <w:szCs w:val="24"/>
        </w:rPr>
        <w:t>ie utworzono 86 obszarów Natura 2000, w tym 65</w:t>
      </w:r>
      <w:r w:rsidRPr="00F94FE9">
        <w:rPr>
          <w:szCs w:val="24"/>
        </w:rPr>
        <w:t xml:space="preserve"> Specjalnych Obszarów Ochrony Siedlisk </w:t>
      </w:r>
      <w:r>
        <w:rPr>
          <w:szCs w:val="24"/>
        </w:rPr>
        <w:t>(SOO) i 21</w:t>
      </w:r>
      <w:r w:rsidRPr="00F94FE9">
        <w:rPr>
          <w:szCs w:val="24"/>
        </w:rPr>
        <w:t xml:space="preserve"> Obszarów Specjalnej Ochrony Ptaków (OSO)</w:t>
      </w:r>
      <w:r>
        <w:rPr>
          <w:rStyle w:val="Odwoanieprzypisudolnego"/>
          <w:szCs w:val="24"/>
        </w:rPr>
        <w:footnoteReference w:id="81"/>
      </w:r>
      <w:r w:rsidRPr="00F94FE9">
        <w:rPr>
          <w:szCs w:val="24"/>
        </w:rPr>
        <w:t xml:space="preserve"> (</w:t>
      </w:r>
      <w:r w:rsidRPr="008955B5">
        <w:rPr>
          <w:szCs w:val="24"/>
        </w:rPr>
        <w:fldChar w:fldCharType="begin"/>
      </w:r>
      <w:r w:rsidRPr="008955B5">
        <w:rPr>
          <w:szCs w:val="24"/>
        </w:rPr>
        <w:instrText xml:space="preserve"> REF _Ref102316832 \h  \* MERGEFORMAT </w:instrText>
      </w:r>
      <w:r w:rsidRPr="008955B5">
        <w:rPr>
          <w:szCs w:val="24"/>
        </w:rPr>
      </w:r>
      <w:r w:rsidRPr="008955B5">
        <w:rPr>
          <w:szCs w:val="24"/>
        </w:rPr>
        <w:fldChar w:fldCharType="separate"/>
      </w:r>
      <w:r w:rsidR="002B5007" w:rsidRPr="002B5007">
        <w:rPr>
          <w:bCs/>
          <w:szCs w:val="24"/>
        </w:rPr>
        <w:t xml:space="preserve">Tabela </w:t>
      </w:r>
      <w:r w:rsidR="002B5007" w:rsidRPr="002B5007">
        <w:rPr>
          <w:bCs/>
          <w:noProof/>
          <w:szCs w:val="24"/>
        </w:rPr>
        <w:t>6</w:t>
      </w:r>
      <w:r w:rsidRPr="008955B5">
        <w:rPr>
          <w:szCs w:val="24"/>
        </w:rPr>
        <w:fldChar w:fldCharType="end"/>
      </w:r>
      <w:r w:rsidRPr="008955B5">
        <w:rPr>
          <w:szCs w:val="24"/>
        </w:rPr>
        <w:t>).</w:t>
      </w:r>
    </w:p>
    <w:p w14:paraId="11B8A16E" w14:textId="77777777" w:rsidR="00B83214" w:rsidRDefault="00B83214" w:rsidP="00B83214">
      <w:pPr>
        <w:pStyle w:val="Podpispodrysunkiem"/>
      </w:pPr>
      <w:bookmarkStart w:id="101" w:name="_Toc104790073"/>
      <w:r>
        <w:t xml:space="preserve">Tabela </w:t>
      </w:r>
      <w:r>
        <w:fldChar w:fldCharType="begin"/>
      </w:r>
      <w:r>
        <w:instrText>SEQ Tabela \* ARABIC</w:instrText>
      </w:r>
      <w:r>
        <w:fldChar w:fldCharType="separate"/>
      </w:r>
      <w:r w:rsidR="002B5007">
        <w:rPr>
          <w:noProof/>
        </w:rPr>
        <w:t>3</w:t>
      </w:r>
      <w:r>
        <w:fldChar w:fldCharType="end"/>
      </w:r>
      <w:r>
        <w:t xml:space="preserve"> Obszary Natura 2000 w granicach województwa zachodniopomorskiego</w:t>
      </w:r>
      <w:bookmarkEnd w:id="101"/>
    </w:p>
    <w:tbl>
      <w:tblPr>
        <w:tblStyle w:val="Tabelasiatki1jasnaakcent13"/>
        <w:tblW w:w="5000" w:type="pct"/>
        <w:tblLayout w:type="fixed"/>
        <w:tblLook w:val="04A0" w:firstRow="1" w:lastRow="0" w:firstColumn="1" w:lastColumn="0" w:noHBand="0" w:noVBand="1"/>
      </w:tblPr>
      <w:tblGrid>
        <w:gridCol w:w="721"/>
        <w:gridCol w:w="3778"/>
        <w:gridCol w:w="1889"/>
        <w:gridCol w:w="2900"/>
      </w:tblGrid>
      <w:tr w:rsidR="00B83214" w:rsidRPr="00E3537E" w14:paraId="783F12E2" w14:textId="77777777" w:rsidTr="00B8321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7315BC3E" w14:textId="77777777" w:rsidR="00B83214" w:rsidRPr="00E3537E" w:rsidRDefault="00B83214" w:rsidP="00B83214">
            <w:pPr>
              <w:rPr>
                <w:szCs w:val="24"/>
              </w:rPr>
            </w:pPr>
          </w:p>
        </w:tc>
        <w:tc>
          <w:tcPr>
            <w:tcW w:w="2034" w:type="pct"/>
            <w:noWrap/>
            <w:hideMark/>
          </w:tcPr>
          <w:p w14:paraId="23E39B13" w14:textId="77777777" w:rsidR="00B83214" w:rsidRPr="00E3537E" w:rsidRDefault="00B83214" w:rsidP="00B83214">
            <w:pPr>
              <w:jc w:val="center"/>
              <w:cnfStyle w:val="100000000000" w:firstRow="1" w:lastRow="0" w:firstColumn="0" w:lastColumn="0" w:oddVBand="0" w:evenVBand="0" w:oddHBand="0" w:evenHBand="0" w:firstRowFirstColumn="0" w:firstRowLastColumn="0" w:lastRowFirstColumn="0" w:lastRowLastColumn="0"/>
              <w:rPr>
                <w:szCs w:val="24"/>
              </w:rPr>
            </w:pPr>
            <w:r w:rsidRPr="00E3537E">
              <w:rPr>
                <w:szCs w:val="24"/>
              </w:rPr>
              <w:t>NAZWA</w:t>
            </w:r>
          </w:p>
        </w:tc>
        <w:tc>
          <w:tcPr>
            <w:tcW w:w="1017" w:type="pct"/>
            <w:noWrap/>
            <w:hideMark/>
          </w:tcPr>
          <w:p w14:paraId="6DC0E7D0" w14:textId="77777777" w:rsidR="00B83214" w:rsidRPr="00E3537E" w:rsidRDefault="00B83214" w:rsidP="00B83214">
            <w:pPr>
              <w:jc w:val="center"/>
              <w:cnfStyle w:val="100000000000" w:firstRow="1" w:lastRow="0" w:firstColumn="0" w:lastColumn="0" w:oddVBand="0" w:evenVBand="0" w:oddHBand="0" w:evenHBand="0" w:firstRowFirstColumn="0" w:firstRowLastColumn="0" w:lastRowFirstColumn="0" w:lastRowLastColumn="0"/>
              <w:rPr>
                <w:szCs w:val="24"/>
              </w:rPr>
            </w:pPr>
            <w:r w:rsidRPr="00E3537E">
              <w:rPr>
                <w:szCs w:val="24"/>
              </w:rPr>
              <w:t>KOD</w:t>
            </w:r>
          </w:p>
        </w:tc>
        <w:tc>
          <w:tcPr>
            <w:tcW w:w="1561" w:type="pct"/>
            <w:noWrap/>
            <w:hideMark/>
          </w:tcPr>
          <w:p w14:paraId="1C8A1472" w14:textId="77777777" w:rsidR="00B83214" w:rsidRPr="00E3537E" w:rsidRDefault="00B83214" w:rsidP="00B83214">
            <w:pPr>
              <w:jc w:val="center"/>
              <w:cnfStyle w:val="100000000000" w:firstRow="1" w:lastRow="0" w:firstColumn="0" w:lastColumn="0" w:oddVBand="0" w:evenVBand="0" w:oddHBand="0" w:evenHBand="0" w:firstRowFirstColumn="0" w:firstRowLastColumn="0" w:lastRowFirstColumn="0" w:lastRowLastColumn="0"/>
              <w:rPr>
                <w:szCs w:val="24"/>
              </w:rPr>
            </w:pPr>
            <w:r w:rsidRPr="00E3537E">
              <w:rPr>
                <w:szCs w:val="24"/>
              </w:rPr>
              <w:t>Powierzchnia w granicach województwa [ha]</w:t>
            </w:r>
          </w:p>
        </w:tc>
      </w:tr>
      <w:tr w:rsidR="00B83214" w:rsidRPr="00E3537E" w14:paraId="493FAC46"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6C44E28" w14:textId="77777777" w:rsidR="00B83214" w:rsidRPr="00E3537E" w:rsidRDefault="00B83214" w:rsidP="00B83214">
            <w:pPr>
              <w:rPr>
                <w:szCs w:val="24"/>
              </w:rPr>
            </w:pPr>
          </w:p>
        </w:tc>
        <w:tc>
          <w:tcPr>
            <w:tcW w:w="4612" w:type="pct"/>
            <w:gridSpan w:val="3"/>
            <w:noWrap/>
            <w:hideMark/>
          </w:tcPr>
          <w:p w14:paraId="53F71724" w14:textId="77777777" w:rsidR="00B83214" w:rsidRPr="006902D3" w:rsidRDefault="00B83214" w:rsidP="00B83214">
            <w:pPr>
              <w:jc w:val="center"/>
              <w:cnfStyle w:val="000000000000" w:firstRow="0" w:lastRow="0" w:firstColumn="0" w:lastColumn="0" w:oddVBand="0" w:evenVBand="0" w:oddHBand="0" w:evenHBand="0" w:firstRowFirstColumn="0" w:firstRowLastColumn="0" w:lastRowFirstColumn="0" w:lastRowLastColumn="0"/>
              <w:rPr>
                <w:b/>
                <w:szCs w:val="24"/>
              </w:rPr>
            </w:pPr>
            <w:r w:rsidRPr="006902D3">
              <w:rPr>
                <w:b/>
                <w:szCs w:val="24"/>
              </w:rPr>
              <w:t>OSO</w:t>
            </w:r>
          </w:p>
        </w:tc>
      </w:tr>
      <w:tr w:rsidR="00B83214" w:rsidRPr="00E3537E" w14:paraId="74DE0FA3"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AC0DE5C" w14:textId="77777777" w:rsidR="00B83214" w:rsidRPr="00E3537E" w:rsidRDefault="00B83214" w:rsidP="00B83214">
            <w:pPr>
              <w:rPr>
                <w:szCs w:val="24"/>
              </w:rPr>
            </w:pPr>
            <w:r w:rsidRPr="00E3537E">
              <w:rPr>
                <w:szCs w:val="24"/>
              </w:rPr>
              <w:t>1</w:t>
            </w:r>
          </w:p>
        </w:tc>
        <w:tc>
          <w:tcPr>
            <w:tcW w:w="2034" w:type="pct"/>
            <w:noWrap/>
            <w:hideMark/>
          </w:tcPr>
          <w:p w14:paraId="441F3C9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Ostoja Witnicko-Dębniańska</w:t>
            </w:r>
          </w:p>
        </w:tc>
        <w:tc>
          <w:tcPr>
            <w:tcW w:w="1017" w:type="pct"/>
            <w:noWrap/>
            <w:hideMark/>
          </w:tcPr>
          <w:p w14:paraId="7D6496D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PLB320015</w:t>
            </w:r>
          </w:p>
        </w:tc>
        <w:tc>
          <w:tcPr>
            <w:tcW w:w="1561" w:type="pct"/>
            <w:noWrap/>
            <w:hideMark/>
          </w:tcPr>
          <w:p w14:paraId="16FCA1F6"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30900,766</w:t>
            </w:r>
          </w:p>
        </w:tc>
      </w:tr>
      <w:tr w:rsidR="00B83214" w:rsidRPr="00E3537E" w14:paraId="2B7FABCE"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060AE60A" w14:textId="77777777" w:rsidR="00B83214" w:rsidRPr="00E3537E" w:rsidRDefault="00B83214" w:rsidP="00B83214">
            <w:pPr>
              <w:rPr>
                <w:szCs w:val="24"/>
              </w:rPr>
            </w:pPr>
            <w:r w:rsidRPr="00E3537E">
              <w:rPr>
                <w:szCs w:val="24"/>
              </w:rPr>
              <w:t>2</w:t>
            </w:r>
          </w:p>
        </w:tc>
        <w:tc>
          <w:tcPr>
            <w:tcW w:w="2034" w:type="pct"/>
            <w:noWrap/>
            <w:hideMark/>
          </w:tcPr>
          <w:p w14:paraId="6B27D0D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Puszcza Barlinecka</w:t>
            </w:r>
          </w:p>
        </w:tc>
        <w:tc>
          <w:tcPr>
            <w:tcW w:w="1017" w:type="pct"/>
            <w:noWrap/>
            <w:hideMark/>
          </w:tcPr>
          <w:p w14:paraId="7183C5A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PLB080001</w:t>
            </w:r>
          </w:p>
        </w:tc>
        <w:tc>
          <w:tcPr>
            <w:tcW w:w="1561" w:type="pct"/>
            <w:noWrap/>
            <w:hideMark/>
          </w:tcPr>
          <w:p w14:paraId="6743B4E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10013,029</w:t>
            </w:r>
          </w:p>
        </w:tc>
      </w:tr>
      <w:tr w:rsidR="00B83214" w:rsidRPr="00E3537E" w14:paraId="28519B7C"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5BEEC5EA" w14:textId="77777777" w:rsidR="00B83214" w:rsidRPr="00E3537E" w:rsidRDefault="00B83214" w:rsidP="00B83214">
            <w:pPr>
              <w:rPr>
                <w:szCs w:val="24"/>
              </w:rPr>
            </w:pPr>
            <w:r w:rsidRPr="00E3537E">
              <w:rPr>
                <w:szCs w:val="24"/>
              </w:rPr>
              <w:t>3</w:t>
            </w:r>
          </w:p>
        </w:tc>
        <w:tc>
          <w:tcPr>
            <w:tcW w:w="2034" w:type="pct"/>
            <w:noWrap/>
            <w:hideMark/>
          </w:tcPr>
          <w:p w14:paraId="722B982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Lasy Puszczy nad Drawą</w:t>
            </w:r>
          </w:p>
        </w:tc>
        <w:tc>
          <w:tcPr>
            <w:tcW w:w="1017" w:type="pct"/>
            <w:noWrap/>
            <w:hideMark/>
          </w:tcPr>
          <w:p w14:paraId="0D79949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PLB320016</w:t>
            </w:r>
          </w:p>
        </w:tc>
        <w:tc>
          <w:tcPr>
            <w:tcW w:w="1561" w:type="pct"/>
            <w:noWrap/>
            <w:hideMark/>
          </w:tcPr>
          <w:p w14:paraId="0C4759E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121048,458</w:t>
            </w:r>
          </w:p>
        </w:tc>
      </w:tr>
      <w:tr w:rsidR="00B83214" w:rsidRPr="00E3537E" w14:paraId="3A7F0F7A"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5DC6BB56" w14:textId="77777777" w:rsidR="00B83214" w:rsidRPr="00E3537E" w:rsidRDefault="00B83214" w:rsidP="00B83214">
            <w:pPr>
              <w:rPr>
                <w:szCs w:val="24"/>
              </w:rPr>
            </w:pPr>
            <w:r w:rsidRPr="00E3537E">
              <w:rPr>
                <w:szCs w:val="24"/>
              </w:rPr>
              <w:t>4</w:t>
            </w:r>
          </w:p>
        </w:tc>
        <w:tc>
          <w:tcPr>
            <w:tcW w:w="2034" w:type="pct"/>
            <w:noWrap/>
            <w:hideMark/>
          </w:tcPr>
          <w:p w14:paraId="2C0DC38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Puszcza nad Gwdą</w:t>
            </w:r>
          </w:p>
        </w:tc>
        <w:tc>
          <w:tcPr>
            <w:tcW w:w="1017" w:type="pct"/>
            <w:noWrap/>
            <w:hideMark/>
          </w:tcPr>
          <w:p w14:paraId="27132AD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PLB300012</w:t>
            </w:r>
          </w:p>
        </w:tc>
        <w:tc>
          <w:tcPr>
            <w:tcW w:w="1561" w:type="pct"/>
            <w:noWrap/>
            <w:hideMark/>
          </w:tcPr>
          <w:p w14:paraId="255EA22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27581,84</w:t>
            </w:r>
          </w:p>
        </w:tc>
      </w:tr>
      <w:tr w:rsidR="00B83214" w:rsidRPr="00E3537E" w14:paraId="53B7B7DA"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37819157" w14:textId="77777777" w:rsidR="00B83214" w:rsidRPr="00E3537E" w:rsidRDefault="00B83214" w:rsidP="00B83214">
            <w:pPr>
              <w:rPr>
                <w:szCs w:val="24"/>
              </w:rPr>
            </w:pPr>
            <w:r w:rsidRPr="00E3537E">
              <w:rPr>
                <w:szCs w:val="24"/>
              </w:rPr>
              <w:t>5</w:t>
            </w:r>
          </w:p>
        </w:tc>
        <w:tc>
          <w:tcPr>
            <w:tcW w:w="2034" w:type="pct"/>
            <w:noWrap/>
            <w:hideMark/>
          </w:tcPr>
          <w:p w14:paraId="00B17E2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Ostoja Drawska</w:t>
            </w:r>
          </w:p>
        </w:tc>
        <w:tc>
          <w:tcPr>
            <w:tcW w:w="1017" w:type="pct"/>
            <w:noWrap/>
            <w:hideMark/>
          </w:tcPr>
          <w:p w14:paraId="3441D6A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PLB320019</w:t>
            </w:r>
          </w:p>
        </w:tc>
        <w:tc>
          <w:tcPr>
            <w:tcW w:w="1561" w:type="pct"/>
            <w:noWrap/>
            <w:hideMark/>
          </w:tcPr>
          <w:p w14:paraId="5CD4330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153979,643</w:t>
            </w:r>
          </w:p>
        </w:tc>
      </w:tr>
      <w:tr w:rsidR="00B83214" w:rsidRPr="00E3537E" w14:paraId="694F4F45"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4A150FEB" w14:textId="77777777" w:rsidR="00B83214" w:rsidRPr="00E3537E" w:rsidRDefault="00B83214" w:rsidP="00B83214">
            <w:pPr>
              <w:rPr>
                <w:szCs w:val="24"/>
              </w:rPr>
            </w:pPr>
            <w:r w:rsidRPr="00E3537E">
              <w:rPr>
                <w:szCs w:val="24"/>
              </w:rPr>
              <w:t>6</w:t>
            </w:r>
          </w:p>
        </w:tc>
        <w:tc>
          <w:tcPr>
            <w:tcW w:w="2034" w:type="pct"/>
            <w:noWrap/>
            <w:hideMark/>
          </w:tcPr>
          <w:p w14:paraId="25108F8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Zatoka Pomorska</w:t>
            </w:r>
          </w:p>
        </w:tc>
        <w:tc>
          <w:tcPr>
            <w:tcW w:w="1017" w:type="pct"/>
            <w:noWrap/>
            <w:hideMark/>
          </w:tcPr>
          <w:p w14:paraId="075EE9C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PLB990003</w:t>
            </w:r>
          </w:p>
        </w:tc>
        <w:tc>
          <w:tcPr>
            <w:tcW w:w="1561" w:type="pct"/>
            <w:noWrap/>
            <w:hideMark/>
          </w:tcPr>
          <w:p w14:paraId="5F3AAEC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711,645</w:t>
            </w:r>
          </w:p>
        </w:tc>
      </w:tr>
      <w:tr w:rsidR="00B83214" w:rsidRPr="00E3537E" w14:paraId="0C8D05DC"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2A10181" w14:textId="77777777" w:rsidR="00B83214" w:rsidRPr="00E3537E" w:rsidRDefault="00B83214" w:rsidP="00B83214">
            <w:pPr>
              <w:rPr>
                <w:szCs w:val="24"/>
              </w:rPr>
            </w:pPr>
            <w:r w:rsidRPr="00E3537E">
              <w:rPr>
                <w:szCs w:val="24"/>
              </w:rPr>
              <w:t>7</w:t>
            </w:r>
          </w:p>
        </w:tc>
        <w:tc>
          <w:tcPr>
            <w:tcW w:w="2034" w:type="pct"/>
            <w:noWrap/>
            <w:hideMark/>
          </w:tcPr>
          <w:p w14:paraId="15C379D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Jezioro Miedwie i okolice</w:t>
            </w:r>
          </w:p>
        </w:tc>
        <w:tc>
          <w:tcPr>
            <w:tcW w:w="1017" w:type="pct"/>
            <w:noWrap/>
            <w:hideMark/>
          </w:tcPr>
          <w:p w14:paraId="072728D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PLB320005</w:t>
            </w:r>
          </w:p>
        </w:tc>
        <w:tc>
          <w:tcPr>
            <w:tcW w:w="1561" w:type="pct"/>
            <w:noWrap/>
            <w:hideMark/>
          </w:tcPr>
          <w:p w14:paraId="0456AF3A"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16504,088</w:t>
            </w:r>
          </w:p>
        </w:tc>
      </w:tr>
      <w:tr w:rsidR="00B83214" w:rsidRPr="00E3537E" w14:paraId="531EBC9D"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19268ED5" w14:textId="77777777" w:rsidR="00B83214" w:rsidRPr="00E3537E" w:rsidRDefault="00B83214" w:rsidP="00B83214">
            <w:pPr>
              <w:rPr>
                <w:szCs w:val="24"/>
              </w:rPr>
            </w:pPr>
            <w:r w:rsidRPr="00E3537E">
              <w:rPr>
                <w:szCs w:val="24"/>
              </w:rPr>
              <w:t>8</w:t>
            </w:r>
          </w:p>
        </w:tc>
        <w:tc>
          <w:tcPr>
            <w:tcW w:w="2034" w:type="pct"/>
            <w:noWrap/>
            <w:hideMark/>
          </w:tcPr>
          <w:p w14:paraId="774246E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Dolina Dolnej Odry</w:t>
            </w:r>
          </w:p>
        </w:tc>
        <w:tc>
          <w:tcPr>
            <w:tcW w:w="1017" w:type="pct"/>
            <w:noWrap/>
            <w:hideMark/>
          </w:tcPr>
          <w:p w14:paraId="44A7481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PLB320003</w:t>
            </w:r>
          </w:p>
        </w:tc>
        <w:tc>
          <w:tcPr>
            <w:tcW w:w="1561" w:type="pct"/>
            <w:noWrap/>
            <w:hideMark/>
          </w:tcPr>
          <w:p w14:paraId="60846B8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61594,578</w:t>
            </w:r>
          </w:p>
        </w:tc>
      </w:tr>
      <w:tr w:rsidR="00B83214" w:rsidRPr="00E3537E" w14:paraId="1AF2DF97"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5D36BC4F" w14:textId="77777777" w:rsidR="00B83214" w:rsidRPr="00E3537E" w:rsidRDefault="00B83214" w:rsidP="00B83214">
            <w:pPr>
              <w:rPr>
                <w:szCs w:val="24"/>
              </w:rPr>
            </w:pPr>
            <w:r w:rsidRPr="00E3537E">
              <w:rPr>
                <w:szCs w:val="24"/>
              </w:rPr>
              <w:t>9</w:t>
            </w:r>
          </w:p>
        </w:tc>
        <w:tc>
          <w:tcPr>
            <w:tcW w:w="2034" w:type="pct"/>
            <w:noWrap/>
            <w:hideMark/>
          </w:tcPr>
          <w:p w14:paraId="17E3046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Ostoja Ińska</w:t>
            </w:r>
          </w:p>
        </w:tc>
        <w:tc>
          <w:tcPr>
            <w:tcW w:w="1017" w:type="pct"/>
            <w:noWrap/>
            <w:hideMark/>
          </w:tcPr>
          <w:p w14:paraId="7B2CDE3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PLB320008</w:t>
            </w:r>
          </w:p>
        </w:tc>
        <w:tc>
          <w:tcPr>
            <w:tcW w:w="1561" w:type="pct"/>
            <w:noWrap/>
            <w:hideMark/>
          </w:tcPr>
          <w:p w14:paraId="035625C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87714,939</w:t>
            </w:r>
          </w:p>
        </w:tc>
      </w:tr>
      <w:tr w:rsidR="00B83214" w:rsidRPr="00E3537E" w14:paraId="673AB1E0"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7278571B" w14:textId="77777777" w:rsidR="00B83214" w:rsidRPr="00E3537E" w:rsidRDefault="00B83214" w:rsidP="00B83214">
            <w:pPr>
              <w:rPr>
                <w:szCs w:val="24"/>
              </w:rPr>
            </w:pPr>
            <w:r w:rsidRPr="00E3537E">
              <w:rPr>
                <w:szCs w:val="24"/>
              </w:rPr>
              <w:t>10</w:t>
            </w:r>
          </w:p>
        </w:tc>
        <w:tc>
          <w:tcPr>
            <w:tcW w:w="2034" w:type="pct"/>
            <w:noWrap/>
            <w:hideMark/>
          </w:tcPr>
          <w:p w14:paraId="0DB289F1"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Zalew Kamieński i Dziwna</w:t>
            </w:r>
          </w:p>
        </w:tc>
        <w:tc>
          <w:tcPr>
            <w:tcW w:w="1017" w:type="pct"/>
            <w:noWrap/>
            <w:hideMark/>
          </w:tcPr>
          <w:p w14:paraId="1562A20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PLB320011</w:t>
            </w:r>
          </w:p>
        </w:tc>
        <w:tc>
          <w:tcPr>
            <w:tcW w:w="1561" w:type="pct"/>
            <w:noWrap/>
            <w:hideMark/>
          </w:tcPr>
          <w:p w14:paraId="03EE478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12499,979</w:t>
            </w:r>
          </w:p>
        </w:tc>
      </w:tr>
      <w:tr w:rsidR="00B83214" w:rsidRPr="00E3537E" w14:paraId="139EB8AE"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51C6C22E" w14:textId="77777777" w:rsidR="00B83214" w:rsidRPr="00E3537E" w:rsidRDefault="00B83214" w:rsidP="00B83214">
            <w:pPr>
              <w:rPr>
                <w:szCs w:val="24"/>
              </w:rPr>
            </w:pPr>
            <w:r w:rsidRPr="00E3537E">
              <w:rPr>
                <w:szCs w:val="24"/>
              </w:rPr>
              <w:t>11</w:t>
            </w:r>
          </w:p>
        </w:tc>
        <w:tc>
          <w:tcPr>
            <w:tcW w:w="2034" w:type="pct"/>
            <w:noWrap/>
            <w:hideMark/>
          </w:tcPr>
          <w:p w14:paraId="5114367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Puszcza Goleniowska</w:t>
            </w:r>
          </w:p>
        </w:tc>
        <w:tc>
          <w:tcPr>
            <w:tcW w:w="1017" w:type="pct"/>
            <w:noWrap/>
            <w:hideMark/>
          </w:tcPr>
          <w:p w14:paraId="0F79CE8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PLB320012</w:t>
            </w:r>
          </w:p>
        </w:tc>
        <w:tc>
          <w:tcPr>
            <w:tcW w:w="1561" w:type="pct"/>
            <w:noWrap/>
            <w:hideMark/>
          </w:tcPr>
          <w:p w14:paraId="4EF477A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25024,783</w:t>
            </w:r>
          </w:p>
        </w:tc>
      </w:tr>
      <w:tr w:rsidR="00B83214" w:rsidRPr="00E3537E" w14:paraId="0D552AC4"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4B1FA67B" w14:textId="77777777" w:rsidR="00B83214" w:rsidRPr="00E3537E" w:rsidRDefault="00B83214" w:rsidP="00B83214">
            <w:pPr>
              <w:rPr>
                <w:szCs w:val="24"/>
              </w:rPr>
            </w:pPr>
            <w:r w:rsidRPr="00E3537E">
              <w:rPr>
                <w:szCs w:val="24"/>
              </w:rPr>
              <w:t>12</w:t>
            </w:r>
          </w:p>
        </w:tc>
        <w:tc>
          <w:tcPr>
            <w:tcW w:w="2034" w:type="pct"/>
            <w:noWrap/>
            <w:hideMark/>
          </w:tcPr>
          <w:p w14:paraId="18428A2A"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Ostoja Cedyńska</w:t>
            </w:r>
          </w:p>
        </w:tc>
        <w:tc>
          <w:tcPr>
            <w:tcW w:w="1017" w:type="pct"/>
            <w:noWrap/>
            <w:hideMark/>
          </w:tcPr>
          <w:p w14:paraId="4BBB19B1"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PLB320017</w:t>
            </w:r>
          </w:p>
        </w:tc>
        <w:tc>
          <w:tcPr>
            <w:tcW w:w="1561" w:type="pct"/>
            <w:noWrap/>
            <w:hideMark/>
          </w:tcPr>
          <w:p w14:paraId="63D56A2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20849,652</w:t>
            </w:r>
          </w:p>
        </w:tc>
      </w:tr>
      <w:tr w:rsidR="00B83214" w:rsidRPr="00E3537E" w14:paraId="39A2620F"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17564C37" w14:textId="77777777" w:rsidR="00B83214" w:rsidRPr="00E3537E" w:rsidRDefault="00B83214" w:rsidP="00B83214">
            <w:pPr>
              <w:rPr>
                <w:szCs w:val="24"/>
              </w:rPr>
            </w:pPr>
            <w:r w:rsidRPr="00E3537E">
              <w:rPr>
                <w:szCs w:val="24"/>
              </w:rPr>
              <w:t>13</w:t>
            </w:r>
          </w:p>
        </w:tc>
        <w:tc>
          <w:tcPr>
            <w:tcW w:w="2034" w:type="pct"/>
            <w:noWrap/>
            <w:hideMark/>
          </w:tcPr>
          <w:p w14:paraId="64B6977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Zalew Szczeciński</w:t>
            </w:r>
          </w:p>
        </w:tc>
        <w:tc>
          <w:tcPr>
            <w:tcW w:w="1017" w:type="pct"/>
            <w:noWrap/>
            <w:hideMark/>
          </w:tcPr>
          <w:p w14:paraId="4BDEC1D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PLB320009</w:t>
            </w:r>
          </w:p>
        </w:tc>
        <w:tc>
          <w:tcPr>
            <w:tcW w:w="1561" w:type="pct"/>
            <w:noWrap/>
            <w:hideMark/>
          </w:tcPr>
          <w:p w14:paraId="3BBF6C16"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47157,093</w:t>
            </w:r>
          </w:p>
        </w:tc>
      </w:tr>
      <w:tr w:rsidR="00B83214" w:rsidRPr="00E3537E" w14:paraId="6581BBEA"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59899AA" w14:textId="77777777" w:rsidR="00B83214" w:rsidRPr="00E3537E" w:rsidRDefault="00B83214" w:rsidP="00B83214">
            <w:pPr>
              <w:rPr>
                <w:szCs w:val="24"/>
              </w:rPr>
            </w:pPr>
            <w:r w:rsidRPr="00E3537E">
              <w:rPr>
                <w:szCs w:val="24"/>
              </w:rPr>
              <w:t>14</w:t>
            </w:r>
          </w:p>
        </w:tc>
        <w:tc>
          <w:tcPr>
            <w:tcW w:w="2034" w:type="pct"/>
            <w:noWrap/>
            <w:hideMark/>
          </w:tcPr>
          <w:p w14:paraId="6A4BDBC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Przybrzeżne wody Bałtyku</w:t>
            </w:r>
          </w:p>
        </w:tc>
        <w:tc>
          <w:tcPr>
            <w:tcW w:w="1017" w:type="pct"/>
            <w:noWrap/>
            <w:hideMark/>
          </w:tcPr>
          <w:p w14:paraId="7B3B7D5E"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PLB990002</w:t>
            </w:r>
          </w:p>
        </w:tc>
        <w:tc>
          <w:tcPr>
            <w:tcW w:w="1561" w:type="pct"/>
            <w:noWrap/>
            <w:hideMark/>
          </w:tcPr>
          <w:p w14:paraId="344566B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15,111</w:t>
            </w:r>
          </w:p>
        </w:tc>
      </w:tr>
      <w:tr w:rsidR="00B83214" w:rsidRPr="00E3537E" w14:paraId="722CA537"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3D12E683" w14:textId="77777777" w:rsidR="00B83214" w:rsidRPr="00E3537E" w:rsidRDefault="00B83214" w:rsidP="00B83214">
            <w:pPr>
              <w:rPr>
                <w:szCs w:val="24"/>
              </w:rPr>
            </w:pPr>
            <w:r w:rsidRPr="00E3537E">
              <w:rPr>
                <w:szCs w:val="24"/>
              </w:rPr>
              <w:t>15</w:t>
            </w:r>
          </w:p>
        </w:tc>
        <w:tc>
          <w:tcPr>
            <w:tcW w:w="2034" w:type="pct"/>
            <w:noWrap/>
            <w:hideMark/>
          </w:tcPr>
          <w:p w14:paraId="1921F5A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Delta Świny</w:t>
            </w:r>
          </w:p>
        </w:tc>
        <w:tc>
          <w:tcPr>
            <w:tcW w:w="1017" w:type="pct"/>
            <w:noWrap/>
            <w:hideMark/>
          </w:tcPr>
          <w:p w14:paraId="46D9B4C6"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PLB320002</w:t>
            </w:r>
          </w:p>
        </w:tc>
        <w:tc>
          <w:tcPr>
            <w:tcW w:w="1561" w:type="pct"/>
            <w:noWrap/>
            <w:hideMark/>
          </w:tcPr>
          <w:p w14:paraId="28F8F71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8424,617</w:t>
            </w:r>
          </w:p>
        </w:tc>
      </w:tr>
      <w:tr w:rsidR="00B83214" w:rsidRPr="00E3537E" w14:paraId="7124D82D"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35CB2A17" w14:textId="77777777" w:rsidR="00B83214" w:rsidRPr="00E3537E" w:rsidRDefault="00B83214" w:rsidP="00B83214">
            <w:pPr>
              <w:rPr>
                <w:szCs w:val="24"/>
              </w:rPr>
            </w:pPr>
            <w:r w:rsidRPr="00E3537E">
              <w:rPr>
                <w:szCs w:val="24"/>
              </w:rPr>
              <w:t>16</w:t>
            </w:r>
          </w:p>
        </w:tc>
        <w:tc>
          <w:tcPr>
            <w:tcW w:w="2034" w:type="pct"/>
            <w:noWrap/>
            <w:hideMark/>
          </w:tcPr>
          <w:p w14:paraId="4E1A789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Bagna Rozwarowskie</w:t>
            </w:r>
          </w:p>
        </w:tc>
        <w:tc>
          <w:tcPr>
            <w:tcW w:w="1017" w:type="pct"/>
            <w:noWrap/>
            <w:hideMark/>
          </w:tcPr>
          <w:p w14:paraId="68920B1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PLB320001</w:t>
            </w:r>
          </w:p>
        </w:tc>
        <w:tc>
          <w:tcPr>
            <w:tcW w:w="1561" w:type="pct"/>
            <w:noWrap/>
            <w:hideMark/>
          </w:tcPr>
          <w:p w14:paraId="45BFFB9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4247,399</w:t>
            </w:r>
          </w:p>
        </w:tc>
      </w:tr>
      <w:tr w:rsidR="00B83214" w:rsidRPr="00E3537E" w14:paraId="0CE42C4D"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D863940" w14:textId="77777777" w:rsidR="00B83214" w:rsidRPr="00E3537E" w:rsidRDefault="00B83214" w:rsidP="00B83214">
            <w:pPr>
              <w:rPr>
                <w:szCs w:val="24"/>
              </w:rPr>
            </w:pPr>
            <w:r w:rsidRPr="00E3537E">
              <w:rPr>
                <w:szCs w:val="24"/>
              </w:rPr>
              <w:t>17</w:t>
            </w:r>
          </w:p>
        </w:tc>
        <w:tc>
          <w:tcPr>
            <w:tcW w:w="2034" w:type="pct"/>
            <w:noWrap/>
            <w:hideMark/>
          </w:tcPr>
          <w:p w14:paraId="114F0C51"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Jezioro Świdwie</w:t>
            </w:r>
          </w:p>
        </w:tc>
        <w:tc>
          <w:tcPr>
            <w:tcW w:w="1017" w:type="pct"/>
            <w:noWrap/>
            <w:hideMark/>
          </w:tcPr>
          <w:p w14:paraId="20983E8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PLB320006</w:t>
            </w:r>
          </w:p>
        </w:tc>
        <w:tc>
          <w:tcPr>
            <w:tcW w:w="1561" w:type="pct"/>
            <w:noWrap/>
            <w:hideMark/>
          </w:tcPr>
          <w:p w14:paraId="0BA3258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7189,72</w:t>
            </w:r>
          </w:p>
        </w:tc>
      </w:tr>
      <w:tr w:rsidR="00B83214" w:rsidRPr="00E3537E" w14:paraId="6322364E"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884418B" w14:textId="77777777" w:rsidR="00B83214" w:rsidRPr="00E3537E" w:rsidRDefault="00B83214" w:rsidP="00B83214">
            <w:pPr>
              <w:rPr>
                <w:szCs w:val="24"/>
              </w:rPr>
            </w:pPr>
            <w:r w:rsidRPr="00E3537E">
              <w:rPr>
                <w:szCs w:val="24"/>
              </w:rPr>
              <w:t>18</w:t>
            </w:r>
          </w:p>
        </w:tc>
        <w:tc>
          <w:tcPr>
            <w:tcW w:w="2034" w:type="pct"/>
            <w:noWrap/>
            <w:hideMark/>
          </w:tcPr>
          <w:p w14:paraId="74D3347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Ostoja Wkrzańska</w:t>
            </w:r>
          </w:p>
        </w:tc>
        <w:tc>
          <w:tcPr>
            <w:tcW w:w="1017" w:type="pct"/>
            <w:noWrap/>
            <w:hideMark/>
          </w:tcPr>
          <w:p w14:paraId="65913B5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PLB320014</w:t>
            </w:r>
          </w:p>
        </w:tc>
        <w:tc>
          <w:tcPr>
            <w:tcW w:w="1561" w:type="pct"/>
            <w:noWrap/>
            <w:hideMark/>
          </w:tcPr>
          <w:p w14:paraId="0F9F08D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14563,024</w:t>
            </w:r>
          </w:p>
        </w:tc>
      </w:tr>
      <w:tr w:rsidR="00B83214" w:rsidRPr="00E3537E" w14:paraId="3DCD8D33"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328A3C42" w14:textId="77777777" w:rsidR="00B83214" w:rsidRPr="00E3537E" w:rsidRDefault="00B83214" w:rsidP="00B83214">
            <w:pPr>
              <w:rPr>
                <w:szCs w:val="24"/>
              </w:rPr>
            </w:pPr>
            <w:r w:rsidRPr="00E3537E">
              <w:rPr>
                <w:szCs w:val="24"/>
              </w:rPr>
              <w:t>19</w:t>
            </w:r>
          </w:p>
        </w:tc>
        <w:tc>
          <w:tcPr>
            <w:tcW w:w="2034" w:type="pct"/>
            <w:noWrap/>
            <w:hideMark/>
          </w:tcPr>
          <w:p w14:paraId="7C36755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Jeziora Wełtyńskie</w:t>
            </w:r>
          </w:p>
        </w:tc>
        <w:tc>
          <w:tcPr>
            <w:tcW w:w="1017" w:type="pct"/>
            <w:noWrap/>
            <w:hideMark/>
          </w:tcPr>
          <w:p w14:paraId="50412BE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PLB320018</w:t>
            </w:r>
          </w:p>
        </w:tc>
        <w:tc>
          <w:tcPr>
            <w:tcW w:w="1561" w:type="pct"/>
            <w:noWrap/>
            <w:hideMark/>
          </w:tcPr>
          <w:p w14:paraId="6F3E22E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2809,156</w:t>
            </w:r>
          </w:p>
        </w:tc>
      </w:tr>
      <w:tr w:rsidR="00B83214" w:rsidRPr="00E3537E" w14:paraId="494F5A15"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11AEA77C" w14:textId="77777777" w:rsidR="00B83214" w:rsidRPr="00E3537E" w:rsidRDefault="00B83214" w:rsidP="00B83214">
            <w:pPr>
              <w:rPr>
                <w:szCs w:val="24"/>
              </w:rPr>
            </w:pPr>
            <w:r w:rsidRPr="00E3537E">
              <w:rPr>
                <w:szCs w:val="24"/>
              </w:rPr>
              <w:t>20</w:t>
            </w:r>
          </w:p>
        </w:tc>
        <w:tc>
          <w:tcPr>
            <w:tcW w:w="2034" w:type="pct"/>
            <w:noWrap/>
            <w:hideMark/>
          </w:tcPr>
          <w:p w14:paraId="745BFE3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Wybrzeże Trzebiatowskie</w:t>
            </w:r>
          </w:p>
        </w:tc>
        <w:tc>
          <w:tcPr>
            <w:tcW w:w="1017" w:type="pct"/>
            <w:noWrap/>
            <w:hideMark/>
          </w:tcPr>
          <w:p w14:paraId="08353AD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PLB320010</w:t>
            </w:r>
          </w:p>
        </w:tc>
        <w:tc>
          <w:tcPr>
            <w:tcW w:w="1561" w:type="pct"/>
            <w:noWrap/>
            <w:hideMark/>
          </w:tcPr>
          <w:p w14:paraId="7D1FD58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31753,795</w:t>
            </w:r>
          </w:p>
        </w:tc>
      </w:tr>
      <w:tr w:rsidR="00B83214" w:rsidRPr="00E3537E" w14:paraId="2BE718F1"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043FC0C2" w14:textId="77777777" w:rsidR="00B83214" w:rsidRPr="00E3537E" w:rsidRDefault="00B83214" w:rsidP="00B83214">
            <w:pPr>
              <w:rPr>
                <w:szCs w:val="24"/>
              </w:rPr>
            </w:pPr>
            <w:r w:rsidRPr="00E3537E">
              <w:rPr>
                <w:szCs w:val="24"/>
              </w:rPr>
              <w:t>21</w:t>
            </w:r>
          </w:p>
        </w:tc>
        <w:tc>
          <w:tcPr>
            <w:tcW w:w="2034" w:type="pct"/>
            <w:noWrap/>
            <w:hideMark/>
          </w:tcPr>
          <w:p w14:paraId="1CD27FE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Łąki Skoszewskie</w:t>
            </w:r>
          </w:p>
        </w:tc>
        <w:tc>
          <w:tcPr>
            <w:tcW w:w="1017" w:type="pct"/>
            <w:noWrap/>
            <w:hideMark/>
          </w:tcPr>
          <w:p w14:paraId="5280DDC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PLB320007</w:t>
            </w:r>
          </w:p>
        </w:tc>
        <w:tc>
          <w:tcPr>
            <w:tcW w:w="1561" w:type="pct"/>
            <w:noWrap/>
            <w:hideMark/>
          </w:tcPr>
          <w:p w14:paraId="34C95C4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9077,42</w:t>
            </w:r>
          </w:p>
        </w:tc>
      </w:tr>
      <w:tr w:rsidR="00B83214" w:rsidRPr="00E3537E" w14:paraId="3E1DFC79"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5000" w:type="pct"/>
            <w:gridSpan w:val="4"/>
            <w:noWrap/>
            <w:hideMark/>
          </w:tcPr>
          <w:p w14:paraId="5BB4B203" w14:textId="77777777" w:rsidR="00B83214" w:rsidRPr="00E3537E" w:rsidRDefault="00B83214" w:rsidP="00B83214">
            <w:pPr>
              <w:jc w:val="center"/>
              <w:rPr>
                <w:szCs w:val="24"/>
              </w:rPr>
            </w:pPr>
            <w:r w:rsidRPr="00E3537E">
              <w:rPr>
                <w:szCs w:val="24"/>
              </w:rPr>
              <w:t>SOO</w:t>
            </w:r>
          </w:p>
        </w:tc>
      </w:tr>
      <w:tr w:rsidR="00B83214" w:rsidRPr="00E3537E" w14:paraId="11C3AE6C"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1F6B9091" w14:textId="77777777" w:rsidR="00B83214" w:rsidRPr="00E3537E" w:rsidRDefault="00B83214" w:rsidP="00B83214">
            <w:pPr>
              <w:rPr>
                <w:szCs w:val="24"/>
              </w:rPr>
            </w:pPr>
            <w:r w:rsidRPr="00E3537E">
              <w:rPr>
                <w:szCs w:val="24"/>
              </w:rPr>
              <w:t>22</w:t>
            </w:r>
          </w:p>
        </w:tc>
        <w:tc>
          <w:tcPr>
            <w:tcW w:w="2034" w:type="pct"/>
            <w:noWrap/>
            <w:hideMark/>
          </w:tcPr>
          <w:p w14:paraId="7C95BFA6"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Jeziora Czaplineckie</w:t>
            </w:r>
          </w:p>
        </w:tc>
        <w:tc>
          <w:tcPr>
            <w:tcW w:w="1017" w:type="pct"/>
            <w:noWrap/>
            <w:hideMark/>
          </w:tcPr>
          <w:p w14:paraId="17E62D42"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PLH320039</w:t>
            </w:r>
          </w:p>
        </w:tc>
        <w:tc>
          <w:tcPr>
            <w:tcW w:w="1561" w:type="pct"/>
            <w:noWrap/>
            <w:hideMark/>
          </w:tcPr>
          <w:p w14:paraId="7462EA4E"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32267,774</w:t>
            </w:r>
          </w:p>
        </w:tc>
      </w:tr>
      <w:tr w:rsidR="00B83214" w:rsidRPr="00E3537E" w14:paraId="5C7C16DA"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1B0710EC" w14:textId="77777777" w:rsidR="00B83214" w:rsidRPr="00E3537E" w:rsidRDefault="00B83214" w:rsidP="00B83214">
            <w:pPr>
              <w:rPr>
                <w:szCs w:val="24"/>
              </w:rPr>
            </w:pPr>
            <w:r w:rsidRPr="00E3537E">
              <w:rPr>
                <w:szCs w:val="24"/>
              </w:rPr>
              <w:t>23</w:t>
            </w:r>
          </w:p>
        </w:tc>
        <w:tc>
          <w:tcPr>
            <w:tcW w:w="2034" w:type="pct"/>
            <w:noWrap/>
            <w:hideMark/>
          </w:tcPr>
          <w:p w14:paraId="7920DD3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Jezioro Wielki Bytyń</w:t>
            </w:r>
          </w:p>
        </w:tc>
        <w:tc>
          <w:tcPr>
            <w:tcW w:w="1017" w:type="pct"/>
            <w:noWrap/>
            <w:hideMark/>
          </w:tcPr>
          <w:p w14:paraId="7CD44D2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PLH320011</w:t>
            </w:r>
          </w:p>
        </w:tc>
        <w:tc>
          <w:tcPr>
            <w:tcW w:w="1561" w:type="pct"/>
            <w:noWrap/>
            <w:hideMark/>
          </w:tcPr>
          <w:p w14:paraId="77A0522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2018,233</w:t>
            </w:r>
          </w:p>
        </w:tc>
      </w:tr>
      <w:tr w:rsidR="00B83214" w:rsidRPr="00E3537E" w14:paraId="6E643E87"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1F859911" w14:textId="77777777" w:rsidR="00B83214" w:rsidRPr="00E3537E" w:rsidRDefault="00B83214" w:rsidP="00B83214">
            <w:pPr>
              <w:rPr>
                <w:szCs w:val="24"/>
              </w:rPr>
            </w:pPr>
            <w:r w:rsidRPr="00E3537E">
              <w:rPr>
                <w:szCs w:val="24"/>
              </w:rPr>
              <w:t>24</w:t>
            </w:r>
          </w:p>
        </w:tc>
        <w:tc>
          <w:tcPr>
            <w:tcW w:w="2034" w:type="pct"/>
            <w:noWrap/>
            <w:hideMark/>
          </w:tcPr>
          <w:p w14:paraId="634DDBE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Dolina Tywy</w:t>
            </w:r>
          </w:p>
        </w:tc>
        <w:tc>
          <w:tcPr>
            <w:tcW w:w="1017" w:type="pct"/>
            <w:noWrap/>
            <w:hideMark/>
          </w:tcPr>
          <w:p w14:paraId="3CFAAFC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PLH320050</w:t>
            </w:r>
          </w:p>
        </w:tc>
        <w:tc>
          <w:tcPr>
            <w:tcW w:w="1561" w:type="pct"/>
            <w:noWrap/>
            <w:hideMark/>
          </w:tcPr>
          <w:p w14:paraId="7836EE6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3752,237</w:t>
            </w:r>
          </w:p>
        </w:tc>
      </w:tr>
      <w:tr w:rsidR="00B83214" w:rsidRPr="00E3537E" w14:paraId="7999A369"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16BFB6E8" w14:textId="77777777" w:rsidR="00B83214" w:rsidRPr="00E3537E" w:rsidRDefault="00B83214" w:rsidP="00B83214">
            <w:pPr>
              <w:rPr>
                <w:szCs w:val="24"/>
              </w:rPr>
            </w:pPr>
            <w:r w:rsidRPr="00E3537E">
              <w:rPr>
                <w:szCs w:val="24"/>
              </w:rPr>
              <w:t>25</w:t>
            </w:r>
          </w:p>
        </w:tc>
        <w:tc>
          <w:tcPr>
            <w:tcW w:w="2034" w:type="pct"/>
            <w:noWrap/>
            <w:hideMark/>
          </w:tcPr>
          <w:p w14:paraId="53D8B17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Dolina Wieprzy i Studnicy</w:t>
            </w:r>
          </w:p>
        </w:tc>
        <w:tc>
          <w:tcPr>
            <w:tcW w:w="1017" w:type="pct"/>
            <w:noWrap/>
            <w:hideMark/>
          </w:tcPr>
          <w:p w14:paraId="3B1D954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PLH220038</w:t>
            </w:r>
          </w:p>
        </w:tc>
        <w:tc>
          <w:tcPr>
            <w:tcW w:w="1561" w:type="pct"/>
            <w:noWrap/>
            <w:hideMark/>
          </w:tcPr>
          <w:p w14:paraId="78F567B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4231,751</w:t>
            </w:r>
          </w:p>
        </w:tc>
      </w:tr>
      <w:tr w:rsidR="00B83214" w:rsidRPr="00E3537E" w14:paraId="2F9F14D5"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161EE69D" w14:textId="77777777" w:rsidR="00B83214" w:rsidRPr="00E3537E" w:rsidRDefault="00B83214" w:rsidP="00B83214">
            <w:pPr>
              <w:rPr>
                <w:szCs w:val="24"/>
              </w:rPr>
            </w:pPr>
            <w:r w:rsidRPr="00E3537E">
              <w:rPr>
                <w:szCs w:val="24"/>
              </w:rPr>
              <w:t>26</w:t>
            </w:r>
          </w:p>
        </w:tc>
        <w:tc>
          <w:tcPr>
            <w:tcW w:w="2034" w:type="pct"/>
            <w:noWrap/>
            <w:hideMark/>
          </w:tcPr>
          <w:p w14:paraId="3A81C511"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Jezioro Bukowo</w:t>
            </w:r>
          </w:p>
        </w:tc>
        <w:tc>
          <w:tcPr>
            <w:tcW w:w="1017" w:type="pct"/>
            <w:noWrap/>
            <w:hideMark/>
          </w:tcPr>
          <w:p w14:paraId="1F71E13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PLH320041</w:t>
            </w:r>
          </w:p>
        </w:tc>
        <w:tc>
          <w:tcPr>
            <w:tcW w:w="1561" w:type="pct"/>
            <w:noWrap/>
            <w:hideMark/>
          </w:tcPr>
          <w:p w14:paraId="6ED9ABC2"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3265,058</w:t>
            </w:r>
          </w:p>
        </w:tc>
      </w:tr>
      <w:tr w:rsidR="00B83214" w:rsidRPr="00E3537E" w14:paraId="6CB21C1C"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04EF03AD" w14:textId="77777777" w:rsidR="00B83214" w:rsidRPr="00E3537E" w:rsidRDefault="00B83214" w:rsidP="00B83214">
            <w:pPr>
              <w:rPr>
                <w:szCs w:val="24"/>
              </w:rPr>
            </w:pPr>
            <w:r w:rsidRPr="00E3537E">
              <w:rPr>
                <w:szCs w:val="24"/>
              </w:rPr>
              <w:t>27</w:t>
            </w:r>
          </w:p>
        </w:tc>
        <w:tc>
          <w:tcPr>
            <w:tcW w:w="2034" w:type="pct"/>
            <w:noWrap/>
            <w:hideMark/>
          </w:tcPr>
          <w:p w14:paraId="606CC496"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Dolina Piławy</w:t>
            </w:r>
          </w:p>
        </w:tc>
        <w:tc>
          <w:tcPr>
            <w:tcW w:w="1017" w:type="pct"/>
            <w:noWrap/>
            <w:hideMark/>
          </w:tcPr>
          <w:p w14:paraId="47BE85E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PLH320025</w:t>
            </w:r>
          </w:p>
        </w:tc>
        <w:tc>
          <w:tcPr>
            <w:tcW w:w="1561" w:type="pct"/>
            <w:noWrap/>
            <w:hideMark/>
          </w:tcPr>
          <w:p w14:paraId="7324FAB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2202,693</w:t>
            </w:r>
          </w:p>
        </w:tc>
      </w:tr>
      <w:tr w:rsidR="00B83214" w:rsidRPr="00E3537E" w14:paraId="781B2168"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07ED46DA" w14:textId="77777777" w:rsidR="00B83214" w:rsidRPr="00E3537E" w:rsidRDefault="00B83214" w:rsidP="00B83214">
            <w:pPr>
              <w:rPr>
                <w:szCs w:val="24"/>
              </w:rPr>
            </w:pPr>
            <w:r w:rsidRPr="00E3537E">
              <w:rPr>
                <w:szCs w:val="24"/>
              </w:rPr>
              <w:t>28</w:t>
            </w:r>
          </w:p>
        </w:tc>
        <w:tc>
          <w:tcPr>
            <w:tcW w:w="2034" w:type="pct"/>
            <w:noWrap/>
            <w:hideMark/>
          </w:tcPr>
          <w:p w14:paraId="34C3C33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Jezioro Bobięcińskie</w:t>
            </w:r>
          </w:p>
        </w:tc>
        <w:tc>
          <w:tcPr>
            <w:tcW w:w="1017" w:type="pct"/>
            <w:noWrap/>
            <w:hideMark/>
          </w:tcPr>
          <w:p w14:paraId="5525847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PLH320040</w:t>
            </w:r>
          </w:p>
        </w:tc>
        <w:tc>
          <w:tcPr>
            <w:tcW w:w="1561" w:type="pct"/>
            <w:noWrap/>
            <w:hideMark/>
          </w:tcPr>
          <w:p w14:paraId="1B571DB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2567,741</w:t>
            </w:r>
          </w:p>
        </w:tc>
      </w:tr>
      <w:tr w:rsidR="00B83214" w:rsidRPr="00E3537E" w14:paraId="533ED246"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43DD9AA0" w14:textId="77777777" w:rsidR="00B83214" w:rsidRPr="00E3537E" w:rsidRDefault="00B83214" w:rsidP="00B83214">
            <w:pPr>
              <w:rPr>
                <w:szCs w:val="24"/>
              </w:rPr>
            </w:pPr>
            <w:r w:rsidRPr="00E3537E">
              <w:rPr>
                <w:szCs w:val="24"/>
              </w:rPr>
              <w:t>29</w:t>
            </w:r>
          </w:p>
        </w:tc>
        <w:tc>
          <w:tcPr>
            <w:tcW w:w="2034" w:type="pct"/>
            <w:noWrap/>
            <w:hideMark/>
          </w:tcPr>
          <w:p w14:paraId="2781D21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Dolina Krąpieli</w:t>
            </w:r>
          </w:p>
        </w:tc>
        <w:tc>
          <w:tcPr>
            <w:tcW w:w="1017" w:type="pct"/>
            <w:noWrap/>
            <w:hideMark/>
          </w:tcPr>
          <w:p w14:paraId="3A66117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PLH320005</w:t>
            </w:r>
          </w:p>
        </w:tc>
        <w:tc>
          <w:tcPr>
            <w:tcW w:w="1561" w:type="pct"/>
            <w:noWrap/>
            <w:hideMark/>
          </w:tcPr>
          <w:p w14:paraId="78B8591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232,706</w:t>
            </w:r>
          </w:p>
        </w:tc>
      </w:tr>
      <w:tr w:rsidR="00B83214" w:rsidRPr="00E3537E" w14:paraId="6C591803"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C159821" w14:textId="77777777" w:rsidR="00B83214" w:rsidRPr="00E3537E" w:rsidRDefault="00B83214" w:rsidP="00B83214">
            <w:pPr>
              <w:rPr>
                <w:szCs w:val="24"/>
              </w:rPr>
            </w:pPr>
            <w:r w:rsidRPr="00E3537E">
              <w:rPr>
                <w:szCs w:val="24"/>
              </w:rPr>
              <w:t>30</w:t>
            </w:r>
          </w:p>
        </w:tc>
        <w:tc>
          <w:tcPr>
            <w:tcW w:w="2034" w:type="pct"/>
            <w:noWrap/>
            <w:hideMark/>
          </w:tcPr>
          <w:p w14:paraId="5379F58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Strzaliny koło Tuczna</w:t>
            </w:r>
          </w:p>
        </w:tc>
        <w:tc>
          <w:tcPr>
            <w:tcW w:w="1017" w:type="pct"/>
            <w:noWrap/>
            <w:hideMark/>
          </w:tcPr>
          <w:p w14:paraId="08CCA66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PLH320021</w:t>
            </w:r>
          </w:p>
        </w:tc>
        <w:tc>
          <w:tcPr>
            <w:tcW w:w="1561" w:type="pct"/>
            <w:noWrap/>
            <w:hideMark/>
          </w:tcPr>
          <w:p w14:paraId="2E181136"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17,28</w:t>
            </w:r>
          </w:p>
        </w:tc>
      </w:tr>
      <w:tr w:rsidR="00B83214" w:rsidRPr="00E3537E" w14:paraId="3466995E"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30FB0B4D" w14:textId="77777777" w:rsidR="00B83214" w:rsidRPr="00E3537E" w:rsidRDefault="00B83214" w:rsidP="00B83214">
            <w:pPr>
              <w:rPr>
                <w:szCs w:val="24"/>
              </w:rPr>
            </w:pPr>
            <w:r w:rsidRPr="00E3537E">
              <w:rPr>
                <w:szCs w:val="24"/>
              </w:rPr>
              <w:t>31</w:t>
            </w:r>
          </w:p>
        </w:tc>
        <w:tc>
          <w:tcPr>
            <w:tcW w:w="2034" w:type="pct"/>
            <w:noWrap/>
            <w:hideMark/>
          </w:tcPr>
          <w:p w14:paraId="29ED452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Mirosławiec</w:t>
            </w:r>
          </w:p>
        </w:tc>
        <w:tc>
          <w:tcPr>
            <w:tcW w:w="1017" w:type="pct"/>
            <w:noWrap/>
            <w:hideMark/>
          </w:tcPr>
          <w:p w14:paraId="0E824A7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PLH320045</w:t>
            </w:r>
          </w:p>
        </w:tc>
        <w:tc>
          <w:tcPr>
            <w:tcW w:w="1561" w:type="pct"/>
            <w:noWrap/>
            <w:hideMark/>
          </w:tcPr>
          <w:p w14:paraId="376EE57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6570,193</w:t>
            </w:r>
          </w:p>
        </w:tc>
      </w:tr>
      <w:tr w:rsidR="00B83214" w:rsidRPr="00E3537E" w14:paraId="7254D12A"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5F168463" w14:textId="77777777" w:rsidR="00B83214" w:rsidRPr="00E3537E" w:rsidRDefault="00B83214" w:rsidP="00B83214">
            <w:pPr>
              <w:rPr>
                <w:szCs w:val="24"/>
              </w:rPr>
            </w:pPr>
            <w:r w:rsidRPr="00E3537E">
              <w:rPr>
                <w:szCs w:val="24"/>
              </w:rPr>
              <w:t>32</w:t>
            </w:r>
          </w:p>
        </w:tc>
        <w:tc>
          <w:tcPr>
            <w:tcW w:w="2034" w:type="pct"/>
            <w:noWrap/>
            <w:hideMark/>
          </w:tcPr>
          <w:p w14:paraId="7DE1B09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Dolina Rurzycy</w:t>
            </w:r>
          </w:p>
        </w:tc>
        <w:tc>
          <w:tcPr>
            <w:tcW w:w="1017" w:type="pct"/>
            <w:noWrap/>
            <w:hideMark/>
          </w:tcPr>
          <w:p w14:paraId="5641716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PLH300017</w:t>
            </w:r>
          </w:p>
        </w:tc>
        <w:tc>
          <w:tcPr>
            <w:tcW w:w="1561" w:type="pct"/>
            <w:noWrap/>
            <w:hideMark/>
          </w:tcPr>
          <w:p w14:paraId="27A7FAF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554,395</w:t>
            </w:r>
          </w:p>
        </w:tc>
      </w:tr>
      <w:tr w:rsidR="00B83214" w:rsidRPr="00E3537E" w14:paraId="243528C4"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3AE931DE" w14:textId="77777777" w:rsidR="00B83214" w:rsidRPr="00E3537E" w:rsidRDefault="00B83214" w:rsidP="00B83214">
            <w:pPr>
              <w:rPr>
                <w:szCs w:val="24"/>
              </w:rPr>
            </w:pPr>
            <w:r w:rsidRPr="00E3537E">
              <w:rPr>
                <w:szCs w:val="24"/>
              </w:rPr>
              <w:t>33</w:t>
            </w:r>
          </w:p>
        </w:tc>
        <w:tc>
          <w:tcPr>
            <w:tcW w:w="2034" w:type="pct"/>
            <w:noWrap/>
            <w:hideMark/>
          </w:tcPr>
          <w:p w14:paraId="1F2AE3F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Gogolice-Kosa</w:t>
            </w:r>
          </w:p>
        </w:tc>
        <w:tc>
          <w:tcPr>
            <w:tcW w:w="1017" w:type="pct"/>
            <w:noWrap/>
            <w:hideMark/>
          </w:tcPr>
          <w:p w14:paraId="4B79790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PLH320038</w:t>
            </w:r>
          </w:p>
        </w:tc>
        <w:tc>
          <w:tcPr>
            <w:tcW w:w="1561" w:type="pct"/>
            <w:noWrap/>
            <w:hideMark/>
          </w:tcPr>
          <w:p w14:paraId="0E245DF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1450,693</w:t>
            </w:r>
          </w:p>
        </w:tc>
      </w:tr>
      <w:tr w:rsidR="00B83214" w:rsidRPr="00E3537E" w14:paraId="3BE59241"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669B9DA" w14:textId="77777777" w:rsidR="00B83214" w:rsidRPr="00E3537E" w:rsidRDefault="00B83214" w:rsidP="00B83214">
            <w:pPr>
              <w:rPr>
                <w:szCs w:val="24"/>
              </w:rPr>
            </w:pPr>
            <w:r w:rsidRPr="00E3537E">
              <w:rPr>
                <w:szCs w:val="24"/>
              </w:rPr>
              <w:t>34</w:t>
            </w:r>
          </w:p>
        </w:tc>
        <w:tc>
          <w:tcPr>
            <w:tcW w:w="2034" w:type="pct"/>
            <w:noWrap/>
            <w:hideMark/>
          </w:tcPr>
          <w:p w14:paraId="410BA11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Lasy Bierzwnickie</w:t>
            </w:r>
          </w:p>
        </w:tc>
        <w:tc>
          <w:tcPr>
            <w:tcW w:w="1017" w:type="pct"/>
            <w:noWrap/>
            <w:hideMark/>
          </w:tcPr>
          <w:p w14:paraId="762F8801"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PLH320044</w:t>
            </w:r>
          </w:p>
        </w:tc>
        <w:tc>
          <w:tcPr>
            <w:tcW w:w="1561" w:type="pct"/>
            <w:noWrap/>
            <w:hideMark/>
          </w:tcPr>
          <w:p w14:paraId="1881855A"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8259,661</w:t>
            </w:r>
          </w:p>
        </w:tc>
      </w:tr>
      <w:tr w:rsidR="00B83214" w:rsidRPr="00E3537E" w14:paraId="3CF2DB4C"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7128A92B" w14:textId="77777777" w:rsidR="00B83214" w:rsidRPr="00E3537E" w:rsidRDefault="00B83214" w:rsidP="00B83214">
            <w:pPr>
              <w:rPr>
                <w:szCs w:val="24"/>
              </w:rPr>
            </w:pPr>
            <w:r w:rsidRPr="00E3537E">
              <w:rPr>
                <w:szCs w:val="24"/>
              </w:rPr>
              <w:t>35</w:t>
            </w:r>
          </w:p>
        </w:tc>
        <w:tc>
          <w:tcPr>
            <w:tcW w:w="2034" w:type="pct"/>
            <w:noWrap/>
            <w:hideMark/>
          </w:tcPr>
          <w:p w14:paraId="3FEEC37E"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Pojezierze Myśliborskie</w:t>
            </w:r>
          </w:p>
        </w:tc>
        <w:tc>
          <w:tcPr>
            <w:tcW w:w="1017" w:type="pct"/>
            <w:noWrap/>
            <w:hideMark/>
          </w:tcPr>
          <w:p w14:paraId="45CE8FC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PLH320014</w:t>
            </w:r>
          </w:p>
        </w:tc>
        <w:tc>
          <w:tcPr>
            <w:tcW w:w="1561" w:type="pct"/>
            <w:noWrap/>
            <w:hideMark/>
          </w:tcPr>
          <w:p w14:paraId="206E27A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4404,7</w:t>
            </w:r>
          </w:p>
        </w:tc>
      </w:tr>
      <w:tr w:rsidR="00B83214" w:rsidRPr="00E3537E" w14:paraId="224CFC49"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4BD3D8F6" w14:textId="77777777" w:rsidR="00B83214" w:rsidRPr="00E3537E" w:rsidRDefault="00B83214" w:rsidP="00B83214">
            <w:pPr>
              <w:rPr>
                <w:szCs w:val="24"/>
              </w:rPr>
            </w:pPr>
            <w:r w:rsidRPr="00E3537E">
              <w:rPr>
                <w:szCs w:val="24"/>
              </w:rPr>
              <w:t>36</w:t>
            </w:r>
          </w:p>
        </w:tc>
        <w:tc>
          <w:tcPr>
            <w:tcW w:w="2034" w:type="pct"/>
            <w:noWrap/>
            <w:hideMark/>
          </w:tcPr>
          <w:p w14:paraId="193733D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Dolina Płoni i Jezioro Miedwie</w:t>
            </w:r>
          </w:p>
        </w:tc>
        <w:tc>
          <w:tcPr>
            <w:tcW w:w="1017" w:type="pct"/>
            <w:noWrap/>
            <w:hideMark/>
          </w:tcPr>
          <w:p w14:paraId="75CD0DE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PLH320006</w:t>
            </w:r>
          </w:p>
        </w:tc>
        <w:tc>
          <w:tcPr>
            <w:tcW w:w="1561" w:type="pct"/>
            <w:noWrap/>
            <w:hideMark/>
          </w:tcPr>
          <w:p w14:paraId="569B63B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20903,194</w:t>
            </w:r>
          </w:p>
        </w:tc>
      </w:tr>
      <w:tr w:rsidR="00B83214" w:rsidRPr="00E3537E" w14:paraId="4B2D8105"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7E7734B6" w14:textId="77777777" w:rsidR="00B83214" w:rsidRPr="00E3537E" w:rsidRDefault="00B83214" w:rsidP="00B83214">
            <w:pPr>
              <w:rPr>
                <w:szCs w:val="24"/>
              </w:rPr>
            </w:pPr>
            <w:r w:rsidRPr="00E3537E">
              <w:rPr>
                <w:szCs w:val="24"/>
              </w:rPr>
              <w:t>37</w:t>
            </w:r>
          </w:p>
        </w:tc>
        <w:tc>
          <w:tcPr>
            <w:tcW w:w="2034" w:type="pct"/>
            <w:noWrap/>
            <w:hideMark/>
          </w:tcPr>
          <w:p w14:paraId="3E2E332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Dolna Odra</w:t>
            </w:r>
          </w:p>
        </w:tc>
        <w:tc>
          <w:tcPr>
            <w:tcW w:w="1017" w:type="pct"/>
            <w:noWrap/>
            <w:hideMark/>
          </w:tcPr>
          <w:p w14:paraId="0D6D8E4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PLH320037</w:t>
            </w:r>
          </w:p>
        </w:tc>
        <w:tc>
          <w:tcPr>
            <w:tcW w:w="1561" w:type="pct"/>
            <w:noWrap/>
            <w:hideMark/>
          </w:tcPr>
          <w:p w14:paraId="3EF8003A"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30378,088</w:t>
            </w:r>
          </w:p>
        </w:tc>
      </w:tr>
      <w:tr w:rsidR="00B83214" w:rsidRPr="00E3537E" w14:paraId="272C2B10"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BBB6F64" w14:textId="77777777" w:rsidR="00B83214" w:rsidRPr="00E3537E" w:rsidRDefault="00B83214" w:rsidP="00B83214">
            <w:pPr>
              <w:rPr>
                <w:szCs w:val="24"/>
              </w:rPr>
            </w:pPr>
            <w:r w:rsidRPr="00E3537E">
              <w:rPr>
                <w:szCs w:val="24"/>
              </w:rPr>
              <w:t>38</w:t>
            </w:r>
          </w:p>
        </w:tc>
        <w:tc>
          <w:tcPr>
            <w:tcW w:w="2034" w:type="pct"/>
            <w:noWrap/>
            <w:hideMark/>
          </w:tcPr>
          <w:p w14:paraId="50AD093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Wzgórza Bukowe</w:t>
            </w:r>
          </w:p>
        </w:tc>
        <w:tc>
          <w:tcPr>
            <w:tcW w:w="1017" w:type="pct"/>
            <w:noWrap/>
            <w:hideMark/>
          </w:tcPr>
          <w:p w14:paraId="19489F6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PLH320020</w:t>
            </w:r>
          </w:p>
        </w:tc>
        <w:tc>
          <w:tcPr>
            <w:tcW w:w="1561" w:type="pct"/>
            <w:noWrap/>
            <w:hideMark/>
          </w:tcPr>
          <w:p w14:paraId="1217693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11979,726</w:t>
            </w:r>
          </w:p>
        </w:tc>
      </w:tr>
      <w:tr w:rsidR="00B83214" w:rsidRPr="00E3537E" w14:paraId="400A8A98"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647CD49C" w14:textId="77777777" w:rsidR="00B83214" w:rsidRPr="00E3537E" w:rsidRDefault="00B83214" w:rsidP="00B83214">
            <w:pPr>
              <w:rPr>
                <w:szCs w:val="24"/>
              </w:rPr>
            </w:pPr>
            <w:r w:rsidRPr="00E3537E">
              <w:rPr>
                <w:szCs w:val="24"/>
              </w:rPr>
              <w:t>39</w:t>
            </w:r>
          </w:p>
        </w:tc>
        <w:tc>
          <w:tcPr>
            <w:tcW w:w="2034" w:type="pct"/>
            <w:noWrap/>
            <w:hideMark/>
          </w:tcPr>
          <w:p w14:paraId="23F54FA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Uroczyska Puszczy Drawskiej</w:t>
            </w:r>
          </w:p>
        </w:tc>
        <w:tc>
          <w:tcPr>
            <w:tcW w:w="1017" w:type="pct"/>
            <w:noWrap/>
            <w:hideMark/>
          </w:tcPr>
          <w:p w14:paraId="14FE3BA6"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PLH320046</w:t>
            </w:r>
          </w:p>
        </w:tc>
        <w:tc>
          <w:tcPr>
            <w:tcW w:w="1561" w:type="pct"/>
            <w:noWrap/>
            <w:hideMark/>
          </w:tcPr>
          <w:p w14:paraId="784311B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34121,994</w:t>
            </w:r>
          </w:p>
        </w:tc>
      </w:tr>
      <w:tr w:rsidR="00B83214" w:rsidRPr="00E3537E" w14:paraId="624B03E2"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6F73B438" w14:textId="77777777" w:rsidR="00B83214" w:rsidRPr="00E3537E" w:rsidRDefault="00B83214" w:rsidP="00B83214">
            <w:pPr>
              <w:rPr>
                <w:szCs w:val="24"/>
              </w:rPr>
            </w:pPr>
            <w:r w:rsidRPr="00E3537E">
              <w:rPr>
                <w:szCs w:val="24"/>
              </w:rPr>
              <w:t>40</w:t>
            </w:r>
          </w:p>
        </w:tc>
        <w:tc>
          <w:tcPr>
            <w:tcW w:w="2034" w:type="pct"/>
            <w:noWrap/>
            <w:hideMark/>
          </w:tcPr>
          <w:p w14:paraId="44D5C1BA"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Ujście Odry i Zalew Szczeciński</w:t>
            </w:r>
          </w:p>
        </w:tc>
        <w:tc>
          <w:tcPr>
            <w:tcW w:w="1017" w:type="pct"/>
            <w:noWrap/>
            <w:hideMark/>
          </w:tcPr>
          <w:p w14:paraId="5775E04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PLH320018</w:t>
            </w:r>
          </w:p>
        </w:tc>
        <w:tc>
          <w:tcPr>
            <w:tcW w:w="1561" w:type="pct"/>
            <w:noWrap/>
            <w:hideMark/>
          </w:tcPr>
          <w:p w14:paraId="602ABABE"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52572,501</w:t>
            </w:r>
          </w:p>
        </w:tc>
      </w:tr>
      <w:tr w:rsidR="00B83214" w:rsidRPr="00E3537E" w14:paraId="0BA0BEC3"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72E0CE6A" w14:textId="77777777" w:rsidR="00B83214" w:rsidRPr="00E3537E" w:rsidRDefault="00B83214" w:rsidP="00B83214">
            <w:pPr>
              <w:rPr>
                <w:szCs w:val="24"/>
              </w:rPr>
            </w:pPr>
            <w:r w:rsidRPr="00E3537E">
              <w:rPr>
                <w:szCs w:val="24"/>
              </w:rPr>
              <w:t>41</w:t>
            </w:r>
          </w:p>
        </w:tc>
        <w:tc>
          <w:tcPr>
            <w:tcW w:w="2034" w:type="pct"/>
            <w:noWrap/>
            <w:hideMark/>
          </w:tcPr>
          <w:p w14:paraId="355BA621"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Dolina Grabowej</w:t>
            </w:r>
          </w:p>
        </w:tc>
        <w:tc>
          <w:tcPr>
            <w:tcW w:w="1017" w:type="pct"/>
            <w:noWrap/>
            <w:hideMark/>
          </w:tcPr>
          <w:p w14:paraId="18010FF1"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PLH320003</w:t>
            </w:r>
          </w:p>
        </w:tc>
        <w:tc>
          <w:tcPr>
            <w:tcW w:w="1561" w:type="pct"/>
            <w:noWrap/>
            <w:hideMark/>
          </w:tcPr>
          <w:p w14:paraId="7BCD3CC1"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8242,569</w:t>
            </w:r>
          </w:p>
        </w:tc>
      </w:tr>
      <w:tr w:rsidR="00B83214" w:rsidRPr="00E3537E" w14:paraId="598B6551"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30C3020D" w14:textId="77777777" w:rsidR="00B83214" w:rsidRPr="00E3537E" w:rsidRDefault="00B83214" w:rsidP="00B83214">
            <w:pPr>
              <w:rPr>
                <w:szCs w:val="24"/>
              </w:rPr>
            </w:pPr>
            <w:r w:rsidRPr="00E3537E">
              <w:rPr>
                <w:szCs w:val="24"/>
              </w:rPr>
              <w:t>42</w:t>
            </w:r>
          </w:p>
        </w:tc>
        <w:tc>
          <w:tcPr>
            <w:tcW w:w="2034" w:type="pct"/>
            <w:noWrap/>
            <w:hideMark/>
          </w:tcPr>
          <w:p w14:paraId="443283F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Wolin i Uznam</w:t>
            </w:r>
          </w:p>
        </w:tc>
        <w:tc>
          <w:tcPr>
            <w:tcW w:w="1017" w:type="pct"/>
            <w:noWrap/>
            <w:hideMark/>
          </w:tcPr>
          <w:p w14:paraId="60FC7882"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PLH320019</w:t>
            </w:r>
          </w:p>
        </w:tc>
        <w:tc>
          <w:tcPr>
            <w:tcW w:w="1561" w:type="pct"/>
            <w:noWrap/>
            <w:hideMark/>
          </w:tcPr>
          <w:p w14:paraId="50A809C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28193,451</w:t>
            </w:r>
          </w:p>
        </w:tc>
      </w:tr>
      <w:tr w:rsidR="00B83214" w:rsidRPr="00E3537E" w14:paraId="56B77A10"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53BAA858" w14:textId="77777777" w:rsidR="00B83214" w:rsidRPr="00E3537E" w:rsidRDefault="00B83214" w:rsidP="00B83214">
            <w:pPr>
              <w:rPr>
                <w:szCs w:val="24"/>
              </w:rPr>
            </w:pPr>
            <w:r w:rsidRPr="00E3537E">
              <w:rPr>
                <w:szCs w:val="24"/>
              </w:rPr>
              <w:t>43</w:t>
            </w:r>
          </w:p>
        </w:tc>
        <w:tc>
          <w:tcPr>
            <w:tcW w:w="2034" w:type="pct"/>
            <w:noWrap/>
            <w:hideMark/>
          </w:tcPr>
          <w:p w14:paraId="3AD9229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Torfowisko Poradz</w:t>
            </w:r>
          </w:p>
        </w:tc>
        <w:tc>
          <w:tcPr>
            <w:tcW w:w="1017" w:type="pct"/>
            <w:noWrap/>
            <w:hideMark/>
          </w:tcPr>
          <w:p w14:paraId="3710E6E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PLH320065</w:t>
            </w:r>
          </w:p>
        </w:tc>
        <w:tc>
          <w:tcPr>
            <w:tcW w:w="1561" w:type="pct"/>
            <w:noWrap/>
            <w:hideMark/>
          </w:tcPr>
          <w:p w14:paraId="1E7702E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567,627</w:t>
            </w:r>
          </w:p>
        </w:tc>
      </w:tr>
      <w:tr w:rsidR="00B83214" w:rsidRPr="00E3537E" w14:paraId="2AD5B253"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57D29459" w14:textId="77777777" w:rsidR="00B83214" w:rsidRPr="00E3537E" w:rsidRDefault="00B83214" w:rsidP="00B83214">
            <w:pPr>
              <w:rPr>
                <w:szCs w:val="24"/>
              </w:rPr>
            </w:pPr>
            <w:r w:rsidRPr="00E3537E">
              <w:rPr>
                <w:szCs w:val="24"/>
              </w:rPr>
              <w:t>44</w:t>
            </w:r>
          </w:p>
        </w:tc>
        <w:tc>
          <w:tcPr>
            <w:tcW w:w="2034" w:type="pct"/>
            <w:noWrap/>
            <w:hideMark/>
          </w:tcPr>
          <w:p w14:paraId="449200A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Ostoja na Zatoce Pomorskiej</w:t>
            </w:r>
          </w:p>
        </w:tc>
        <w:tc>
          <w:tcPr>
            <w:tcW w:w="1017" w:type="pct"/>
            <w:noWrap/>
            <w:hideMark/>
          </w:tcPr>
          <w:p w14:paraId="3031180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PLH990002</w:t>
            </w:r>
          </w:p>
        </w:tc>
        <w:tc>
          <w:tcPr>
            <w:tcW w:w="1561" w:type="pct"/>
            <w:noWrap/>
            <w:hideMark/>
          </w:tcPr>
          <w:p w14:paraId="6674D32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855,49</w:t>
            </w:r>
          </w:p>
        </w:tc>
      </w:tr>
      <w:tr w:rsidR="00B83214" w:rsidRPr="00E3537E" w14:paraId="4FC05C55"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6326D93D" w14:textId="77777777" w:rsidR="00B83214" w:rsidRPr="00E3537E" w:rsidRDefault="00B83214" w:rsidP="00B83214">
            <w:pPr>
              <w:rPr>
                <w:szCs w:val="24"/>
              </w:rPr>
            </w:pPr>
            <w:r w:rsidRPr="00E3537E">
              <w:rPr>
                <w:szCs w:val="24"/>
              </w:rPr>
              <w:t>45</w:t>
            </w:r>
          </w:p>
        </w:tc>
        <w:tc>
          <w:tcPr>
            <w:tcW w:w="2034" w:type="pct"/>
            <w:noWrap/>
            <w:hideMark/>
          </w:tcPr>
          <w:p w14:paraId="6468F71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Jezioro Wicko i Modelskie Wydmy</w:t>
            </w:r>
          </w:p>
        </w:tc>
        <w:tc>
          <w:tcPr>
            <w:tcW w:w="1017" w:type="pct"/>
            <w:noWrap/>
            <w:hideMark/>
          </w:tcPr>
          <w:p w14:paraId="29DCFA5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PLH320068</w:t>
            </w:r>
          </w:p>
        </w:tc>
        <w:tc>
          <w:tcPr>
            <w:tcW w:w="1561" w:type="pct"/>
            <w:noWrap/>
            <w:hideMark/>
          </w:tcPr>
          <w:p w14:paraId="1D7C972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2060,765</w:t>
            </w:r>
          </w:p>
        </w:tc>
      </w:tr>
      <w:tr w:rsidR="00B83214" w:rsidRPr="00E3537E" w14:paraId="3FE821FB"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1A3118E" w14:textId="77777777" w:rsidR="00B83214" w:rsidRPr="00E3537E" w:rsidRDefault="00B83214" w:rsidP="00B83214">
            <w:pPr>
              <w:rPr>
                <w:szCs w:val="24"/>
              </w:rPr>
            </w:pPr>
            <w:r w:rsidRPr="00E3537E">
              <w:rPr>
                <w:szCs w:val="24"/>
              </w:rPr>
              <w:t>46</w:t>
            </w:r>
          </w:p>
        </w:tc>
        <w:tc>
          <w:tcPr>
            <w:tcW w:w="2034" w:type="pct"/>
            <w:noWrap/>
            <w:hideMark/>
          </w:tcPr>
          <w:p w14:paraId="07E544EA"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Dorzecze Regi</w:t>
            </w:r>
          </w:p>
        </w:tc>
        <w:tc>
          <w:tcPr>
            <w:tcW w:w="1017" w:type="pct"/>
            <w:noWrap/>
            <w:hideMark/>
          </w:tcPr>
          <w:p w14:paraId="01916DB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PLH320049</w:t>
            </w:r>
          </w:p>
        </w:tc>
        <w:tc>
          <w:tcPr>
            <w:tcW w:w="1561" w:type="pct"/>
            <w:noWrap/>
            <w:hideMark/>
          </w:tcPr>
          <w:p w14:paraId="432A115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14829,542</w:t>
            </w:r>
          </w:p>
        </w:tc>
      </w:tr>
      <w:tr w:rsidR="00B83214" w:rsidRPr="00E3537E" w14:paraId="365CC61C"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476C644A" w14:textId="77777777" w:rsidR="00B83214" w:rsidRPr="00E3537E" w:rsidRDefault="00B83214" w:rsidP="00B83214">
            <w:pPr>
              <w:rPr>
                <w:szCs w:val="24"/>
              </w:rPr>
            </w:pPr>
            <w:r w:rsidRPr="00E3537E">
              <w:rPr>
                <w:szCs w:val="24"/>
              </w:rPr>
              <w:t>47</w:t>
            </w:r>
          </w:p>
        </w:tc>
        <w:tc>
          <w:tcPr>
            <w:tcW w:w="2034" w:type="pct"/>
            <w:noWrap/>
            <w:hideMark/>
          </w:tcPr>
          <w:p w14:paraId="2450370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Jezioro Kozie</w:t>
            </w:r>
          </w:p>
        </w:tc>
        <w:tc>
          <w:tcPr>
            <w:tcW w:w="1017" w:type="pct"/>
            <w:noWrap/>
            <w:hideMark/>
          </w:tcPr>
          <w:p w14:paraId="345B368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PLH320010</w:t>
            </w:r>
          </w:p>
        </w:tc>
        <w:tc>
          <w:tcPr>
            <w:tcW w:w="1561" w:type="pct"/>
            <w:noWrap/>
            <w:hideMark/>
          </w:tcPr>
          <w:p w14:paraId="2A48652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139,767</w:t>
            </w:r>
          </w:p>
        </w:tc>
      </w:tr>
      <w:tr w:rsidR="00B83214" w:rsidRPr="00E3537E" w14:paraId="5F6ACFC5"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028E436" w14:textId="77777777" w:rsidR="00B83214" w:rsidRPr="00E3537E" w:rsidRDefault="00B83214" w:rsidP="00B83214">
            <w:pPr>
              <w:rPr>
                <w:szCs w:val="24"/>
              </w:rPr>
            </w:pPr>
            <w:r w:rsidRPr="00E3537E">
              <w:rPr>
                <w:szCs w:val="24"/>
              </w:rPr>
              <w:t>48</w:t>
            </w:r>
          </w:p>
        </w:tc>
        <w:tc>
          <w:tcPr>
            <w:tcW w:w="2034" w:type="pct"/>
            <w:noWrap/>
            <w:hideMark/>
          </w:tcPr>
          <w:p w14:paraId="5BC79C6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Jezioro Lubie i Dolina Drawy</w:t>
            </w:r>
          </w:p>
        </w:tc>
        <w:tc>
          <w:tcPr>
            <w:tcW w:w="1017" w:type="pct"/>
            <w:noWrap/>
            <w:hideMark/>
          </w:tcPr>
          <w:p w14:paraId="13C7B20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PLH320023</w:t>
            </w:r>
          </w:p>
        </w:tc>
        <w:tc>
          <w:tcPr>
            <w:tcW w:w="1561" w:type="pct"/>
            <w:noWrap/>
            <w:hideMark/>
          </w:tcPr>
          <w:p w14:paraId="6F064AA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15051,308</w:t>
            </w:r>
          </w:p>
        </w:tc>
      </w:tr>
      <w:tr w:rsidR="00B83214" w:rsidRPr="00E3537E" w14:paraId="5F1CA1AA"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1FB19003" w14:textId="77777777" w:rsidR="00B83214" w:rsidRPr="00E3537E" w:rsidRDefault="00B83214" w:rsidP="00B83214">
            <w:pPr>
              <w:rPr>
                <w:szCs w:val="24"/>
              </w:rPr>
            </w:pPr>
            <w:r w:rsidRPr="00E3537E">
              <w:rPr>
                <w:szCs w:val="24"/>
              </w:rPr>
              <w:t>49</w:t>
            </w:r>
          </w:p>
        </w:tc>
        <w:tc>
          <w:tcPr>
            <w:tcW w:w="2034" w:type="pct"/>
            <w:noWrap/>
            <w:hideMark/>
          </w:tcPr>
          <w:p w14:paraId="79EE759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Mieszkowicka Dąbrowa</w:t>
            </w:r>
          </w:p>
        </w:tc>
        <w:tc>
          <w:tcPr>
            <w:tcW w:w="1017" w:type="pct"/>
            <w:noWrap/>
            <w:hideMark/>
          </w:tcPr>
          <w:p w14:paraId="4C220C0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PLH320051</w:t>
            </w:r>
          </w:p>
        </w:tc>
        <w:tc>
          <w:tcPr>
            <w:tcW w:w="1561" w:type="pct"/>
            <w:noWrap/>
            <w:hideMark/>
          </w:tcPr>
          <w:p w14:paraId="5134513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26,365</w:t>
            </w:r>
          </w:p>
        </w:tc>
      </w:tr>
      <w:tr w:rsidR="00B83214" w:rsidRPr="00E3537E" w14:paraId="56D3C266"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6872EC2B" w14:textId="77777777" w:rsidR="00B83214" w:rsidRPr="00E3537E" w:rsidRDefault="00B83214" w:rsidP="00B83214">
            <w:pPr>
              <w:rPr>
                <w:szCs w:val="24"/>
              </w:rPr>
            </w:pPr>
            <w:r w:rsidRPr="00E3537E">
              <w:rPr>
                <w:szCs w:val="24"/>
              </w:rPr>
              <w:t>50</w:t>
            </w:r>
          </w:p>
        </w:tc>
        <w:tc>
          <w:tcPr>
            <w:tcW w:w="2034" w:type="pct"/>
            <w:noWrap/>
            <w:hideMark/>
          </w:tcPr>
          <w:p w14:paraId="1BDB1FAA"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Jezioro Stolsko</w:t>
            </w:r>
          </w:p>
        </w:tc>
        <w:tc>
          <w:tcPr>
            <w:tcW w:w="1017" w:type="pct"/>
            <w:noWrap/>
            <w:hideMark/>
          </w:tcPr>
          <w:p w14:paraId="405A81C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PLH320063</w:t>
            </w:r>
          </w:p>
        </w:tc>
        <w:tc>
          <w:tcPr>
            <w:tcW w:w="1561" w:type="pct"/>
            <w:noWrap/>
            <w:hideMark/>
          </w:tcPr>
          <w:p w14:paraId="6B31213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139,549</w:t>
            </w:r>
          </w:p>
        </w:tc>
      </w:tr>
      <w:tr w:rsidR="00B83214" w:rsidRPr="00E3537E" w14:paraId="66F2CDB3"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14D59C4C" w14:textId="77777777" w:rsidR="00B83214" w:rsidRPr="00E3537E" w:rsidRDefault="00B83214" w:rsidP="00B83214">
            <w:pPr>
              <w:rPr>
                <w:szCs w:val="24"/>
              </w:rPr>
            </w:pPr>
            <w:r w:rsidRPr="00E3537E">
              <w:rPr>
                <w:szCs w:val="24"/>
              </w:rPr>
              <w:t>51</w:t>
            </w:r>
          </w:p>
        </w:tc>
        <w:tc>
          <w:tcPr>
            <w:tcW w:w="2034" w:type="pct"/>
            <w:noWrap/>
            <w:hideMark/>
          </w:tcPr>
          <w:p w14:paraId="61D9CFE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Warnie Bagno</w:t>
            </w:r>
          </w:p>
        </w:tc>
        <w:tc>
          <w:tcPr>
            <w:tcW w:w="1017" w:type="pct"/>
            <w:noWrap/>
            <w:hideMark/>
          </w:tcPr>
          <w:p w14:paraId="7C097E8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PLH320047</w:t>
            </w:r>
          </w:p>
        </w:tc>
        <w:tc>
          <w:tcPr>
            <w:tcW w:w="1561" w:type="pct"/>
            <w:noWrap/>
            <w:hideMark/>
          </w:tcPr>
          <w:p w14:paraId="1348B27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1012,421</w:t>
            </w:r>
          </w:p>
        </w:tc>
      </w:tr>
      <w:tr w:rsidR="00B83214" w:rsidRPr="00E3537E" w14:paraId="774C84B0"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0BCA49C3" w14:textId="77777777" w:rsidR="00B83214" w:rsidRPr="00E3537E" w:rsidRDefault="00B83214" w:rsidP="00B83214">
            <w:pPr>
              <w:rPr>
                <w:szCs w:val="24"/>
              </w:rPr>
            </w:pPr>
            <w:r w:rsidRPr="00E3537E">
              <w:rPr>
                <w:szCs w:val="24"/>
              </w:rPr>
              <w:t>52</w:t>
            </w:r>
          </w:p>
        </w:tc>
        <w:tc>
          <w:tcPr>
            <w:tcW w:w="2034" w:type="pct"/>
            <w:noWrap/>
            <w:hideMark/>
          </w:tcPr>
          <w:p w14:paraId="6A7C695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Ostoja Wełtyńska</w:t>
            </w:r>
          </w:p>
        </w:tc>
        <w:tc>
          <w:tcPr>
            <w:tcW w:w="1017" w:type="pct"/>
            <w:noWrap/>
            <w:hideMark/>
          </w:tcPr>
          <w:p w14:paraId="41E34FCE"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PLH320069</w:t>
            </w:r>
          </w:p>
        </w:tc>
        <w:tc>
          <w:tcPr>
            <w:tcW w:w="1561" w:type="pct"/>
            <w:noWrap/>
            <w:hideMark/>
          </w:tcPr>
          <w:p w14:paraId="48797A1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1469,854</w:t>
            </w:r>
          </w:p>
        </w:tc>
      </w:tr>
      <w:tr w:rsidR="00B83214" w:rsidRPr="00E3537E" w14:paraId="06E88A01"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4D8B3BB6" w14:textId="77777777" w:rsidR="00B83214" w:rsidRPr="00E3537E" w:rsidRDefault="00B83214" w:rsidP="00B83214">
            <w:pPr>
              <w:rPr>
                <w:szCs w:val="24"/>
              </w:rPr>
            </w:pPr>
            <w:r w:rsidRPr="00E3537E">
              <w:rPr>
                <w:szCs w:val="24"/>
              </w:rPr>
              <w:t>53</w:t>
            </w:r>
          </w:p>
        </w:tc>
        <w:tc>
          <w:tcPr>
            <w:tcW w:w="2034" w:type="pct"/>
            <w:noWrap/>
            <w:hideMark/>
          </w:tcPr>
          <w:p w14:paraId="717EA4F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Torfowisko Reptowo</w:t>
            </w:r>
          </w:p>
        </w:tc>
        <w:tc>
          <w:tcPr>
            <w:tcW w:w="1017" w:type="pct"/>
            <w:noWrap/>
            <w:hideMark/>
          </w:tcPr>
          <w:p w14:paraId="228C38A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PLH320056</w:t>
            </w:r>
          </w:p>
        </w:tc>
        <w:tc>
          <w:tcPr>
            <w:tcW w:w="1561" w:type="pct"/>
            <w:noWrap/>
            <w:hideMark/>
          </w:tcPr>
          <w:p w14:paraId="7866481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605,259</w:t>
            </w:r>
          </w:p>
        </w:tc>
      </w:tr>
      <w:tr w:rsidR="00B83214" w:rsidRPr="00E3537E" w14:paraId="701E4D11"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202EE34" w14:textId="77777777" w:rsidR="00B83214" w:rsidRPr="00E3537E" w:rsidRDefault="00B83214" w:rsidP="00B83214">
            <w:pPr>
              <w:rPr>
                <w:szCs w:val="24"/>
              </w:rPr>
            </w:pPr>
            <w:r w:rsidRPr="00E3537E">
              <w:rPr>
                <w:szCs w:val="24"/>
              </w:rPr>
              <w:t>54</w:t>
            </w:r>
          </w:p>
        </w:tc>
        <w:tc>
          <w:tcPr>
            <w:tcW w:w="2034" w:type="pct"/>
            <w:noWrap/>
            <w:hideMark/>
          </w:tcPr>
          <w:p w14:paraId="6579105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Karsibórz Świdwiński</w:t>
            </w:r>
          </w:p>
        </w:tc>
        <w:tc>
          <w:tcPr>
            <w:tcW w:w="1017" w:type="pct"/>
            <w:noWrap/>
            <w:hideMark/>
          </w:tcPr>
          <w:p w14:paraId="7073BB9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PLH320043</w:t>
            </w:r>
          </w:p>
        </w:tc>
        <w:tc>
          <w:tcPr>
            <w:tcW w:w="1561" w:type="pct"/>
            <w:noWrap/>
            <w:hideMark/>
          </w:tcPr>
          <w:p w14:paraId="22F019E6"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588,203</w:t>
            </w:r>
          </w:p>
        </w:tc>
      </w:tr>
      <w:tr w:rsidR="00B83214" w:rsidRPr="00E3537E" w14:paraId="23549622"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557F6E13" w14:textId="77777777" w:rsidR="00B83214" w:rsidRPr="00E3537E" w:rsidRDefault="00B83214" w:rsidP="00B83214">
            <w:pPr>
              <w:rPr>
                <w:szCs w:val="24"/>
              </w:rPr>
            </w:pPr>
            <w:r w:rsidRPr="00E3537E">
              <w:rPr>
                <w:szCs w:val="24"/>
              </w:rPr>
              <w:t>55</w:t>
            </w:r>
          </w:p>
        </w:tc>
        <w:tc>
          <w:tcPr>
            <w:tcW w:w="2034" w:type="pct"/>
            <w:noWrap/>
            <w:hideMark/>
          </w:tcPr>
          <w:p w14:paraId="14AEB422"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Bagno i Jezioro Ciemino</w:t>
            </w:r>
          </w:p>
        </w:tc>
        <w:tc>
          <w:tcPr>
            <w:tcW w:w="1017" w:type="pct"/>
            <w:noWrap/>
            <w:hideMark/>
          </w:tcPr>
          <w:p w14:paraId="0D413F0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PLH320036</w:t>
            </w:r>
          </w:p>
        </w:tc>
        <w:tc>
          <w:tcPr>
            <w:tcW w:w="1561" w:type="pct"/>
            <w:noWrap/>
            <w:hideMark/>
          </w:tcPr>
          <w:p w14:paraId="1B1C2F7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787,953</w:t>
            </w:r>
          </w:p>
        </w:tc>
      </w:tr>
      <w:tr w:rsidR="00B83214" w:rsidRPr="00E3537E" w14:paraId="7179A52F"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7F1063E6" w14:textId="77777777" w:rsidR="00B83214" w:rsidRPr="00E3537E" w:rsidRDefault="00B83214" w:rsidP="00B83214">
            <w:pPr>
              <w:rPr>
                <w:szCs w:val="24"/>
              </w:rPr>
            </w:pPr>
            <w:r w:rsidRPr="00E3537E">
              <w:rPr>
                <w:szCs w:val="24"/>
              </w:rPr>
              <w:t>56</w:t>
            </w:r>
          </w:p>
        </w:tc>
        <w:tc>
          <w:tcPr>
            <w:tcW w:w="2034" w:type="pct"/>
            <w:noWrap/>
            <w:hideMark/>
          </w:tcPr>
          <w:p w14:paraId="32D56EA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Poligon w Okonku</w:t>
            </w:r>
          </w:p>
        </w:tc>
        <w:tc>
          <w:tcPr>
            <w:tcW w:w="1017" w:type="pct"/>
            <w:noWrap/>
            <w:hideMark/>
          </w:tcPr>
          <w:p w14:paraId="4103FA4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PLH300021</w:t>
            </w:r>
          </w:p>
        </w:tc>
        <w:tc>
          <w:tcPr>
            <w:tcW w:w="1561" w:type="pct"/>
            <w:noWrap/>
            <w:hideMark/>
          </w:tcPr>
          <w:p w14:paraId="50A5534E"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0,498</w:t>
            </w:r>
          </w:p>
        </w:tc>
      </w:tr>
      <w:tr w:rsidR="00B83214" w:rsidRPr="00E3537E" w14:paraId="62CE36A2"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62C2F1B6" w14:textId="77777777" w:rsidR="00B83214" w:rsidRPr="00E3537E" w:rsidRDefault="00B83214" w:rsidP="00B83214">
            <w:pPr>
              <w:rPr>
                <w:szCs w:val="24"/>
              </w:rPr>
            </w:pPr>
            <w:r w:rsidRPr="00E3537E">
              <w:rPr>
                <w:szCs w:val="24"/>
              </w:rPr>
              <w:t>57</w:t>
            </w:r>
          </w:p>
        </w:tc>
        <w:tc>
          <w:tcPr>
            <w:tcW w:w="2034" w:type="pct"/>
            <w:noWrap/>
            <w:hideMark/>
          </w:tcPr>
          <w:p w14:paraId="6BBFB3B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Janiewickie Bagno</w:t>
            </w:r>
          </w:p>
        </w:tc>
        <w:tc>
          <w:tcPr>
            <w:tcW w:w="1017" w:type="pct"/>
            <w:noWrap/>
            <w:hideMark/>
          </w:tcPr>
          <w:p w14:paraId="345DB90A"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PLH320008</w:t>
            </w:r>
          </w:p>
        </w:tc>
        <w:tc>
          <w:tcPr>
            <w:tcW w:w="1561" w:type="pct"/>
            <w:noWrap/>
            <w:hideMark/>
          </w:tcPr>
          <w:p w14:paraId="0A907466"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162,338</w:t>
            </w:r>
          </w:p>
        </w:tc>
      </w:tr>
      <w:tr w:rsidR="00B83214" w:rsidRPr="00E3537E" w14:paraId="485B0C50"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1C12CCEE" w14:textId="77777777" w:rsidR="00B83214" w:rsidRPr="00E3537E" w:rsidRDefault="00B83214" w:rsidP="00B83214">
            <w:pPr>
              <w:rPr>
                <w:szCs w:val="24"/>
              </w:rPr>
            </w:pPr>
            <w:r w:rsidRPr="00E3537E">
              <w:rPr>
                <w:szCs w:val="24"/>
              </w:rPr>
              <w:t>58</w:t>
            </w:r>
          </w:p>
        </w:tc>
        <w:tc>
          <w:tcPr>
            <w:tcW w:w="2034" w:type="pct"/>
            <w:noWrap/>
            <w:hideMark/>
          </w:tcPr>
          <w:p w14:paraId="184C856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Uroczyska w Lasach Stepnickich</w:t>
            </w:r>
          </w:p>
        </w:tc>
        <w:tc>
          <w:tcPr>
            <w:tcW w:w="1017" w:type="pct"/>
            <w:noWrap/>
            <w:hideMark/>
          </w:tcPr>
          <w:p w14:paraId="4AA68A12"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PLH320033</w:t>
            </w:r>
          </w:p>
        </w:tc>
        <w:tc>
          <w:tcPr>
            <w:tcW w:w="1561" w:type="pct"/>
            <w:noWrap/>
            <w:hideMark/>
          </w:tcPr>
          <w:p w14:paraId="720BC39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2747,978</w:t>
            </w:r>
          </w:p>
        </w:tc>
      </w:tr>
      <w:tr w:rsidR="00B83214" w:rsidRPr="00E3537E" w14:paraId="479C22CC"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67F4232A" w14:textId="77777777" w:rsidR="00B83214" w:rsidRPr="00E3537E" w:rsidRDefault="00B83214" w:rsidP="00B83214">
            <w:pPr>
              <w:rPr>
                <w:szCs w:val="24"/>
              </w:rPr>
            </w:pPr>
            <w:r w:rsidRPr="00E3537E">
              <w:rPr>
                <w:szCs w:val="24"/>
              </w:rPr>
              <w:t>59</w:t>
            </w:r>
          </w:p>
        </w:tc>
        <w:tc>
          <w:tcPr>
            <w:tcW w:w="2034" w:type="pct"/>
            <w:noWrap/>
            <w:hideMark/>
          </w:tcPr>
          <w:p w14:paraId="1BF5F4C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Jezioro Dobropolskie</w:t>
            </w:r>
          </w:p>
        </w:tc>
        <w:tc>
          <w:tcPr>
            <w:tcW w:w="1017" w:type="pct"/>
            <w:noWrap/>
            <w:hideMark/>
          </w:tcPr>
          <w:p w14:paraId="45BB323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PLH320070</w:t>
            </w:r>
          </w:p>
        </w:tc>
        <w:tc>
          <w:tcPr>
            <w:tcW w:w="1561" w:type="pct"/>
            <w:noWrap/>
            <w:hideMark/>
          </w:tcPr>
          <w:p w14:paraId="3981E78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397,63</w:t>
            </w:r>
          </w:p>
        </w:tc>
      </w:tr>
      <w:tr w:rsidR="00B83214" w:rsidRPr="00E3537E" w14:paraId="50739BA2"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4BEFD682" w14:textId="77777777" w:rsidR="00B83214" w:rsidRPr="00E3537E" w:rsidRDefault="00B83214" w:rsidP="00B83214">
            <w:pPr>
              <w:rPr>
                <w:szCs w:val="24"/>
              </w:rPr>
            </w:pPr>
            <w:r w:rsidRPr="00E3537E">
              <w:rPr>
                <w:szCs w:val="24"/>
              </w:rPr>
              <w:t>60</w:t>
            </w:r>
          </w:p>
        </w:tc>
        <w:tc>
          <w:tcPr>
            <w:tcW w:w="2034" w:type="pct"/>
            <w:noWrap/>
            <w:hideMark/>
          </w:tcPr>
          <w:p w14:paraId="4B05105E"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Wzgórza Moryńskie</w:t>
            </w:r>
          </w:p>
        </w:tc>
        <w:tc>
          <w:tcPr>
            <w:tcW w:w="1017" w:type="pct"/>
            <w:noWrap/>
            <w:hideMark/>
          </w:tcPr>
          <w:p w14:paraId="1C51C981"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PLH320055</w:t>
            </w:r>
          </w:p>
        </w:tc>
        <w:tc>
          <w:tcPr>
            <w:tcW w:w="1561" w:type="pct"/>
            <w:noWrap/>
            <w:hideMark/>
          </w:tcPr>
          <w:p w14:paraId="08AC2E2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587,425</w:t>
            </w:r>
          </w:p>
        </w:tc>
      </w:tr>
      <w:tr w:rsidR="00B83214" w:rsidRPr="00E3537E" w14:paraId="272AC965"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7E266D4A" w14:textId="77777777" w:rsidR="00B83214" w:rsidRPr="00E3537E" w:rsidRDefault="00B83214" w:rsidP="00B83214">
            <w:pPr>
              <w:rPr>
                <w:szCs w:val="24"/>
              </w:rPr>
            </w:pPr>
            <w:r w:rsidRPr="00E3537E">
              <w:rPr>
                <w:szCs w:val="24"/>
              </w:rPr>
              <w:t>61</w:t>
            </w:r>
          </w:p>
        </w:tc>
        <w:tc>
          <w:tcPr>
            <w:tcW w:w="2034" w:type="pct"/>
            <w:noWrap/>
            <w:hideMark/>
          </w:tcPr>
          <w:p w14:paraId="233BAF1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Bukowy Las Górki</w:t>
            </w:r>
          </w:p>
        </w:tc>
        <w:tc>
          <w:tcPr>
            <w:tcW w:w="1017" w:type="pct"/>
            <w:noWrap/>
            <w:hideMark/>
          </w:tcPr>
          <w:p w14:paraId="43B9AF5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PLH320062</w:t>
            </w:r>
          </w:p>
        </w:tc>
        <w:tc>
          <w:tcPr>
            <w:tcW w:w="1561" w:type="pct"/>
            <w:noWrap/>
            <w:hideMark/>
          </w:tcPr>
          <w:p w14:paraId="4588AB92"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965,117</w:t>
            </w:r>
          </w:p>
        </w:tc>
      </w:tr>
      <w:tr w:rsidR="00B83214" w:rsidRPr="00E3537E" w14:paraId="181566E4"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F7CFADD" w14:textId="77777777" w:rsidR="00B83214" w:rsidRPr="00E3537E" w:rsidRDefault="00B83214" w:rsidP="00B83214">
            <w:pPr>
              <w:rPr>
                <w:szCs w:val="24"/>
              </w:rPr>
            </w:pPr>
            <w:r w:rsidRPr="00E3537E">
              <w:rPr>
                <w:szCs w:val="24"/>
              </w:rPr>
              <w:t>62</w:t>
            </w:r>
          </w:p>
        </w:tc>
        <w:tc>
          <w:tcPr>
            <w:tcW w:w="2034" w:type="pct"/>
            <w:noWrap/>
            <w:hideMark/>
          </w:tcPr>
          <w:p w14:paraId="68B0BB96"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Police - kanały</w:t>
            </w:r>
          </w:p>
        </w:tc>
        <w:tc>
          <w:tcPr>
            <w:tcW w:w="1017" w:type="pct"/>
            <w:noWrap/>
            <w:hideMark/>
          </w:tcPr>
          <w:p w14:paraId="5F195862"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PLH320015</w:t>
            </w:r>
          </w:p>
        </w:tc>
        <w:tc>
          <w:tcPr>
            <w:tcW w:w="1561" w:type="pct"/>
            <w:noWrap/>
            <w:hideMark/>
          </w:tcPr>
          <w:p w14:paraId="6A60A13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100,172</w:t>
            </w:r>
          </w:p>
        </w:tc>
      </w:tr>
      <w:tr w:rsidR="00B83214" w:rsidRPr="00E3537E" w14:paraId="1E7EBDC6"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0818FD3E" w14:textId="77777777" w:rsidR="00B83214" w:rsidRPr="00E3537E" w:rsidRDefault="00B83214" w:rsidP="00B83214">
            <w:pPr>
              <w:rPr>
                <w:szCs w:val="24"/>
              </w:rPr>
            </w:pPr>
            <w:r w:rsidRPr="00E3537E">
              <w:rPr>
                <w:szCs w:val="24"/>
              </w:rPr>
              <w:t>63</w:t>
            </w:r>
          </w:p>
        </w:tc>
        <w:tc>
          <w:tcPr>
            <w:tcW w:w="2034" w:type="pct"/>
            <w:noWrap/>
            <w:hideMark/>
          </w:tcPr>
          <w:p w14:paraId="41B7E0C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Diabelskie Pustacie</w:t>
            </w:r>
          </w:p>
        </w:tc>
        <w:tc>
          <w:tcPr>
            <w:tcW w:w="1017" w:type="pct"/>
            <w:noWrap/>
            <w:hideMark/>
          </w:tcPr>
          <w:p w14:paraId="4637276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PLH320048</w:t>
            </w:r>
          </w:p>
        </w:tc>
        <w:tc>
          <w:tcPr>
            <w:tcW w:w="1561" w:type="pct"/>
            <w:noWrap/>
            <w:hideMark/>
          </w:tcPr>
          <w:p w14:paraId="4CEF96F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3234,598</w:t>
            </w:r>
          </w:p>
        </w:tc>
      </w:tr>
      <w:tr w:rsidR="00B83214" w:rsidRPr="00E3537E" w14:paraId="44C2F418"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7F431211" w14:textId="77777777" w:rsidR="00B83214" w:rsidRPr="00E3537E" w:rsidRDefault="00B83214" w:rsidP="00B83214">
            <w:pPr>
              <w:rPr>
                <w:szCs w:val="24"/>
              </w:rPr>
            </w:pPr>
            <w:r w:rsidRPr="00E3537E">
              <w:rPr>
                <w:szCs w:val="24"/>
              </w:rPr>
              <w:t>64</w:t>
            </w:r>
          </w:p>
        </w:tc>
        <w:tc>
          <w:tcPr>
            <w:tcW w:w="2034" w:type="pct"/>
            <w:noWrap/>
            <w:hideMark/>
          </w:tcPr>
          <w:p w14:paraId="4B191EC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Dolina Bielawy</w:t>
            </w:r>
          </w:p>
        </w:tc>
        <w:tc>
          <w:tcPr>
            <w:tcW w:w="1017" w:type="pct"/>
            <w:noWrap/>
            <w:hideMark/>
          </w:tcPr>
          <w:p w14:paraId="1DBE4A81"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PLH320053</w:t>
            </w:r>
          </w:p>
        </w:tc>
        <w:tc>
          <w:tcPr>
            <w:tcW w:w="1561" w:type="pct"/>
            <w:noWrap/>
            <w:hideMark/>
          </w:tcPr>
          <w:p w14:paraId="283CEFA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456,627</w:t>
            </w:r>
          </w:p>
        </w:tc>
      </w:tr>
      <w:tr w:rsidR="00B83214" w:rsidRPr="00E3537E" w14:paraId="4E20E5C8"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061B246C" w14:textId="77777777" w:rsidR="00B83214" w:rsidRPr="00E3537E" w:rsidRDefault="00B83214" w:rsidP="00B83214">
            <w:pPr>
              <w:rPr>
                <w:szCs w:val="24"/>
              </w:rPr>
            </w:pPr>
            <w:r w:rsidRPr="00E3537E">
              <w:rPr>
                <w:szCs w:val="24"/>
              </w:rPr>
              <w:t>65</w:t>
            </w:r>
          </w:p>
        </w:tc>
        <w:tc>
          <w:tcPr>
            <w:tcW w:w="2034" w:type="pct"/>
            <w:noWrap/>
            <w:hideMark/>
          </w:tcPr>
          <w:p w14:paraId="5A5105B2"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Ostoja Barlinecka</w:t>
            </w:r>
          </w:p>
        </w:tc>
        <w:tc>
          <w:tcPr>
            <w:tcW w:w="1017" w:type="pct"/>
            <w:noWrap/>
            <w:hideMark/>
          </w:tcPr>
          <w:p w14:paraId="71545BE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PLH080071</w:t>
            </w:r>
          </w:p>
        </w:tc>
        <w:tc>
          <w:tcPr>
            <w:tcW w:w="1561" w:type="pct"/>
            <w:noWrap/>
            <w:hideMark/>
          </w:tcPr>
          <w:p w14:paraId="4C5759E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10155,73</w:t>
            </w:r>
          </w:p>
        </w:tc>
      </w:tr>
      <w:tr w:rsidR="00B83214" w:rsidRPr="00E3537E" w14:paraId="2B5F475C"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5F1C14F4" w14:textId="77777777" w:rsidR="00B83214" w:rsidRPr="00E3537E" w:rsidRDefault="00B83214" w:rsidP="00B83214">
            <w:pPr>
              <w:rPr>
                <w:szCs w:val="24"/>
              </w:rPr>
            </w:pPr>
            <w:r w:rsidRPr="00E3537E">
              <w:rPr>
                <w:szCs w:val="24"/>
              </w:rPr>
              <w:t>66</w:t>
            </w:r>
          </w:p>
        </w:tc>
        <w:tc>
          <w:tcPr>
            <w:tcW w:w="2034" w:type="pct"/>
            <w:noWrap/>
            <w:hideMark/>
          </w:tcPr>
          <w:p w14:paraId="535CB2A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Trzebiatowsko-Kołobrzeski Pas Nadmorski</w:t>
            </w:r>
          </w:p>
        </w:tc>
        <w:tc>
          <w:tcPr>
            <w:tcW w:w="1017" w:type="pct"/>
            <w:noWrap/>
            <w:hideMark/>
          </w:tcPr>
          <w:p w14:paraId="263F6F1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PLH320017</w:t>
            </w:r>
          </w:p>
        </w:tc>
        <w:tc>
          <w:tcPr>
            <w:tcW w:w="1561" w:type="pct"/>
            <w:noWrap/>
            <w:hideMark/>
          </w:tcPr>
          <w:p w14:paraId="6A96845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17468,163</w:t>
            </w:r>
          </w:p>
        </w:tc>
      </w:tr>
      <w:tr w:rsidR="00B83214" w:rsidRPr="00E3537E" w14:paraId="725958AB"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01415AC9" w14:textId="77777777" w:rsidR="00B83214" w:rsidRPr="00E3537E" w:rsidRDefault="00B83214" w:rsidP="00B83214">
            <w:pPr>
              <w:rPr>
                <w:szCs w:val="24"/>
              </w:rPr>
            </w:pPr>
            <w:r w:rsidRPr="00E3537E">
              <w:rPr>
                <w:szCs w:val="24"/>
              </w:rPr>
              <w:t>67</w:t>
            </w:r>
          </w:p>
        </w:tc>
        <w:tc>
          <w:tcPr>
            <w:tcW w:w="2034" w:type="pct"/>
            <w:noWrap/>
            <w:hideMark/>
          </w:tcPr>
          <w:p w14:paraId="434473A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Dziczy Las</w:t>
            </w:r>
          </w:p>
        </w:tc>
        <w:tc>
          <w:tcPr>
            <w:tcW w:w="1017" w:type="pct"/>
            <w:noWrap/>
            <w:hideMark/>
          </w:tcPr>
          <w:p w14:paraId="34150AE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PLH320060</w:t>
            </w:r>
          </w:p>
        </w:tc>
        <w:tc>
          <w:tcPr>
            <w:tcW w:w="1561" w:type="pct"/>
            <w:noWrap/>
            <w:hideMark/>
          </w:tcPr>
          <w:p w14:paraId="265051A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1764,638</w:t>
            </w:r>
          </w:p>
        </w:tc>
      </w:tr>
      <w:tr w:rsidR="00B83214" w:rsidRPr="00E3537E" w14:paraId="26216F9F"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68AB92A0" w14:textId="77777777" w:rsidR="00B83214" w:rsidRPr="00E3537E" w:rsidRDefault="00B83214" w:rsidP="00B83214">
            <w:pPr>
              <w:rPr>
                <w:szCs w:val="24"/>
              </w:rPr>
            </w:pPr>
            <w:r w:rsidRPr="00E3537E">
              <w:rPr>
                <w:szCs w:val="24"/>
              </w:rPr>
              <w:t>68</w:t>
            </w:r>
          </w:p>
        </w:tc>
        <w:tc>
          <w:tcPr>
            <w:tcW w:w="2034" w:type="pct"/>
            <w:noWrap/>
            <w:hideMark/>
          </w:tcPr>
          <w:p w14:paraId="192503B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Bystrzyno</w:t>
            </w:r>
          </w:p>
        </w:tc>
        <w:tc>
          <w:tcPr>
            <w:tcW w:w="1017" w:type="pct"/>
            <w:noWrap/>
            <w:hideMark/>
          </w:tcPr>
          <w:p w14:paraId="3C0CDD39"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PLH320061</w:t>
            </w:r>
          </w:p>
        </w:tc>
        <w:tc>
          <w:tcPr>
            <w:tcW w:w="1561" w:type="pct"/>
            <w:noWrap/>
            <w:hideMark/>
          </w:tcPr>
          <w:p w14:paraId="548FA7B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893,966</w:t>
            </w:r>
          </w:p>
        </w:tc>
      </w:tr>
      <w:tr w:rsidR="00B83214" w:rsidRPr="00E3537E" w14:paraId="64462EDE"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6BC3E852" w14:textId="77777777" w:rsidR="00B83214" w:rsidRPr="00E3537E" w:rsidRDefault="00B83214" w:rsidP="00B83214">
            <w:pPr>
              <w:rPr>
                <w:szCs w:val="24"/>
              </w:rPr>
            </w:pPr>
            <w:r w:rsidRPr="00E3537E">
              <w:rPr>
                <w:szCs w:val="24"/>
              </w:rPr>
              <w:t>69</w:t>
            </w:r>
          </w:p>
        </w:tc>
        <w:tc>
          <w:tcPr>
            <w:tcW w:w="2034" w:type="pct"/>
            <w:noWrap/>
            <w:hideMark/>
          </w:tcPr>
          <w:p w14:paraId="55B48F8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Las Baniewicki</w:t>
            </w:r>
          </w:p>
        </w:tc>
        <w:tc>
          <w:tcPr>
            <w:tcW w:w="1017" w:type="pct"/>
            <w:noWrap/>
            <w:hideMark/>
          </w:tcPr>
          <w:p w14:paraId="0AF2B33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PLH320064</w:t>
            </w:r>
          </w:p>
        </w:tc>
        <w:tc>
          <w:tcPr>
            <w:tcW w:w="1561" w:type="pct"/>
            <w:noWrap/>
            <w:hideMark/>
          </w:tcPr>
          <w:p w14:paraId="1BD20CEA"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611,086</w:t>
            </w:r>
          </w:p>
        </w:tc>
      </w:tr>
      <w:tr w:rsidR="00B83214" w:rsidRPr="00E3537E" w14:paraId="7D63AFBA"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7380EDE3" w14:textId="77777777" w:rsidR="00B83214" w:rsidRPr="00E3537E" w:rsidRDefault="00B83214" w:rsidP="00B83214">
            <w:pPr>
              <w:rPr>
                <w:szCs w:val="24"/>
              </w:rPr>
            </w:pPr>
            <w:r w:rsidRPr="00E3537E">
              <w:rPr>
                <w:szCs w:val="24"/>
              </w:rPr>
              <w:t>70</w:t>
            </w:r>
          </w:p>
        </w:tc>
        <w:tc>
          <w:tcPr>
            <w:tcW w:w="2034" w:type="pct"/>
            <w:noWrap/>
            <w:hideMark/>
          </w:tcPr>
          <w:p w14:paraId="3433053E"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Ostoja Golczewska</w:t>
            </w:r>
          </w:p>
        </w:tc>
        <w:tc>
          <w:tcPr>
            <w:tcW w:w="1017" w:type="pct"/>
            <w:noWrap/>
            <w:hideMark/>
          </w:tcPr>
          <w:p w14:paraId="245CE50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PLH320052</w:t>
            </w:r>
          </w:p>
        </w:tc>
        <w:tc>
          <w:tcPr>
            <w:tcW w:w="1561" w:type="pct"/>
            <w:noWrap/>
            <w:hideMark/>
          </w:tcPr>
          <w:p w14:paraId="1ACB1EA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844,881</w:t>
            </w:r>
          </w:p>
        </w:tc>
      </w:tr>
      <w:tr w:rsidR="00B83214" w:rsidRPr="00E3537E" w14:paraId="1BB529B1"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74596236" w14:textId="77777777" w:rsidR="00B83214" w:rsidRPr="00E3537E" w:rsidRDefault="00B83214" w:rsidP="00B83214">
            <w:pPr>
              <w:rPr>
                <w:szCs w:val="24"/>
              </w:rPr>
            </w:pPr>
            <w:r w:rsidRPr="00E3537E">
              <w:rPr>
                <w:szCs w:val="24"/>
              </w:rPr>
              <w:t>71</w:t>
            </w:r>
          </w:p>
        </w:tc>
        <w:tc>
          <w:tcPr>
            <w:tcW w:w="2034" w:type="pct"/>
            <w:noWrap/>
            <w:hideMark/>
          </w:tcPr>
          <w:p w14:paraId="2419A42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Jezioro Kopań</w:t>
            </w:r>
          </w:p>
        </w:tc>
        <w:tc>
          <w:tcPr>
            <w:tcW w:w="1017" w:type="pct"/>
            <w:noWrap/>
            <w:hideMark/>
          </w:tcPr>
          <w:p w14:paraId="06BC6E9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PLH320059</w:t>
            </w:r>
          </w:p>
        </w:tc>
        <w:tc>
          <w:tcPr>
            <w:tcW w:w="1561" w:type="pct"/>
            <w:noWrap/>
            <w:hideMark/>
          </w:tcPr>
          <w:p w14:paraId="05EACC8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1166,677</w:t>
            </w:r>
          </w:p>
        </w:tc>
      </w:tr>
      <w:tr w:rsidR="00B83214" w:rsidRPr="00E3537E" w14:paraId="09431737"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100D2C31" w14:textId="77777777" w:rsidR="00B83214" w:rsidRPr="00E3537E" w:rsidRDefault="00B83214" w:rsidP="00B83214">
            <w:pPr>
              <w:rPr>
                <w:szCs w:val="24"/>
              </w:rPr>
            </w:pPr>
            <w:r w:rsidRPr="00E3537E">
              <w:rPr>
                <w:szCs w:val="24"/>
              </w:rPr>
              <w:t>72</w:t>
            </w:r>
          </w:p>
        </w:tc>
        <w:tc>
          <w:tcPr>
            <w:tcW w:w="2034" w:type="pct"/>
            <w:noWrap/>
            <w:hideMark/>
          </w:tcPr>
          <w:p w14:paraId="646512D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Wzgórza Krzymowskie</w:t>
            </w:r>
          </w:p>
        </w:tc>
        <w:tc>
          <w:tcPr>
            <w:tcW w:w="1017" w:type="pct"/>
            <w:noWrap/>
            <w:hideMark/>
          </w:tcPr>
          <w:p w14:paraId="148FAC8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PLH320054</w:t>
            </w:r>
          </w:p>
        </w:tc>
        <w:tc>
          <w:tcPr>
            <w:tcW w:w="1561" w:type="pct"/>
            <w:noWrap/>
            <w:hideMark/>
          </w:tcPr>
          <w:p w14:paraId="66DB61C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1178,077</w:t>
            </w:r>
          </w:p>
        </w:tc>
      </w:tr>
      <w:tr w:rsidR="00B83214" w:rsidRPr="00E3537E" w14:paraId="18497CF2"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6DDE5F7C" w14:textId="77777777" w:rsidR="00B83214" w:rsidRPr="00E3537E" w:rsidRDefault="00B83214" w:rsidP="00B83214">
            <w:pPr>
              <w:rPr>
                <w:szCs w:val="24"/>
              </w:rPr>
            </w:pPr>
            <w:r w:rsidRPr="00E3537E">
              <w:rPr>
                <w:szCs w:val="24"/>
              </w:rPr>
              <w:t>73</w:t>
            </w:r>
          </w:p>
        </w:tc>
        <w:tc>
          <w:tcPr>
            <w:tcW w:w="2034" w:type="pct"/>
            <w:noWrap/>
            <w:hideMark/>
          </w:tcPr>
          <w:p w14:paraId="0702155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Mechowisko Manowo</w:t>
            </w:r>
          </w:p>
        </w:tc>
        <w:tc>
          <w:tcPr>
            <w:tcW w:w="1017" w:type="pct"/>
            <w:noWrap/>
            <w:hideMark/>
          </w:tcPr>
          <w:p w14:paraId="75F905F6"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PLH320057</w:t>
            </w:r>
          </w:p>
        </w:tc>
        <w:tc>
          <w:tcPr>
            <w:tcW w:w="1561" w:type="pct"/>
            <w:noWrap/>
            <w:hideMark/>
          </w:tcPr>
          <w:p w14:paraId="6D66B56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55,509</w:t>
            </w:r>
          </w:p>
        </w:tc>
      </w:tr>
      <w:tr w:rsidR="00B83214" w:rsidRPr="00E3537E" w14:paraId="198BD9EE"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564B0BA2" w14:textId="77777777" w:rsidR="00B83214" w:rsidRPr="00E3537E" w:rsidRDefault="00B83214" w:rsidP="00B83214">
            <w:pPr>
              <w:rPr>
                <w:szCs w:val="24"/>
              </w:rPr>
            </w:pPr>
            <w:r w:rsidRPr="00E3537E">
              <w:rPr>
                <w:szCs w:val="24"/>
              </w:rPr>
              <w:t>74</w:t>
            </w:r>
          </w:p>
        </w:tc>
        <w:tc>
          <w:tcPr>
            <w:tcW w:w="2034" w:type="pct"/>
            <w:noWrap/>
            <w:hideMark/>
          </w:tcPr>
          <w:p w14:paraId="180A16C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Pojezierze Ińskie</w:t>
            </w:r>
          </w:p>
        </w:tc>
        <w:tc>
          <w:tcPr>
            <w:tcW w:w="1017" w:type="pct"/>
            <w:noWrap/>
            <w:hideMark/>
          </w:tcPr>
          <w:p w14:paraId="56188A5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PLH320067</w:t>
            </w:r>
          </w:p>
        </w:tc>
        <w:tc>
          <w:tcPr>
            <w:tcW w:w="1561" w:type="pct"/>
            <w:noWrap/>
            <w:hideMark/>
          </w:tcPr>
          <w:p w14:paraId="0680E2D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10230,749</w:t>
            </w:r>
          </w:p>
        </w:tc>
      </w:tr>
      <w:tr w:rsidR="00B83214" w:rsidRPr="00E3537E" w14:paraId="378038CD"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534484B" w14:textId="77777777" w:rsidR="00B83214" w:rsidRPr="00E3537E" w:rsidRDefault="00B83214" w:rsidP="00B83214">
            <w:pPr>
              <w:rPr>
                <w:szCs w:val="24"/>
              </w:rPr>
            </w:pPr>
            <w:r w:rsidRPr="00E3537E">
              <w:rPr>
                <w:szCs w:val="24"/>
              </w:rPr>
              <w:t>75</w:t>
            </w:r>
          </w:p>
        </w:tc>
        <w:tc>
          <w:tcPr>
            <w:tcW w:w="2034" w:type="pct"/>
            <w:noWrap/>
            <w:hideMark/>
          </w:tcPr>
          <w:p w14:paraId="61C62E0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Przymorskie Błota</w:t>
            </w:r>
          </w:p>
        </w:tc>
        <w:tc>
          <w:tcPr>
            <w:tcW w:w="1017" w:type="pct"/>
            <w:noWrap/>
            <w:hideMark/>
          </w:tcPr>
          <w:p w14:paraId="0ADF9E2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PLH220024</w:t>
            </w:r>
          </w:p>
        </w:tc>
        <w:tc>
          <w:tcPr>
            <w:tcW w:w="1561" w:type="pct"/>
            <w:noWrap/>
            <w:hideMark/>
          </w:tcPr>
          <w:p w14:paraId="3FC30414"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99,218</w:t>
            </w:r>
          </w:p>
        </w:tc>
      </w:tr>
      <w:tr w:rsidR="00B83214" w:rsidRPr="00E3537E" w14:paraId="16DF374E"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4D0FD987" w14:textId="77777777" w:rsidR="00B83214" w:rsidRPr="00E3537E" w:rsidRDefault="00B83214" w:rsidP="00B83214">
            <w:pPr>
              <w:rPr>
                <w:szCs w:val="24"/>
              </w:rPr>
            </w:pPr>
            <w:r w:rsidRPr="00E3537E">
              <w:rPr>
                <w:szCs w:val="24"/>
              </w:rPr>
              <w:t>76</w:t>
            </w:r>
          </w:p>
        </w:tc>
        <w:tc>
          <w:tcPr>
            <w:tcW w:w="2034" w:type="pct"/>
            <w:noWrap/>
            <w:hideMark/>
          </w:tcPr>
          <w:p w14:paraId="7418EDB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Jezioro Śmiadowo</w:t>
            </w:r>
          </w:p>
        </w:tc>
        <w:tc>
          <w:tcPr>
            <w:tcW w:w="1017" w:type="pct"/>
            <w:noWrap/>
            <w:hideMark/>
          </w:tcPr>
          <w:p w14:paraId="7B63EE2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PLH320042</w:t>
            </w:r>
          </w:p>
        </w:tc>
        <w:tc>
          <w:tcPr>
            <w:tcW w:w="1561" w:type="pct"/>
            <w:noWrap/>
            <w:hideMark/>
          </w:tcPr>
          <w:p w14:paraId="43B521D1"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214,611</w:t>
            </w:r>
          </w:p>
        </w:tc>
      </w:tr>
      <w:tr w:rsidR="00B83214" w:rsidRPr="00E3537E" w14:paraId="429B564F"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0C595FCA" w14:textId="77777777" w:rsidR="00B83214" w:rsidRPr="00E3537E" w:rsidRDefault="00B83214" w:rsidP="00B83214">
            <w:pPr>
              <w:rPr>
                <w:szCs w:val="24"/>
              </w:rPr>
            </w:pPr>
            <w:r w:rsidRPr="00E3537E">
              <w:rPr>
                <w:szCs w:val="24"/>
              </w:rPr>
              <w:t>77</w:t>
            </w:r>
          </w:p>
        </w:tc>
        <w:tc>
          <w:tcPr>
            <w:tcW w:w="2034" w:type="pct"/>
            <w:noWrap/>
            <w:hideMark/>
          </w:tcPr>
          <w:p w14:paraId="5BBC818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Kemy Rymańskie</w:t>
            </w:r>
          </w:p>
        </w:tc>
        <w:tc>
          <w:tcPr>
            <w:tcW w:w="1017" w:type="pct"/>
            <w:noWrap/>
            <w:hideMark/>
          </w:tcPr>
          <w:p w14:paraId="69C2EEC3"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PLH320012</w:t>
            </w:r>
          </w:p>
        </w:tc>
        <w:tc>
          <w:tcPr>
            <w:tcW w:w="1561" w:type="pct"/>
            <w:noWrap/>
            <w:hideMark/>
          </w:tcPr>
          <w:p w14:paraId="764EA84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2645,233</w:t>
            </w:r>
          </w:p>
        </w:tc>
      </w:tr>
      <w:tr w:rsidR="00B83214" w:rsidRPr="00E3537E" w14:paraId="1726826C"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5C4AE159" w14:textId="77777777" w:rsidR="00B83214" w:rsidRPr="00E3537E" w:rsidRDefault="00B83214" w:rsidP="00B83214">
            <w:pPr>
              <w:rPr>
                <w:szCs w:val="24"/>
              </w:rPr>
            </w:pPr>
            <w:r w:rsidRPr="00E3537E">
              <w:rPr>
                <w:szCs w:val="24"/>
              </w:rPr>
              <w:t>78</w:t>
            </w:r>
          </w:p>
        </w:tc>
        <w:tc>
          <w:tcPr>
            <w:tcW w:w="2034" w:type="pct"/>
            <w:noWrap/>
            <w:hideMark/>
          </w:tcPr>
          <w:p w14:paraId="3FB40C91"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Bobolickie Jeziora Lobeliowe</w:t>
            </w:r>
          </w:p>
        </w:tc>
        <w:tc>
          <w:tcPr>
            <w:tcW w:w="1017" w:type="pct"/>
            <w:noWrap/>
            <w:hideMark/>
          </w:tcPr>
          <w:p w14:paraId="7952EC7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PLH320001</w:t>
            </w:r>
          </w:p>
        </w:tc>
        <w:tc>
          <w:tcPr>
            <w:tcW w:w="1561" w:type="pct"/>
            <w:noWrap/>
            <w:hideMark/>
          </w:tcPr>
          <w:p w14:paraId="7D46909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4763,237</w:t>
            </w:r>
          </w:p>
        </w:tc>
      </w:tr>
      <w:tr w:rsidR="00B83214" w:rsidRPr="00E3537E" w14:paraId="7D4901C1"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3B66234E" w14:textId="77777777" w:rsidR="00B83214" w:rsidRPr="00E3537E" w:rsidRDefault="00B83214" w:rsidP="00B83214">
            <w:pPr>
              <w:rPr>
                <w:szCs w:val="24"/>
              </w:rPr>
            </w:pPr>
            <w:r w:rsidRPr="00E3537E">
              <w:rPr>
                <w:szCs w:val="24"/>
              </w:rPr>
              <w:t>79</w:t>
            </w:r>
          </w:p>
        </w:tc>
        <w:tc>
          <w:tcPr>
            <w:tcW w:w="2034" w:type="pct"/>
            <w:noWrap/>
            <w:hideMark/>
          </w:tcPr>
          <w:p w14:paraId="5865386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Ostoja Goleniowska</w:t>
            </w:r>
          </w:p>
        </w:tc>
        <w:tc>
          <w:tcPr>
            <w:tcW w:w="1017" w:type="pct"/>
            <w:noWrap/>
            <w:hideMark/>
          </w:tcPr>
          <w:p w14:paraId="3E31DC2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PLH320013</w:t>
            </w:r>
          </w:p>
        </w:tc>
        <w:tc>
          <w:tcPr>
            <w:tcW w:w="1561" w:type="pct"/>
            <w:noWrap/>
            <w:hideMark/>
          </w:tcPr>
          <w:p w14:paraId="19D78D0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8415,358</w:t>
            </w:r>
          </w:p>
        </w:tc>
      </w:tr>
      <w:tr w:rsidR="00B83214" w:rsidRPr="00E3537E" w14:paraId="5C2D1D45"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74D53143" w14:textId="77777777" w:rsidR="00B83214" w:rsidRPr="00E3537E" w:rsidRDefault="00B83214" w:rsidP="00B83214">
            <w:pPr>
              <w:rPr>
                <w:szCs w:val="24"/>
              </w:rPr>
            </w:pPr>
            <w:r w:rsidRPr="00E3537E">
              <w:rPr>
                <w:szCs w:val="24"/>
              </w:rPr>
              <w:t>80</w:t>
            </w:r>
          </w:p>
        </w:tc>
        <w:tc>
          <w:tcPr>
            <w:tcW w:w="2034" w:type="pct"/>
            <w:noWrap/>
            <w:hideMark/>
          </w:tcPr>
          <w:p w14:paraId="31CFC39D"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Słowińskie Błoto</w:t>
            </w:r>
          </w:p>
        </w:tc>
        <w:tc>
          <w:tcPr>
            <w:tcW w:w="1017" w:type="pct"/>
            <w:noWrap/>
            <w:hideMark/>
          </w:tcPr>
          <w:p w14:paraId="0A9023A6"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PLH320016</w:t>
            </w:r>
          </w:p>
        </w:tc>
        <w:tc>
          <w:tcPr>
            <w:tcW w:w="1561" w:type="pct"/>
            <w:noWrap/>
            <w:hideMark/>
          </w:tcPr>
          <w:p w14:paraId="56B440F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192,751</w:t>
            </w:r>
          </w:p>
        </w:tc>
      </w:tr>
      <w:tr w:rsidR="00B83214" w:rsidRPr="00E3537E" w14:paraId="5E7A818B"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49C8BC3A" w14:textId="77777777" w:rsidR="00B83214" w:rsidRPr="00E3537E" w:rsidRDefault="00B83214" w:rsidP="00B83214">
            <w:pPr>
              <w:rPr>
                <w:szCs w:val="24"/>
              </w:rPr>
            </w:pPr>
            <w:r w:rsidRPr="00E3537E">
              <w:rPr>
                <w:szCs w:val="24"/>
              </w:rPr>
              <w:t>81</w:t>
            </w:r>
          </w:p>
        </w:tc>
        <w:tc>
          <w:tcPr>
            <w:tcW w:w="2034" w:type="pct"/>
            <w:noWrap/>
            <w:hideMark/>
          </w:tcPr>
          <w:p w14:paraId="34E9E6F2"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Brzeźnicka Węgorza</w:t>
            </w:r>
          </w:p>
        </w:tc>
        <w:tc>
          <w:tcPr>
            <w:tcW w:w="1017" w:type="pct"/>
            <w:noWrap/>
            <w:hideMark/>
          </w:tcPr>
          <w:p w14:paraId="0C4D9EA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PLH320002</w:t>
            </w:r>
          </w:p>
        </w:tc>
        <w:tc>
          <w:tcPr>
            <w:tcW w:w="1561" w:type="pct"/>
            <w:noWrap/>
            <w:hideMark/>
          </w:tcPr>
          <w:p w14:paraId="18CBD36B"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592,29</w:t>
            </w:r>
          </w:p>
        </w:tc>
      </w:tr>
      <w:tr w:rsidR="00B83214" w:rsidRPr="00E3537E" w14:paraId="4E189DB2"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1CC88AE3" w14:textId="77777777" w:rsidR="00B83214" w:rsidRPr="00E3537E" w:rsidRDefault="00B83214" w:rsidP="00B83214">
            <w:pPr>
              <w:rPr>
                <w:szCs w:val="24"/>
              </w:rPr>
            </w:pPr>
            <w:r w:rsidRPr="00E3537E">
              <w:rPr>
                <w:szCs w:val="24"/>
              </w:rPr>
              <w:t>82</w:t>
            </w:r>
          </w:p>
        </w:tc>
        <w:tc>
          <w:tcPr>
            <w:tcW w:w="2034" w:type="pct"/>
            <w:noWrap/>
            <w:hideMark/>
          </w:tcPr>
          <w:p w14:paraId="5484F4B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Wiązogóra</w:t>
            </w:r>
          </w:p>
        </w:tc>
        <w:tc>
          <w:tcPr>
            <w:tcW w:w="1017" w:type="pct"/>
            <w:noWrap/>
            <w:hideMark/>
          </w:tcPr>
          <w:p w14:paraId="0BABF60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PLH320066</w:t>
            </w:r>
          </w:p>
        </w:tc>
        <w:tc>
          <w:tcPr>
            <w:tcW w:w="1561" w:type="pct"/>
            <w:noWrap/>
            <w:hideMark/>
          </w:tcPr>
          <w:p w14:paraId="5F0B431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489,784</w:t>
            </w:r>
          </w:p>
        </w:tc>
      </w:tr>
      <w:tr w:rsidR="00B83214" w:rsidRPr="00E3537E" w14:paraId="1AD0A2D1"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21668A2F" w14:textId="77777777" w:rsidR="00B83214" w:rsidRPr="00E3537E" w:rsidRDefault="00B83214" w:rsidP="00B83214">
            <w:pPr>
              <w:rPr>
                <w:szCs w:val="24"/>
              </w:rPr>
            </w:pPr>
            <w:r w:rsidRPr="00E3537E">
              <w:rPr>
                <w:szCs w:val="24"/>
              </w:rPr>
              <w:t>83</w:t>
            </w:r>
          </w:p>
        </w:tc>
        <w:tc>
          <w:tcPr>
            <w:tcW w:w="2034" w:type="pct"/>
            <w:noWrap/>
            <w:hideMark/>
          </w:tcPr>
          <w:p w14:paraId="75D002B7"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Dolina Radwi, Chocieli i Chotli</w:t>
            </w:r>
          </w:p>
        </w:tc>
        <w:tc>
          <w:tcPr>
            <w:tcW w:w="1017" w:type="pct"/>
            <w:noWrap/>
            <w:hideMark/>
          </w:tcPr>
          <w:p w14:paraId="480517E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PLH320022</w:t>
            </w:r>
          </w:p>
        </w:tc>
        <w:tc>
          <w:tcPr>
            <w:tcW w:w="1561" w:type="pct"/>
            <w:noWrap/>
            <w:hideMark/>
          </w:tcPr>
          <w:p w14:paraId="067392BA"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21877,061</w:t>
            </w:r>
          </w:p>
        </w:tc>
      </w:tr>
      <w:tr w:rsidR="00B83214" w:rsidRPr="00E3537E" w14:paraId="74BF28C7"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5102FD13" w14:textId="77777777" w:rsidR="00B83214" w:rsidRPr="00E3537E" w:rsidRDefault="00B83214" w:rsidP="00B83214">
            <w:pPr>
              <w:rPr>
                <w:szCs w:val="24"/>
              </w:rPr>
            </w:pPr>
            <w:r w:rsidRPr="00E3537E">
              <w:rPr>
                <w:szCs w:val="24"/>
              </w:rPr>
              <w:t>84</w:t>
            </w:r>
          </w:p>
        </w:tc>
        <w:tc>
          <w:tcPr>
            <w:tcW w:w="2034" w:type="pct"/>
            <w:noWrap/>
            <w:hideMark/>
          </w:tcPr>
          <w:p w14:paraId="7AB390E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Dolina Iny koło Recza</w:t>
            </w:r>
          </w:p>
        </w:tc>
        <w:tc>
          <w:tcPr>
            <w:tcW w:w="1017" w:type="pct"/>
            <w:noWrap/>
            <w:hideMark/>
          </w:tcPr>
          <w:p w14:paraId="55C9CC72"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PLH320004</w:t>
            </w:r>
          </w:p>
        </w:tc>
        <w:tc>
          <w:tcPr>
            <w:tcW w:w="1561" w:type="pct"/>
            <w:noWrap/>
            <w:hideMark/>
          </w:tcPr>
          <w:p w14:paraId="39B520FC"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4472,029</w:t>
            </w:r>
          </w:p>
        </w:tc>
      </w:tr>
      <w:tr w:rsidR="00B83214" w:rsidRPr="00E3537E" w14:paraId="7D38EE96"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648C5433" w14:textId="77777777" w:rsidR="00B83214" w:rsidRPr="00E3537E" w:rsidRDefault="00B83214" w:rsidP="00B83214">
            <w:pPr>
              <w:rPr>
                <w:szCs w:val="24"/>
              </w:rPr>
            </w:pPr>
            <w:r w:rsidRPr="00E3537E">
              <w:rPr>
                <w:szCs w:val="24"/>
              </w:rPr>
              <w:t>85</w:t>
            </w:r>
          </w:p>
        </w:tc>
        <w:tc>
          <w:tcPr>
            <w:tcW w:w="2034" w:type="pct"/>
            <w:noWrap/>
            <w:hideMark/>
          </w:tcPr>
          <w:p w14:paraId="768716BE"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Dorzecze Parsęty</w:t>
            </w:r>
          </w:p>
        </w:tc>
        <w:tc>
          <w:tcPr>
            <w:tcW w:w="1017" w:type="pct"/>
            <w:noWrap/>
            <w:hideMark/>
          </w:tcPr>
          <w:p w14:paraId="37807EA5"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PLH320007</w:t>
            </w:r>
          </w:p>
        </w:tc>
        <w:tc>
          <w:tcPr>
            <w:tcW w:w="1561" w:type="pct"/>
            <w:noWrap/>
            <w:hideMark/>
          </w:tcPr>
          <w:p w14:paraId="578750F0"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27724,618</w:t>
            </w:r>
          </w:p>
        </w:tc>
      </w:tr>
      <w:tr w:rsidR="00B83214" w:rsidRPr="00E3537E" w14:paraId="7DA10AC0"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88" w:type="pct"/>
            <w:noWrap/>
            <w:hideMark/>
          </w:tcPr>
          <w:p w14:paraId="0C25E3CF" w14:textId="77777777" w:rsidR="00B83214" w:rsidRPr="00E3537E" w:rsidRDefault="00B83214" w:rsidP="00B83214">
            <w:pPr>
              <w:rPr>
                <w:szCs w:val="24"/>
              </w:rPr>
            </w:pPr>
            <w:r w:rsidRPr="00E3537E">
              <w:rPr>
                <w:szCs w:val="24"/>
              </w:rPr>
              <w:t>86</w:t>
            </w:r>
          </w:p>
        </w:tc>
        <w:tc>
          <w:tcPr>
            <w:tcW w:w="2034" w:type="pct"/>
            <w:noWrap/>
            <w:hideMark/>
          </w:tcPr>
          <w:p w14:paraId="24A144A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Jeziora Szczecineckie</w:t>
            </w:r>
          </w:p>
        </w:tc>
        <w:tc>
          <w:tcPr>
            <w:tcW w:w="1017" w:type="pct"/>
            <w:noWrap/>
            <w:hideMark/>
          </w:tcPr>
          <w:p w14:paraId="59D3AD4F"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PLH320009</w:t>
            </w:r>
          </w:p>
        </w:tc>
        <w:tc>
          <w:tcPr>
            <w:tcW w:w="1561" w:type="pct"/>
            <w:noWrap/>
            <w:hideMark/>
          </w:tcPr>
          <w:p w14:paraId="28AC8618" w14:textId="77777777" w:rsidR="00B83214" w:rsidRPr="00E3537E" w:rsidRDefault="00B83214" w:rsidP="00B83214">
            <w:pPr>
              <w:cnfStyle w:val="000000000000" w:firstRow="0" w:lastRow="0" w:firstColumn="0" w:lastColumn="0" w:oddVBand="0" w:evenVBand="0" w:oddHBand="0" w:evenHBand="0" w:firstRowFirstColumn="0" w:firstRowLastColumn="0" w:lastRowFirstColumn="0" w:lastRowLastColumn="0"/>
              <w:rPr>
                <w:szCs w:val="24"/>
              </w:rPr>
            </w:pPr>
            <w:r w:rsidRPr="00E3537E">
              <w:rPr>
                <w:szCs w:val="24"/>
              </w:rPr>
              <w:t>6484,36</w:t>
            </w:r>
          </w:p>
        </w:tc>
      </w:tr>
    </w:tbl>
    <w:p w14:paraId="26266542" w14:textId="77777777" w:rsidR="00B83214" w:rsidRPr="006902D3" w:rsidRDefault="00B83214" w:rsidP="00B83214">
      <w:pPr>
        <w:jc w:val="both"/>
        <w:rPr>
          <w:szCs w:val="24"/>
        </w:rPr>
      </w:pPr>
      <w:r w:rsidRPr="006902D3">
        <w:rPr>
          <w:szCs w:val="24"/>
        </w:rPr>
        <w:t xml:space="preserve">Źródło: opracowanie własne na podstawie danych GDOŚ; </w:t>
      </w:r>
      <w:hyperlink r:id="rId22" w:history="1">
        <w:r w:rsidRPr="00A76E78">
          <w:rPr>
            <w:rStyle w:val="Hipercze"/>
            <w:szCs w:val="24"/>
          </w:rPr>
          <w:t>https://www.gdos.gov.pl/dane-i-metadane</w:t>
        </w:r>
      </w:hyperlink>
      <w:r w:rsidRPr="006902D3">
        <w:rPr>
          <w:szCs w:val="24"/>
        </w:rPr>
        <w:t>; (dostęp z </w:t>
      </w:r>
      <w:r>
        <w:rPr>
          <w:szCs w:val="24"/>
        </w:rPr>
        <w:t>dn. 05.05</w:t>
      </w:r>
      <w:r w:rsidRPr="006902D3">
        <w:rPr>
          <w:szCs w:val="24"/>
        </w:rPr>
        <w:t>.2022)</w:t>
      </w:r>
    </w:p>
    <w:p w14:paraId="2A07520B" w14:textId="77777777" w:rsidR="00B83214" w:rsidRDefault="00B83214" w:rsidP="00B83214">
      <w:pPr>
        <w:rPr>
          <w:szCs w:val="24"/>
        </w:rPr>
      </w:pPr>
      <w:r w:rsidRPr="0092202A">
        <w:rPr>
          <w:szCs w:val="24"/>
        </w:rPr>
        <w:t xml:space="preserve">Lokalizację obszarów Natura 2000 w granicach województwa </w:t>
      </w:r>
      <w:r>
        <w:rPr>
          <w:szCs w:val="24"/>
        </w:rPr>
        <w:t>zachodniopomorskiego</w:t>
      </w:r>
      <w:r w:rsidRPr="0092202A">
        <w:rPr>
          <w:szCs w:val="24"/>
        </w:rPr>
        <w:t xml:space="preserve"> przedstawiono na</w:t>
      </w:r>
      <w:r>
        <w:rPr>
          <w:szCs w:val="24"/>
        </w:rPr>
        <w:t xml:space="preserve"> poniższym rysunku (</w:t>
      </w:r>
      <w:r>
        <w:rPr>
          <w:szCs w:val="24"/>
        </w:rPr>
        <w:fldChar w:fldCharType="begin"/>
      </w:r>
      <w:r>
        <w:rPr>
          <w:szCs w:val="24"/>
        </w:rPr>
        <w:instrText xml:space="preserve"> REF _Ref102743365 \h </w:instrText>
      </w:r>
      <w:r>
        <w:rPr>
          <w:szCs w:val="24"/>
        </w:rPr>
      </w:r>
      <w:r>
        <w:rPr>
          <w:szCs w:val="24"/>
        </w:rPr>
        <w:fldChar w:fldCharType="separate"/>
      </w:r>
      <w:r w:rsidR="002B5007">
        <w:t xml:space="preserve">Rysunek </w:t>
      </w:r>
      <w:r w:rsidR="002B5007">
        <w:rPr>
          <w:noProof/>
        </w:rPr>
        <w:t>4</w:t>
      </w:r>
      <w:r>
        <w:rPr>
          <w:szCs w:val="24"/>
        </w:rPr>
        <w:fldChar w:fldCharType="end"/>
      </w:r>
      <w:r>
        <w:rPr>
          <w:szCs w:val="24"/>
        </w:rPr>
        <w:t>).</w:t>
      </w:r>
    </w:p>
    <w:p w14:paraId="75E34B41" w14:textId="77777777" w:rsidR="00B83214" w:rsidRPr="00F94FE9" w:rsidRDefault="00B83214" w:rsidP="00B83214">
      <w:pPr>
        <w:rPr>
          <w:szCs w:val="24"/>
        </w:rPr>
      </w:pPr>
    </w:p>
    <w:p w14:paraId="2BCB05F5" w14:textId="4106CE2E" w:rsidR="00B83214" w:rsidRDefault="00B83214" w:rsidP="00B83214">
      <w:pPr>
        <w:keepNext/>
      </w:pPr>
    </w:p>
    <w:p w14:paraId="24709F02" w14:textId="092AEC03" w:rsidR="00347A59" w:rsidRDefault="00347A59" w:rsidP="00B83214">
      <w:pPr>
        <w:keepNext/>
      </w:pPr>
      <w:r w:rsidRPr="00D41923">
        <w:rPr>
          <w:noProof/>
          <w:lang w:eastAsia="pl-PL"/>
        </w:rPr>
        <w:drawing>
          <wp:inline distT="0" distB="0" distL="0" distR="0" wp14:anchorId="4EACDD18" wp14:editId="1C4D0C87">
            <wp:extent cx="5794745" cy="4112937"/>
            <wp:effectExtent l="0" t="0" r="0" b="1905"/>
            <wp:docPr id="38" name="Obraz 3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Obraz zawierający mapa&#10;&#10;Opis wygenerowany automatycznie"/>
                    <pic:cNvPicPr/>
                  </pic:nvPicPr>
                  <pic:blipFill rotWithShape="1">
                    <a:blip r:embed="rId23"/>
                    <a:srcRect l="27132" t="16833" r="8630" b="10216"/>
                    <a:stretch/>
                  </pic:blipFill>
                  <pic:spPr bwMode="auto">
                    <a:xfrm>
                      <a:off x="0" y="0"/>
                      <a:ext cx="5805515" cy="4120581"/>
                    </a:xfrm>
                    <a:prstGeom prst="rect">
                      <a:avLst/>
                    </a:prstGeom>
                    <a:ln>
                      <a:noFill/>
                    </a:ln>
                    <a:extLst>
                      <a:ext uri="{53640926-AAD7-44D8-BBD7-CCE9431645EC}">
                        <a14:shadowObscured xmlns:a14="http://schemas.microsoft.com/office/drawing/2010/main"/>
                      </a:ext>
                    </a:extLst>
                  </pic:spPr>
                </pic:pic>
              </a:graphicData>
            </a:graphic>
          </wp:inline>
        </w:drawing>
      </w:r>
    </w:p>
    <w:p w14:paraId="26B05FE6" w14:textId="77777777" w:rsidR="00B83214" w:rsidRDefault="00B83214" w:rsidP="00B83214">
      <w:pPr>
        <w:pStyle w:val="Podpispodrysunkiem"/>
      </w:pPr>
      <w:bookmarkStart w:id="102" w:name="_Ref102743365"/>
      <w:bookmarkStart w:id="103" w:name="_Toc104790106"/>
      <w:r>
        <w:t xml:space="preserve">Rysunek </w:t>
      </w:r>
      <w:r>
        <w:fldChar w:fldCharType="begin"/>
      </w:r>
      <w:r>
        <w:instrText>SEQ Rysunek \* ARABIC</w:instrText>
      </w:r>
      <w:r>
        <w:fldChar w:fldCharType="separate"/>
      </w:r>
      <w:r w:rsidR="002B5007">
        <w:rPr>
          <w:noProof/>
        </w:rPr>
        <w:t>4</w:t>
      </w:r>
      <w:r>
        <w:fldChar w:fldCharType="end"/>
      </w:r>
      <w:bookmarkEnd w:id="102"/>
      <w:r>
        <w:t xml:space="preserve"> </w:t>
      </w:r>
      <w:r w:rsidRPr="0092202A">
        <w:t>Obszary Natura 2000 w</w:t>
      </w:r>
      <w:r>
        <w:t xml:space="preserve"> granicach województwa zachodniopomorskiego</w:t>
      </w:r>
      <w:bookmarkEnd w:id="103"/>
    </w:p>
    <w:p w14:paraId="575BB081" w14:textId="77777777" w:rsidR="00B83214" w:rsidRDefault="00B83214" w:rsidP="00B83214">
      <w:pPr>
        <w:pStyle w:val="rdo"/>
        <w:rPr>
          <w:szCs w:val="24"/>
        </w:rPr>
      </w:pPr>
      <w:r w:rsidRPr="0092202A">
        <w:rPr>
          <w:szCs w:val="24"/>
        </w:rPr>
        <w:t xml:space="preserve">Źródło: opracowanie własne na podstawie danych GDOŚ; </w:t>
      </w:r>
      <w:hyperlink r:id="rId24" w:history="1">
        <w:r w:rsidRPr="00D72D14">
          <w:rPr>
            <w:rStyle w:val="Hipercze"/>
            <w:szCs w:val="24"/>
          </w:rPr>
          <w:t>https://www.gdos.gov.pl/dane-i-metadane</w:t>
        </w:r>
      </w:hyperlink>
      <w:r>
        <w:rPr>
          <w:rStyle w:val="Hipercze"/>
          <w:szCs w:val="24"/>
        </w:rPr>
        <w:t>;</w:t>
      </w:r>
      <w:r>
        <w:rPr>
          <w:szCs w:val="24"/>
        </w:rPr>
        <w:t xml:space="preserve"> (dostęp z dn.: 05.05</w:t>
      </w:r>
      <w:r w:rsidRPr="0092202A">
        <w:rPr>
          <w:szCs w:val="24"/>
        </w:rPr>
        <w:t>.2022)</w:t>
      </w:r>
    </w:p>
    <w:p w14:paraId="3325035C" w14:textId="4AE7B34A" w:rsidR="00154DC4" w:rsidRPr="00841EA4" w:rsidRDefault="00EE37AB" w:rsidP="00154DC4">
      <w:pPr>
        <w:rPr>
          <w:rFonts w:eastAsia="Times New Roman" w:cstheme="minorHAnsi"/>
          <w:szCs w:val="24"/>
        </w:rPr>
      </w:pPr>
      <w:r w:rsidRPr="00841EA4">
        <w:rPr>
          <w:rFonts w:eastAsia="Times New Roman" w:cstheme="minorHAnsi"/>
          <w:szCs w:val="24"/>
        </w:rPr>
        <w:t>Zgodnie z art. 27a ust. 2 ustawy o ochronie przyrody</w:t>
      </w:r>
      <w:r w:rsidRPr="00841EA4">
        <w:rPr>
          <w:rFonts w:eastAsia="Times New Roman" w:cstheme="minorHAnsi"/>
          <w:szCs w:val="24"/>
          <w:vertAlign w:val="superscript"/>
        </w:rPr>
        <w:footnoteReference w:id="82"/>
      </w:r>
      <w:r w:rsidRPr="00841EA4">
        <w:rPr>
          <w:rFonts w:eastAsia="Times New Roman" w:cstheme="minorHAnsi"/>
          <w:szCs w:val="24"/>
        </w:rPr>
        <w:t xml:space="preserve"> </w:t>
      </w:r>
      <w:r w:rsidRPr="00841EA4">
        <w:rPr>
          <w:rFonts w:eastAsia="Times New Roman" w:cstheme="minorHAnsi"/>
          <w:szCs w:val="24"/>
          <w:lang w:eastAsia="pl-PL"/>
        </w:rPr>
        <w:t>nadzór nad obszarami Natura 2000 lub proponowanymi obszarami mającymi znaczenie dla Wspólnoty, o których mowa w art. 27 ust. 3 pkt 1 ww. ustawy, wyznaczonymi na obszarach morskich - sprawuje dyrektor urzędu morskiego. W związku z powyższym Dyrektor Urzędu Morskiego w Szczecinie sprawuje nadzór nad następującymi obszarami Natura 2000 (w całości lub części obejmującymi obszary morskie): (1) obszar specjalnej ochrony ptaków „Zatoka Pomorska” (PLB990003), „Zalew Szczeciński” (PLB320009), „Zalew Kamieński i Dziwna” (PLB320011), „Delta Świny” (PLB320002); (2) obszar mający znaczenie dla Wspólnoty / specjalny obszar ochrony siedlisk „Ostoja na Zatoce Pomorskiej” (PLH990002), „Ujście Odry i Zalew Szczeciński” (PLH320018) i „Wolin i Uznam” (PLH320019), a także wspólnie z Dyrektorem Urzędu Morskiego w Gdyni - nad obszarem specjalnej ochrony ptaków „Przybrzeżne Wody Bałtyku” (PLB990002) i obszarem posiadającym wspólne granice obszaru ptasiego i siedliskowego „Ławica Słupska” (PLC990001).</w:t>
      </w:r>
      <w:r>
        <w:rPr>
          <w:rFonts w:eastAsia="Times New Roman" w:cstheme="minorHAnsi"/>
          <w:szCs w:val="24"/>
          <w:lang w:eastAsia="pl-PL"/>
        </w:rPr>
        <w:t xml:space="preserve"> </w:t>
      </w:r>
      <w:r w:rsidR="00154DC4" w:rsidRPr="00841EA4">
        <w:rPr>
          <w:rFonts w:eastAsia="Times New Roman" w:cstheme="minorHAnsi"/>
          <w:szCs w:val="24"/>
          <w:lang w:eastAsia="pl-PL"/>
        </w:rPr>
        <w:t>Zgodnie z art. 28 ust. 11 ustawy o ochronie przyrody</w:t>
      </w:r>
      <w:r w:rsidR="00154DC4" w:rsidRPr="00841EA4">
        <w:rPr>
          <w:rFonts w:eastAsia="Times New Roman" w:cstheme="minorHAnsi"/>
          <w:szCs w:val="24"/>
          <w:vertAlign w:val="superscript"/>
          <w:lang w:eastAsia="pl-PL"/>
        </w:rPr>
        <w:footnoteReference w:id="83"/>
      </w:r>
      <w:r w:rsidR="00154DC4" w:rsidRPr="00841EA4">
        <w:rPr>
          <w:rFonts w:eastAsia="Times New Roman" w:cstheme="minorHAnsi"/>
          <w:szCs w:val="24"/>
          <w:lang w:eastAsia="pl-PL"/>
        </w:rPr>
        <w:t xml:space="preserve"> dla obszaru Natura 2000 znajdującego się w obszarach morskich nie sporządza się planu zadań ochronnych, natomiast sporządza się plan ochrony przez sprawującego nadzór nad obszarem. Celem opracowania planów ochrony dla obszarów Natura 2000 jest utrzymanie bądź przywrócenie do właściwego stanu ochrony siedlisk przyrodniczych oraz gatunków roślin i zwierząt, dla których obszar został wyznaczony. Ustalenia planów ochrony mogą w sposób bezpośredni oddziaływać m.in. na organy administracji samorządowej i terenowe organy administracji rządowej, właścicieli i użytkowników gruntów sąsiadujących z ww. obszarami Natura 2000 wyznaczonymi na obszarach morskich oraz na przedsiębiorców, którzy prowadzą działalność lub są zainteresowani realizacją przedsięwzięć na części wód morskich ww. obszarów. Ustalenia te winny być transponowane do obowiązujących dokumentów planistycznych, pozostających w kompetencjach organów władzy publicznej. Dodatkowo należy zaznaczyć, iż zgodnie z art. 36 ust. 1 ustawy o ochronie przyrody „</w:t>
      </w:r>
      <w:r w:rsidR="00154DC4" w:rsidRPr="00841EA4">
        <w:rPr>
          <w:rFonts w:eastAsia="Times New Roman" w:cstheme="minorHAnsi"/>
          <w:i/>
          <w:szCs w:val="24"/>
          <w:lang w:eastAsia="pl-PL"/>
        </w:rPr>
        <w:t xml:space="preserve">Na obszarach Natura 2000, </w:t>
      </w:r>
      <w:r w:rsidR="00154DC4" w:rsidRPr="00841EA4">
        <w:rPr>
          <w:rFonts w:eastAsia="Times New Roman" w:cstheme="minorHAnsi"/>
          <w:i/>
          <w:szCs w:val="24"/>
        </w:rPr>
        <w:t>z zastrzeżeniem ust. 2,</w:t>
      </w:r>
      <w:r w:rsidR="00154DC4" w:rsidRPr="00841EA4">
        <w:rPr>
          <w:rFonts w:eastAsia="Times New Roman" w:cstheme="minorHAnsi"/>
          <w:i/>
          <w:szCs w:val="24"/>
          <w:lang w:eastAsia="pl-PL"/>
        </w:rPr>
        <w:t xml:space="preserve"> nie podlega ograniczeniu działalność związana z utrzymaniem urządzeń i obiektów służących bezpieczeństwu przeciwpowodziowemu oraz działalność gospodarcza, rolna, leśna, łowiecka i rybacka, a także amatorski połów ryb, jeżeli nie oddziałuje znacząco negatywnie na cele ochrony obszaru Natura 2000”.</w:t>
      </w:r>
      <w:r w:rsidR="00154DC4" w:rsidRPr="00841EA4">
        <w:rPr>
          <w:rFonts w:eastAsia="Times New Roman" w:cstheme="minorHAnsi"/>
          <w:szCs w:val="24"/>
          <w:lang w:eastAsia="pl-PL"/>
        </w:rPr>
        <w:t xml:space="preserve"> Aktualne informacje w sprawie ustanowionych Planów Zadań Ochronnych lub Planów Ochrony dla obszarów Natura 2000 w granicach województwa zachodniopomorskiego dostępne są na stronie internetowej Regionalnej Dyrekcji Ochrony Środowiska w Szczecinie</w:t>
      </w:r>
      <w:r w:rsidR="00154DC4" w:rsidRPr="00841EA4">
        <w:rPr>
          <w:rFonts w:eastAsia="Times New Roman" w:cstheme="minorHAnsi"/>
          <w:szCs w:val="24"/>
          <w:vertAlign w:val="superscript"/>
          <w:lang w:eastAsia="pl-PL"/>
        </w:rPr>
        <w:footnoteReference w:id="84"/>
      </w:r>
      <w:r w:rsidR="00154DC4" w:rsidRPr="00841EA4">
        <w:rPr>
          <w:rFonts w:eastAsia="Times New Roman" w:cstheme="minorHAnsi"/>
          <w:szCs w:val="24"/>
          <w:lang w:eastAsia="pl-PL"/>
        </w:rPr>
        <w:t>.</w:t>
      </w:r>
    </w:p>
    <w:p w14:paraId="738F164F" w14:textId="77777777" w:rsidR="00B83214" w:rsidRDefault="00B83214" w:rsidP="00B83214">
      <w:pPr>
        <w:rPr>
          <w:szCs w:val="24"/>
        </w:rPr>
      </w:pPr>
    </w:p>
    <w:p w14:paraId="5357BF8C" w14:textId="77777777" w:rsidR="00B83214" w:rsidRDefault="00B83214" w:rsidP="00B83214">
      <w:pPr>
        <w:rPr>
          <w:szCs w:val="24"/>
          <w:highlight w:val="yellow"/>
        </w:rPr>
      </w:pPr>
    </w:p>
    <w:p w14:paraId="685C3872" w14:textId="77777777" w:rsidR="00B83214" w:rsidRDefault="00B83214" w:rsidP="00B83214">
      <w:pPr>
        <w:rPr>
          <w:szCs w:val="24"/>
          <w:highlight w:val="yellow"/>
        </w:rPr>
      </w:pPr>
      <w:r>
        <w:rPr>
          <w:szCs w:val="24"/>
          <w:highlight w:val="yellow"/>
        </w:rPr>
        <w:br w:type="page"/>
      </w:r>
    </w:p>
    <w:p w14:paraId="34EE5E68" w14:textId="77777777" w:rsidR="00B83214" w:rsidRPr="00B83214" w:rsidRDefault="00B83214" w:rsidP="00B83214">
      <w:pPr>
        <w:pStyle w:val="Nagwek1"/>
        <w:numPr>
          <w:ilvl w:val="0"/>
          <w:numId w:val="61"/>
        </w:numPr>
        <w:rPr>
          <w:sz w:val="24"/>
          <w:szCs w:val="20"/>
        </w:rPr>
      </w:pPr>
      <w:bookmarkStart w:id="104" w:name="_Toc104790654"/>
      <w:r w:rsidRPr="00B83214">
        <w:rPr>
          <w:sz w:val="24"/>
          <w:szCs w:val="20"/>
        </w:rPr>
        <w:t>LUDZIE</w:t>
      </w:r>
      <w:bookmarkEnd w:id="104"/>
    </w:p>
    <w:p w14:paraId="37A89253" w14:textId="3D208CA5" w:rsidR="00B83214" w:rsidRPr="00094D9D" w:rsidRDefault="00B83214" w:rsidP="00B83214">
      <w:pPr>
        <w:rPr>
          <w:szCs w:val="24"/>
          <w:highlight w:val="yellow"/>
        </w:rPr>
      </w:pPr>
      <w:r w:rsidRPr="00094D9D">
        <w:rPr>
          <w:szCs w:val="24"/>
        </w:rPr>
        <w:t>Według stanu na koniec 2021 r. województwo zachodniopomorskie zamieszkuje 1 682 003 mieszkańców. Od wielu lat odnotowuje się ujemny wskaźnik przyrostu naturalnego, który w roku 2020 wyniósł -7 305, co odpowiada przyrostowi naturalnemu -4,31 na 1 000 osób. Problem wyludniania się województwa potęguje ujemne saldo migracji wewnętrznych, które w 2020 r. wyniosło -747. Migracje zagraniczne utrzymują się na poziomie dodatnim i wynoszą 146</w:t>
      </w:r>
      <w:r w:rsidRPr="00094D9D">
        <w:rPr>
          <w:szCs w:val="24"/>
          <w:vertAlign w:val="superscript"/>
        </w:rPr>
        <w:footnoteReference w:id="85"/>
      </w:r>
      <w:r w:rsidRPr="00094D9D">
        <w:rPr>
          <w:szCs w:val="24"/>
        </w:rPr>
        <w:t xml:space="preserve">. Z prognoz demograficznych GUS wynika, że tempo wyludniania się regionu będzie wzrastać, tym samym w perspektywie najbliższych 30 lat liczba mieszkańców województwa zmaleje o ponad 13,5%. Problem depopulacji będzie w szczególności pociągał za sobą konsekwencje społeczne, gospodarcze i przestrzenne na obszarach miejskich. </w:t>
      </w:r>
    </w:p>
    <w:p w14:paraId="59024C1F" w14:textId="77777777" w:rsidR="00B83214" w:rsidRPr="00094D9D" w:rsidRDefault="00B83214" w:rsidP="00B83214">
      <w:pPr>
        <w:rPr>
          <w:szCs w:val="24"/>
        </w:rPr>
      </w:pPr>
      <w:r w:rsidRPr="00094D9D">
        <w:rPr>
          <w:szCs w:val="24"/>
        </w:rPr>
        <w:t>Zgodnie z danymi GUS mieszkańcy województwa w 2021 r. zawarli 6 148 małżeństw, co stanowi 3,6 małżeństw na 1 000 mieszkańców, jest to nieznacznie mniej niż w skali kraju. W tym samym roku odnotowano 1,4 rozwodów przypadających na 1 000 mieszkańców. Powyższa wartość stanowi większą od średniej wartości dla kraju. Mieszkańcy stanu wolnego stanowią 28,5%, 53,1% żyje w małżeństwie, 6,7% mieszkańców jest po rozwodzie, a 9,0% to wdowy/wdowcy.</w:t>
      </w:r>
      <w:r>
        <w:rPr>
          <w:szCs w:val="24"/>
        </w:rPr>
        <w:t xml:space="preserve"> </w:t>
      </w:r>
      <w:r w:rsidRPr="00094D9D">
        <w:rPr>
          <w:szCs w:val="24"/>
        </w:rPr>
        <w:t xml:space="preserve">W populacji województwa przeważają kobiety (51,4% - dane za rok 2021). Osoby w wieku produkcyjnym na koniec 2021 r. stanowiły 59,5% ogółu ludności, osoby w wieku poprodukcyjnym – 23,2%, a w wieku przedprodukcyjnym – 17,2%. </w:t>
      </w:r>
    </w:p>
    <w:p w14:paraId="482F3686" w14:textId="40CD87F6" w:rsidR="00B83214" w:rsidRPr="00094D9D" w:rsidRDefault="00B83214" w:rsidP="00B83214">
      <w:pPr>
        <w:rPr>
          <w:szCs w:val="24"/>
          <w:highlight w:val="yellow"/>
        </w:rPr>
      </w:pPr>
      <w:r w:rsidRPr="00094D9D">
        <w:rPr>
          <w:szCs w:val="24"/>
        </w:rPr>
        <w:t>Według danych GUS mediana wieku w 2020 r. wśród mężczyzn wynosiła 40,9, natomiast u kobiet 44,1. Na przestrzeni ostatniej dekady zwiększyła się długość życia mieszkańców regionu (</w:t>
      </w:r>
      <w:r w:rsidRPr="00094D9D">
        <w:rPr>
          <w:sz w:val="22"/>
        </w:rPr>
        <w:fldChar w:fldCharType="begin"/>
      </w:r>
      <w:r w:rsidRPr="00094D9D">
        <w:rPr>
          <w:sz w:val="22"/>
        </w:rPr>
        <w:instrText xml:space="preserve"> REF _Ref97012209 \h  \* MERGEFORMAT </w:instrText>
      </w:r>
      <w:r w:rsidRPr="00094D9D">
        <w:rPr>
          <w:sz w:val="22"/>
        </w:rPr>
      </w:r>
      <w:r w:rsidRPr="00094D9D">
        <w:rPr>
          <w:sz w:val="22"/>
        </w:rPr>
        <w:fldChar w:fldCharType="separate"/>
      </w:r>
      <w:r w:rsidR="002B5007" w:rsidRPr="002B5007">
        <w:rPr>
          <w:szCs w:val="24"/>
        </w:rPr>
        <w:t>Rysunek 5</w:t>
      </w:r>
      <w:r w:rsidRPr="00094D9D">
        <w:rPr>
          <w:sz w:val="22"/>
        </w:rPr>
        <w:fldChar w:fldCharType="end"/>
      </w:r>
      <w:r>
        <w:rPr>
          <w:szCs w:val="24"/>
        </w:rPr>
        <w:t>). W 2020 r.</w:t>
      </w:r>
      <w:r w:rsidRPr="00094D9D">
        <w:rPr>
          <w:szCs w:val="24"/>
        </w:rPr>
        <w:t xml:space="preserve"> przeciętne trwanie życia w województwie było dłuższe u kobiet niż u mężczyzn o 8,5 roku. W zachodniopomorskim przeciętne dalsze trwanie życia kobiety wynosiło 80,6 lat (w kraju 80,7), a mężczyźni żyli 72,1 lat (w kraju 72,6). Analizując przeciętne dalsze trwanie życia w województwie na przestrzeni lat 2019-2020, zauważalne jest skrócenie przeciętnego trwania życia u mężczyzn o 1,5 roku, oraz u kobiet o 0,6 roku. Z uwagi na pogarszający się stan zdrowia mieszkańców jakość życia w regionie ulega obniżeniu, głównie za sprawą wzrostu zachorowalności na choroby przewlekłe. Jako przyczyny zgonów w 2019 roku należy wymienić: choroby układu krążenia, nowotwory, objawy, cechy chorobowe oraz nieprawidłowe wyniki badań klinicznych i laboratoryjnych, choroby układu oddechowego, a także zewnętrzne przyczyny zgonów (urazy, upadki, wypadki, zatrucia, samobójstwa i zabójstwa). Najwyższy odsetek</w:t>
      </w:r>
      <w:r w:rsidR="00E5117B">
        <w:rPr>
          <w:szCs w:val="24"/>
        </w:rPr>
        <w:t>,</w:t>
      </w:r>
      <w:r w:rsidRPr="00094D9D">
        <w:rPr>
          <w:szCs w:val="24"/>
        </w:rPr>
        <w:t xml:space="preserve"> bo aż 43,8%</w:t>
      </w:r>
      <w:r w:rsidR="00E5117B">
        <w:rPr>
          <w:szCs w:val="24"/>
        </w:rPr>
        <w:t>,</w:t>
      </w:r>
      <w:r w:rsidRPr="00094D9D">
        <w:rPr>
          <w:szCs w:val="24"/>
        </w:rPr>
        <w:t xml:space="preserve"> stanowiły zgony z powodu chorób układu krążenia. W 2019 roku w województwie zachodniopomorskim z tego powodu zmarło 8096 osób, z czego 3 709 mężczyzn (38,8% zgonów mężczyzn) i 4 387 kobiet (49,3% zgonów kobiet). Wskaźnik liczby zgonów na choroby układu krążenia na 10 tys. ludności wynosił 47,8 i był wyższy o 0,8 niż w roku poprzednim. Drugą, co do wielkości przyczyną zgonów w województwie były choroby nowotworowe, głównymi przyczynami zgonów były nowotwory złośliwe układu oddechowego i klatki piersiowej (27,6%) oraz nowotwory narządów trawiennych (26,5%). Wśród kobiet zaobserwowano duży udział zgonów na nowotwory złośliwe sutka (13,9%) i na nowotwory złośliwe żeńskich narządów płciowych (13,3%)</w:t>
      </w:r>
      <w:r w:rsidRPr="00094D9D">
        <w:rPr>
          <w:szCs w:val="24"/>
          <w:vertAlign w:val="superscript"/>
        </w:rPr>
        <w:footnoteReference w:id="86"/>
      </w:r>
      <w:r w:rsidRPr="00094D9D">
        <w:rPr>
          <w:szCs w:val="24"/>
        </w:rPr>
        <w:t xml:space="preserve">. </w:t>
      </w:r>
    </w:p>
    <w:p w14:paraId="564B96C8" w14:textId="77777777" w:rsidR="00B83214" w:rsidRPr="00094D9D" w:rsidRDefault="00B83214" w:rsidP="00B83214">
      <w:pPr>
        <w:keepNext/>
        <w:jc w:val="center"/>
        <w:rPr>
          <w:szCs w:val="24"/>
          <w:highlight w:val="yellow"/>
        </w:rPr>
      </w:pPr>
      <w:r w:rsidRPr="00094D9D">
        <w:rPr>
          <w:noProof/>
          <w:sz w:val="22"/>
          <w:lang w:eastAsia="pl-PL"/>
        </w:rPr>
        <w:drawing>
          <wp:inline distT="0" distB="0" distL="0" distR="0" wp14:anchorId="62355FF3" wp14:editId="34AEC8B1">
            <wp:extent cx="4744085" cy="2638557"/>
            <wp:effectExtent l="0" t="0" r="18415" b="9525"/>
            <wp:docPr id="2" name="Wykres 2">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CE46A46" w14:textId="77777777" w:rsidR="00B83214" w:rsidRPr="00094D9D" w:rsidRDefault="00B83214" w:rsidP="00B83214">
      <w:pPr>
        <w:pStyle w:val="Podpispodrysunkiem"/>
      </w:pPr>
      <w:bookmarkStart w:id="105" w:name="_Ref97012209"/>
      <w:bookmarkStart w:id="106" w:name="_Toc97537962"/>
      <w:bookmarkStart w:id="107" w:name="_Toc97999640"/>
      <w:bookmarkStart w:id="108" w:name="_Toc104790107"/>
      <w:r w:rsidRPr="00094D9D">
        <w:t xml:space="preserve">Rysunek </w:t>
      </w:r>
      <w:r>
        <w:fldChar w:fldCharType="begin"/>
      </w:r>
      <w:r>
        <w:instrText>SEQ Rysunek \* ARABIC</w:instrText>
      </w:r>
      <w:r>
        <w:fldChar w:fldCharType="separate"/>
      </w:r>
      <w:r w:rsidR="002B5007">
        <w:rPr>
          <w:noProof/>
        </w:rPr>
        <w:t>5</w:t>
      </w:r>
      <w:r>
        <w:fldChar w:fldCharType="end"/>
      </w:r>
      <w:bookmarkEnd w:id="105"/>
      <w:r w:rsidRPr="00094D9D">
        <w:t xml:space="preserve"> Liczba mieszkańców województwa zachodniopomorskiego w wieku 80 lat i więcej na przestrzeni lat</w:t>
      </w:r>
      <w:bookmarkEnd w:id="106"/>
      <w:bookmarkEnd w:id="107"/>
      <w:r>
        <w:t xml:space="preserve"> 2010-2020</w:t>
      </w:r>
      <w:bookmarkEnd w:id="108"/>
    </w:p>
    <w:p w14:paraId="51CDBD52" w14:textId="77777777" w:rsidR="00B83214" w:rsidRPr="00094D9D" w:rsidRDefault="00B83214" w:rsidP="00B83214">
      <w:pPr>
        <w:pStyle w:val="rdo"/>
      </w:pPr>
      <w:r w:rsidRPr="00094D9D">
        <w:t>Źródło: Opracowanie własne na podstawie: Rocznik statystyczny województwa zachodniopomorskiego 2021. Urząd Statystyczny w Szczecinie</w:t>
      </w:r>
    </w:p>
    <w:p w14:paraId="5CE4CDFA" w14:textId="77777777" w:rsidR="00B83214" w:rsidRPr="00094D9D" w:rsidRDefault="00B83214" w:rsidP="00B83214">
      <w:pPr>
        <w:rPr>
          <w:szCs w:val="24"/>
        </w:rPr>
      </w:pPr>
      <w:r w:rsidRPr="00094D9D">
        <w:rPr>
          <w:szCs w:val="24"/>
        </w:rPr>
        <w:t>Badania potwierdzają związek pomiędzy występowaniem szeregu negatywnych skutków zdrowotnych, a złej jakości powietrzem. Ekspozycja na zanieczyszczenia powietrza, zarówno krótkoterminowa, jak i długoterminowa, związana jest ze wzrostem ciśnienia tętniczego krwi oraz ze zwiększeniem ryzyka wystąpienia niedokrwiennego udaru mózgu oraz zawału mięśnia sercowego. Ma także wpływ na występowanie zaostrzeń chorób takich jak astma, czy choroby płuc. Zanieczyszczenie powietrza zewnętrznego ogółem, pył zawieszony oraz spaliny emitowane przez silniki Diesla, zostały sklasyfikowane przez Międzynarodową Agencję Badań nad Rakiem (IARC) jako substancje o udowodnionym działaniu rakotwórczym. Narażenie na zanieczyszczenia powietrza zwiększa ryzyko występowania raka płuc oraz raka pęcherza moczowego. Ponadto badania wskazują, że zanieczyszczenie powietrza wywiera negatywny wpływ na układ nerwowy</w:t>
      </w:r>
      <w:r w:rsidRPr="00094D9D">
        <w:rPr>
          <w:szCs w:val="24"/>
          <w:vertAlign w:val="superscript"/>
        </w:rPr>
        <w:footnoteReference w:id="87"/>
      </w:r>
      <w:r w:rsidRPr="00094D9D">
        <w:rPr>
          <w:szCs w:val="24"/>
          <w:vertAlign w:val="superscript"/>
        </w:rPr>
        <w:t>.</w:t>
      </w:r>
      <w:r w:rsidRPr="00094D9D">
        <w:rPr>
          <w:szCs w:val="24"/>
        </w:rPr>
        <w:t xml:space="preserve"> </w:t>
      </w:r>
    </w:p>
    <w:p w14:paraId="50BECBD5" w14:textId="7268ECF7" w:rsidR="00B83214" w:rsidRPr="00094D9D" w:rsidRDefault="00B83214" w:rsidP="00B83214">
      <w:pPr>
        <w:rPr>
          <w:szCs w:val="24"/>
        </w:rPr>
      </w:pPr>
      <w:r w:rsidRPr="00094D9D">
        <w:rPr>
          <w:szCs w:val="24"/>
        </w:rPr>
        <w:t xml:space="preserve">Stan akustyczny środowiska jest jednym z kolejnych czynników wpływających na zdrowie oraz komfort i jakość życia ludzi. Z uwagi na źródło pochodzenia, hałas dzielony jest na: przemysłowy (instalacyjny), komunikacyjny (drogowy, lotniczy, kolejowy), komunalny (osiedlowy), domowy oraz hałas związany ze środowiskiem pracy. Oddziaływanie hałasu na kondycję człowieka należy rozpatrywać w aspekcie wpływu bezpośredniego – na narząd słuchu oraz pośrednio </w:t>
      </w:r>
      <w:r w:rsidR="00A263E4">
        <w:rPr>
          <w:szCs w:val="24"/>
        </w:rPr>
        <w:t xml:space="preserve">- </w:t>
      </w:r>
      <w:r w:rsidRPr="00094D9D">
        <w:rPr>
          <w:szCs w:val="24"/>
        </w:rPr>
        <w:t>na układ nerwowy i psychikę. Wynikiem szkodliwego oddziaływania hałasu na organizm człowieka jest: zmęczenie, zmniejszenie wydajności pracy, trudności w skupieniu uwagi, zaburzenia orientacji, drażliwość, podwyższone ciśnienie krwi, ból oraz zawroty głowy, czasowe lub trwałe uszkodzenie słuchu, szumy uszne</w:t>
      </w:r>
      <w:r w:rsidRPr="00094D9D">
        <w:rPr>
          <w:szCs w:val="24"/>
          <w:vertAlign w:val="superscript"/>
        </w:rPr>
        <w:footnoteReference w:id="88"/>
      </w:r>
      <w:r w:rsidRPr="00094D9D">
        <w:rPr>
          <w:szCs w:val="24"/>
        </w:rPr>
        <w:t xml:space="preserve">. W województwie zachodniopomorskim największe zagrożenie hałasem stanowi hałas pochodzący z ruchu drogowego. Z uwagi na systematyczny rozwój sieci drogowych coraz większa liczba ludności jest narażona na hałas, w szczególności ludność zamieszkująca tereny w bliskim otoczeniu dróg. </w:t>
      </w:r>
    </w:p>
    <w:p w14:paraId="429E8651" w14:textId="77777777" w:rsidR="00B83214" w:rsidRPr="00094D9D" w:rsidRDefault="00B83214" w:rsidP="00B83214">
      <w:pPr>
        <w:spacing w:after="0"/>
        <w:rPr>
          <w:szCs w:val="24"/>
        </w:rPr>
      </w:pPr>
      <w:r w:rsidRPr="00094D9D">
        <w:rPr>
          <w:szCs w:val="24"/>
        </w:rPr>
        <w:t>Liczbę osób narażonych na ponadnormatywny hałas na terenie wo</w:t>
      </w:r>
      <w:r>
        <w:rPr>
          <w:szCs w:val="24"/>
        </w:rPr>
        <w:t xml:space="preserve">jewództwa zachodniopomorskiego - </w:t>
      </w:r>
      <w:r w:rsidRPr="00094D9D">
        <w:rPr>
          <w:szCs w:val="24"/>
        </w:rPr>
        <w:t xml:space="preserve">miast: Koszalina i Szczecina </w:t>
      </w:r>
      <w:r>
        <w:rPr>
          <w:szCs w:val="24"/>
        </w:rPr>
        <w:t xml:space="preserve">- </w:t>
      </w:r>
      <w:r w:rsidRPr="00094D9D">
        <w:rPr>
          <w:szCs w:val="24"/>
        </w:rPr>
        <w:t>przedstawiono na podstawie danych ujętych w mapach akustycznych oraz programach ochrony przed ha</w:t>
      </w:r>
      <w:r>
        <w:rPr>
          <w:szCs w:val="24"/>
        </w:rPr>
        <w:t xml:space="preserve">łasem. </w:t>
      </w:r>
      <w:r w:rsidRPr="00094D9D">
        <w:rPr>
          <w:szCs w:val="24"/>
        </w:rPr>
        <w:t>Na ponadnormatywny hałas (wyrażony wskaźnikiem L</w:t>
      </w:r>
      <w:r w:rsidRPr="00094D9D">
        <w:rPr>
          <w:szCs w:val="24"/>
          <w:vertAlign w:val="subscript"/>
        </w:rPr>
        <w:t>DWN</w:t>
      </w:r>
      <w:r w:rsidRPr="00094D9D">
        <w:rPr>
          <w:szCs w:val="24"/>
        </w:rPr>
        <w:t xml:space="preserve">) narażonych jest łącznie: </w:t>
      </w:r>
    </w:p>
    <w:p w14:paraId="5693A665" w14:textId="77777777" w:rsidR="00B83214" w:rsidRPr="00094D9D" w:rsidRDefault="00B83214" w:rsidP="00B83214">
      <w:pPr>
        <w:numPr>
          <w:ilvl w:val="0"/>
          <w:numId w:val="8"/>
        </w:numPr>
        <w:contextualSpacing/>
        <w:rPr>
          <w:szCs w:val="24"/>
        </w:rPr>
      </w:pPr>
      <w:r w:rsidRPr="00094D9D">
        <w:rPr>
          <w:szCs w:val="24"/>
        </w:rPr>
        <w:t>w województwie zachodniopomorskim 17 538 mieszkańców (hałas pochodzący z dróg krajowych, autostrad, dróg wojewódzkich i kolei)</w:t>
      </w:r>
      <w:r w:rsidRPr="00094D9D">
        <w:rPr>
          <w:sz w:val="22"/>
          <w:vertAlign w:val="superscript"/>
        </w:rPr>
        <w:footnoteReference w:id="89"/>
      </w:r>
      <w:r w:rsidRPr="00094D9D">
        <w:rPr>
          <w:szCs w:val="24"/>
        </w:rPr>
        <w:t xml:space="preserve">; </w:t>
      </w:r>
    </w:p>
    <w:p w14:paraId="796349C7" w14:textId="77777777" w:rsidR="00B83214" w:rsidRPr="00094D9D" w:rsidRDefault="00B83214" w:rsidP="00B83214">
      <w:pPr>
        <w:numPr>
          <w:ilvl w:val="0"/>
          <w:numId w:val="8"/>
        </w:numPr>
        <w:contextualSpacing/>
        <w:rPr>
          <w:szCs w:val="24"/>
        </w:rPr>
      </w:pPr>
      <w:r w:rsidRPr="00094D9D">
        <w:rPr>
          <w:szCs w:val="24"/>
        </w:rPr>
        <w:t>w Koszalinie 9 200 mieszkańców (hałas pochodzący od dróg, kolei oraz źródeł przemysłowych)</w:t>
      </w:r>
      <w:r w:rsidRPr="00094D9D">
        <w:rPr>
          <w:sz w:val="22"/>
          <w:vertAlign w:val="superscript"/>
        </w:rPr>
        <w:footnoteReference w:id="90"/>
      </w:r>
      <w:r w:rsidRPr="00094D9D">
        <w:rPr>
          <w:szCs w:val="24"/>
        </w:rPr>
        <w:t xml:space="preserve">; </w:t>
      </w:r>
    </w:p>
    <w:p w14:paraId="7112565E" w14:textId="77777777" w:rsidR="00B83214" w:rsidRPr="00094D9D" w:rsidRDefault="00B83214" w:rsidP="00B83214">
      <w:pPr>
        <w:numPr>
          <w:ilvl w:val="0"/>
          <w:numId w:val="8"/>
        </w:numPr>
        <w:contextualSpacing/>
        <w:rPr>
          <w:szCs w:val="24"/>
        </w:rPr>
      </w:pPr>
      <w:r w:rsidRPr="00094D9D">
        <w:rPr>
          <w:szCs w:val="24"/>
        </w:rPr>
        <w:t>w Szczecinie 13 900 mieszkańców (hałas pochodzący od dróg, kolei, tramwajów oraz źródeł przemysłowych)</w:t>
      </w:r>
      <w:r w:rsidRPr="00094D9D">
        <w:rPr>
          <w:sz w:val="22"/>
          <w:vertAlign w:val="superscript"/>
        </w:rPr>
        <w:footnoteReference w:id="91"/>
      </w:r>
      <w:r w:rsidRPr="00094D9D">
        <w:rPr>
          <w:szCs w:val="24"/>
        </w:rPr>
        <w:t xml:space="preserve">. </w:t>
      </w:r>
    </w:p>
    <w:p w14:paraId="678856BF" w14:textId="77777777" w:rsidR="00B83214" w:rsidRPr="00094D9D" w:rsidRDefault="00B83214" w:rsidP="00B83214">
      <w:pPr>
        <w:spacing w:after="0"/>
        <w:rPr>
          <w:szCs w:val="24"/>
        </w:rPr>
      </w:pPr>
      <w:r w:rsidRPr="00094D9D">
        <w:rPr>
          <w:szCs w:val="24"/>
        </w:rPr>
        <w:t>Na ponadnormatywny hałas (wyrażony wskaźnikiem L</w:t>
      </w:r>
      <w:r w:rsidRPr="00094D9D">
        <w:rPr>
          <w:szCs w:val="24"/>
          <w:vertAlign w:val="subscript"/>
        </w:rPr>
        <w:t>N</w:t>
      </w:r>
      <w:r w:rsidRPr="00094D9D">
        <w:rPr>
          <w:szCs w:val="24"/>
        </w:rPr>
        <w:t xml:space="preserve">) narażonych jest łącznie: </w:t>
      </w:r>
    </w:p>
    <w:p w14:paraId="7474CE4D" w14:textId="77777777" w:rsidR="00B83214" w:rsidRPr="00094D9D" w:rsidRDefault="00B83214" w:rsidP="00B83214">
      <w:pPr>
        <w:numPr>
          <w:ilvl w:val="0"/>
          <w:numId w:val="8"/>
        </w:numPr>
        <w:contextualSpacing/>
        <w:rPr>
          <w:szCs w:val="24"/>
        </w:rPr>
      </w:pPr>
      <w:r w:rsidRPr="00094D9D">
        <w:rPr>
          <w:szCs w:val="24"/>
        </w:rPr>
        <w:t>w województwie zachodniopomorskim 15 361 mieszkańców (hałas pochodzący z dróg krajowych, autostrad, dróg wojewódzkich i kolei)</w:t>
      </w:r>
      <w:r w:rsidRPr="00094D9D">
        <w:rPr>
          <w:szCs w:val="24"/>
          <w:vertAlign w:val="superscript"/>
        </w:rPr>
        <w:footnoteReference w:id="92"/>
      </w:r>
      <w:r w:rsidRPr="00094D9D">
        <w:rPr>
          <w:szCs w:val="24"/>
        </w:rPr>
        <w:t xml:space="preserve">; </w:t>
      </w:r>
    </w:p>
    <w:p w14:paraId="401B55E9" w14:textId="77777777" w:rsidR="00B83214" w:rsidRPr="00094D9D" w:rsidRDefault="00B83214" w:rsidP="00B83214">
      <w:pPr>
        <w:numPr>
          <w:ilvl w:val="0"/>
          <w:numId w:val="8"/>
        </w:numPr>
        <w:contextualSpacing/>
        <w:rPr>
          <w:szCs w:val="24"/>
        </w:rPr>
      </w:pPr>
      <w:r w:rsidRPr="00094D9D">
        <w:rPr>
          <w:szCs w:val="24"/>
        </w:rPr>
        <w:t>w Koszalinie 7 086 mieszkańców (hałas pochodzący z dróg, kolei oraz źródeł przemysłowych)</w:t>
      </w:r>
      <w:r w:rsidRPr="00094D9D">
        <w:rPr>
          <w:sz w:val="22"/>
          <w:vertAlign w:val="superscript"/>
        </w:rPr>
        <w:footnoteReference w:id="93"/>
      </w:r>
      <w:r w:rsidRPr="00094D9D">
        <w:rPr>
          <w:szCs w:val="24"/>
        </w:rPr>
        <w:t xml:space="preserve">; </w:t>
      </w:r>
    </w:p>
    <w:p w14:paraId="73BBA1BC" w14:textId="77777777" w:rsidR="00B83214" w:rsidRPr="00094D9D" w:rsidRDefault="00B83214" w:rsidP="00B83214">
      <w:pPr>
        <w:numPr>
          <w:ilvl w:val="0"/>
          <w:numId w:val="8"/>
        </w:numPr>
        <w:contextualSpacing/>
        <w:rPr>
          <w:szCs w:val="24"/>
        </w:rPr>
      </w:pPr>
      <w:r w:rsidRPr="00094D9D">
        <w:rPr>
          <w:szCs w:val="24"/>
        </w:rPr>
        <w:t>w Szczecinie 6 950 mieszkańców (hałas pochodzący z dróg, kolei, tramwajów oraz źródeł przemysłowych)</w:t>
      </w:r>
      <w:r w:rsidRPr="00094D9D">
        <w:rPr>
          <w:sz w:val="22"/>
          <w:vertAlign w:val="superscript"/>
        </w:rPr>
        <w:footnoteReference w:id="94"/>
      </w:r>
      <w:r w:rsidRPr="00094D9D">
        <w:rPr>
          <w:szCs w:val="24"/>
        </w:rPr>
        <w:t>.</w:t>
      </w:r>
    </w:p>
    <w:p w14:paraId="00389E30" w14:textId="77777777" w:rsidR="00B83214" w:rsidRPr="00094D9D" w:rsidRDefault="00B83214" w:rsidP="00B83214">
      <w:pPr>
        <w:rPr>
          <w:szCs w:val="24"/>
        </w:rPr>
      </w:pPr>
      <w:r w:rsidRPr="00094D9D">
        <w:rPr>
          <w:szCs w:val="24"/>
        </w:rPr>
        <w:t>W roku 2020 przeprowadzono pomiary hałasu drogowego w Drawsku Pomorskim i Golczewie. W obydwu miejscowościach stwierdzono występowanie terenów zagrożonych ponadnormatywnym hałasem. Przekroczenia dopuszczalnych poziomów występowały przy pierwszej linii zabudowy i były rzędu 1-10 dB. Nie stwierdzono terenów, na których występowały przekroczenia większe niż 10 dB. Pomiary hałasu kolejowego w roku 2020 przeprowadzono w Drawsku Pomorskim, Sławnie oraz Kamieniu Pomorskim. Jedynie w Kamieniu Pomorskim brak było przekroczeń, natomiast w Drawsku Pomorskim i Sławnie wystąpiły przekroczenia dopuszczalnych poziomów hałasu w porze dnia i nocy, wartości były rzędu od 0,2 dB do 9,2 dB. Nie stwierdzono terenów, na których występowały przekroczenia większe niż 10 dB</w:t>
      </w:r>
      <w:r w:rsidRPr="00094D9D">
        <w:rPr>
          <w:szCs w:val="24"/>
          <w:vertAlign w:val="superscript"/>
        </w:rPr>
        <w:footnoteReference w:id="95"/>
      </w:r>
      <w:r w:rsidRPr="00094D9D">
        <w:rPr>
          <w:szCs w:val="24"/>
        </w:rPr>
        <w:t>.</w:t>
      </w:r>
    </w:p>
    <w:p w14:paraId="171958B4" w14:textId="70234BE3" w:rsidR="00B83214" w:rsidRPr="00094D9D" w:rsidRDefault="00B83214" w:rsidP="00B83214">
      <w:pPr>
        <w:rPr>
          <w:szCs w:val="24"/>
          <w:highlight w:val="yellow"/>
        </w:rPr>
      </w:pPr>
      <w:r w:rsidRPr="00094D9D">
        <w:rPr>
          <w:szCs w:val="24"/>
        </w:rPr>
        <w:t>Współczynnik aktywności zawodowej mieszkańców na koniec 2020 roku w województwie wyniósł 54,3%, co stanowi o 1,0 p. proc więcej niż przed rokiem. Na koniec 2020 roku stopa bezrobocia ukształtowała się na poziomie 3,6%, wyższym w porównaniu do III kwartału 2020 roku (o 0,2 p. proc.). Stopa bezroboci</w:t>
      </w:r>
      <w:r w:rsidR="00E5117B">
        <w:rPr>
          <w:szCs w:val="24"/>
        </w:rPr>
        <w:t>a</w:t>
      </w:r>
      <w:r w:rsidRPr="00094D9D">
        <w:rPr>
          <w:szCs w:val="24"/>
        </w:rPr>
        <w:t xml:space="preserve"> była o 0,6 p. proc. </w:t>
      </w:r>
      <w:r w:rsidR="00E5117B">
        <w:rPr>
          <w:szCs w:val="24"/>
        </w:rPr>
        <w:t>w</w:t>
      </w:r>
      <w:r w:rsidRPr="00094D9D">
        <w:rPr>
          <w:szCs w:val="24"/>
        </w:rPr>
        <w:t>yższa niż w analogicznym okresie poprzedniego roku</w:t>
      </w:r>
      <w:r w:rsidR="00E5117B">
        <w:rPr>
          <w:szCs w:val="24"/>
        </w:rPr>
        <w:t>,</w:t>
      </w:r>
      <w:r w:rsidRPr="00094D9D">
        <w:rPr>
          <w:szCs w:val="24"/>
        </w:rPr>
        <w:t>dla kobiet wyniosła 3,4%, dla mężczyzn – 3,6%. Zwiększyła się zarówno liczba pracujących, jak i bezrobotnych. Odnotowano spadek liczby biernych zawodowo. W konsekwencji tych zmian spadł wskaźnik obciążenia pracujących osobami niepracującymi</w:t>
      </w:r>
      <w:r w:rsidRPr="00094D9D">
        <w:rPr>
          <w:szCs w:val="24"/>
          <w:vertAlign w:val="superscript"/>
        </w:rPr>
        <w:footnoteReference w:id="96"/>
      </w:r>
      <w:r w:rsidRPr="00094D9D">
        <w:rPr>
          <w:szCs w:val="24"/>
        </w:rPr>
        <w:t>. 11,6% aktywnych zawodowo mieszkańców zachodniopomorskiego pracuje w sektorze rolniczym (rolnictwo, leśnictwo, łowiectwo i rybactwo), 27,9% w przemyśle i budownictwie, a 24,3% w sektorze usługowym (handel, naprawa pojazdów, transport, zakwaterowanie i gastronomia, informacja i komunikacja) oraz 2,9% pracuje w sektorze finansowym (działalność finansowa i ubezpieczeniowa, obsługa rynku nieruchomości)</w:t>
      </w:r>
      <w:r w:rsidRPr="00094D9D">
        <w:rPr>
          <w:szCs w:val="24"/>
          <w:vertAlign w:val="superscript"/>
        </w:rPr>
        <w:footnoteReference w:id="97"/>
      </w:r>
      <w:r w:rsidRPr="00094D9D">
        <w:rPr>
          <w:szCs w:val="24"/>
        </w:rPr>
        <w:t>.</w:t>
      </w:r>
    </w:p>
    <w:p w14:paraId="426CACE3" w14:textId="77777777" w:rsidR="00B83214" w:rsidRPr="00094D9D" w:rsidRDefault="00B83214" w:rsidP="00B83214">
      <w:pPr>
        <w:rPr>
          <w:szCs w:val="24"/>
          <w:highlight w:val="yellow"/>
        </w:rPr>
      </w:pPr>
      <w:r w:rsidRPr="00094D9D">
        <w:rPr>
          <w:szCs w:val="24"/>
        </w:rPr>
        <w:t>Zgodnie z danymi za 2020 rok w województwie zachodniopomorskim przeciętne miesięczne wynagrodzenie brutto wyniosło 4 764,69 PLN, co jest wartością o 461,31 PLN mniejszą od średniej dla Polski (5 226,00 PLN). Obie wartości znacznie odbiegają od średniej dla województwa mazowieckiego (6 247,60 PLN). Rozpatrując zasobność mieszkańców województwa w aspekcie posiadanych samochodów, na 1 000 mieszkańców w 2020 roku przypadało 624 samochodów osobowych, co jest wartością niższą niż średnia w Polsce, która wyniosła 656,3</w:t>
      </w:r>
      <w:r w:rsidRPr="00094D9D">
        <w:rPr>
          <w:szCs w:val="24"/>
          <w:vertAlign w:val="superscript"/>
        </w:rPr>
        <w:footnoteReference w:id="98"/>
      </w:r>
      <w:r w:rsidRPr="00094D9D">
        <w:rPr>
          <w:szCs w:val="24"/>
        </w:rPr>
        <w:t xml:space="preserve">. </w:t>
      </w:r>
    </w:p>
    <w:p w14:paraId="5E314AD9" w14:textId="77777777" w:rsidR="00B83214" w:rsidRPr="00094D9D" w:rsidRDefault="00B83214" w:rsidP="00B83214">
      <w:pPr>
        <w:rPr>
          <w:szCs w:val="24"/>
          <w:highlight w:val="yellow"/>
        </w:rPr>
      </w:pPr>
      <w:r w:rsidRPr="00094D9D">
        <w:rPr>
          <w:szCs w:val="24"/>
        </w:rPr>
        <w:t>Zużycie energii elektrycznej na jednego mieszkańca w województwie zachodniopomorskim w 2020 roku wyniosło 748 kWh. Statystyczny mieszkaniec regionu generuje więcej odpadów komunalnych niż statystyczny mieszkaniec Polski. W 2020 roku na jednego mieszkańca województwa przypadło 382 kg odpadów komunalnych zebranych (co stanowi o 45 kg odpadów więcej niż w roku poprzedzającym), podczas gdy w Polsce wartość średnia wyniosła 342 kg. W regionie 83,4% ogółu mieszkańców korzysta z oczyszczalni ścieków (co stanowi o 5,2% więcej niż dekadę wcześniej). Jest to wartość wyższa niż średnia wartość dla kraju, które wyniosła 74,8%</w:t>
      </w:r>
      <w:r w:rsidRPr="00094D9D">
        <w:rPr>
          <w:szCs w:val="24"/>
          <w:vertAlign w:val="superscript"/>
        </w:rPr>
        <w:footnoteReference w:id="99"/>
      </w:r>
      <w:r w:rsidRPr="00094D9D">
        <w:rPr>
          <w:szCs w:val="24"/>
        </w:rPr>
        <w:t>.</w:t>
      </w:r>
    </w:p>
    <w:p w14:paraId="241156B4" w14:textId="77777777" w:rsidR="00B83214" w:rsidRPr="00094D9D" w:rsidRDefault="00B83214" w:rsidP="00B83214">
      <w:pPr>
        <w:rPr>
          <w:szCs w:val="24"/>
          <w:highlight w:val="yellow"/>
        </w:rPr>
      </w:pPr>
      <w:r w:rsidRPr="00094D9D">
        <w:rPr>
          <w:szCs w:val="24"/>
        </w:rPr>
        <w:t xml:space="preserve">Obserwuje </w:t>
      </w:r>
      <w:r>
        <w:rPr>
          <w:szCs w:val="24"/>
        </w:rPr>
        <w:t xml:space="preserve">się </w:t>
      </w:r>
      <w:r w:rsidRPr="00094D9D">
        <w:rPr>
          <w:szCs w:val="24"/>
        </w:rPr>
        <w:t>stabilną kondycję finansową przedsiębiorstw zatrudniających mieszkańców, jednak trudniejszą niż w roku 2015. Wynik finansowy ogółu przedsiębiorstw w województwie zachodniopomorskim jest dodatni i w 2020 roku wynosił: 3 914,2 mln PLN (netto). Najtrudniejszą sytuację obserwuje się w obszarze opieki zdrowotnej i pomocy społecznej oraz działalności związanej z kulturą, rozrywką i rekreacją. Wyniki finansowe dla tych dwóch grup przedsiębiorstw w 2020 roku były ujemne i przyjęły wartości odpowiednio: -35,3 mln PLN oraz -7,0 mln PLN</w:t>
      </w:r>
      <w:r w:rsidRPr="00094D9D">
        <w:rPr>
          <w:szCs w:val="24"/>
          <w:vertAlign w:val="superscript"/>
        </w:rPr>
        <w:footnoteReference w:id="100"/>
      </w:r>
      <w:r w:rsidRPr="00094D9D">
        <w:rPr>
          <w:szCs w:val="24"/>
        </w:rPr>
        <w:t>. W aspekcie informatyzacji ogółu przedsiębiorstw województwa, dla podmiotów gospodarczych, w których liczba pracujących wynosiła lub przekroczyła 10 na koniec 2020 roku 23,3% przedsiębiorstw kupiło usługi w chmurze obliczeniowej, 18,1% wykorzystywało e-mail, 15,8% korzystało z oprogramowania biurowego (np. arkusz kalkulacyjny, edytor tekstu), natomiast 10,4% korzystało z przechowywania plików w Internecie</w:t>
      </w:r>
      <w:r w:rsidRPr="00094D9D">
        <w:rPr>
          <w:szCs w:val="24"/>
          <w:vertAlign w:val="superscript"/>
        </w:rPr>
        <w:footnoteReference w:id="101"/>
      </w:r>
      <w:r w:rsidRPr="00094D9D">
        <w:rPr>
          <w:szCs w:val="24"/>
        </w:rPr>
        <w:t xml:space="preserve">. </w:t>
      </w:r>
    </w:p>
    <w:p w14:paraId="4837F222" w14:textId="77777777" w:rsidR="00B83214" w:rsidRPr="00094D9D" w:rsidRDefault="00B83214" w:rsidP="00B83214">
      <w:pPr>
        <w:rPr>
          <w:szCs w:val="24"/>
        </w:rPr>
      </w:pPr>
      <w:r w:rsidRPr="00094D9D">
        <w:rPr>
          <w:szCs w:val="24"/>
        </w:rPr>
        <w:t>Liczba osób zatrudnionych w województwie w obszarze edukacji, informacji i komunikacji, jak również w działalności profesjonalnej, naukowej i technicznej, w perspektywie minionej dekady systematycznie wzrastała, jednak w roku 2020 obserwuje się niewielki spadek zatrudnienia w tych obszarach. Podobną zależność obserwuje się w przypadku wzrostu wynagrodzenia pracowników świadczących swoje usługi w obrębie tych obszarów (systematyczny wzrost). Z końcem roku 2020 przeciętne miesięczne wynagrodzenie brutto w obszarze edukacji, informacji i komunikacji oraz działalności profesjonalnej, naukowej i technicznej wyniosło odpowiednio: 5 267,10 PLN, 7 605,96 PLN oraz 4 606,94 PLN</w:t>
      </w:r>
      <w:r w:rsidRPr="00094D9D">
        <w:rPr>
          <w:szCs w:val="24"/>
          <w:vertAlign w:val="superscript"/>
        </w:rPr>
        <w:footnoteReference w:id="102"/>
      </w:r>
      <w:r w:rsidRPr="00094D9D">
        <w:rPr>
          <w:szCs w:val="24"/>
        </w:rPr>
        <w:t xml:space="preserve">. </w:t>
      </w:r>
    </w:p>
    <w:p w14:paraId="2550EBC7" w14:textId="27E5BF83" w:rsidR="00B83214" w:rsidRPr="00094D9D" w:rsidRDefault="00B83214" w:rsidP="00B83214">
      <w:pPr>
        <w:rPr>
          <w:szCs w:val="24"/>
          <w:highlight w:val="yellow"/>
        </w:rPr>
      </w:pPr>
      <w:r w:rsidRPr="00094D9D">
        <w:rPr>
          <w:szCs w:val="24"/>
        </w:rPr>
        <w:t>W województwie zachodniopomorskim wg stanu na koniec 2020 r. zlokalizowanych było 12 instytutów, 8 uczelni oraz 20 innych jednostek klasyfikowanych w obszarze działalności badawczo-rozwojowej. Nakłady przekazywane na działalność badawczą i rozwojową w województwie od wielu lat przyjmowały trend wzrostowy, zarówno w przypadku nakładów całościowych</w:t>
      </w:r>
      <w:r w:rsidR="00E5117B">
        <w:rPr>
          <w:szCs w:val="24"/>
        </w:rPr>
        <w:t>,</w:t>
      </w:r>
      <w:r w:rsidRPr="00094D9D">
        <w:rPr>
          <w:szCs w:val="24"/>
        </w:rPr>
        <w:t xml:space="preserve"> jak i przekazywanych wyłącznie dla podmiotów wyspecjalizowanych badawczo, jednak w 2020 r. obserwowano spadek tych nakładów o ok. 11% w stosunku do roku poprzedzającego (</w:t>
      </w:r>
      <w:r w:rsidRPr="00094D9D">
        <w:rPr>
          <w:sz w:val="22"/>
        </w:rPr>
        <w:fldChar w:fldCharType="begin"/>
      </w:r>
      <w:r w:rsidRPr="00094D9D">
        <w:rPr>
          <w:sz w:val="22"/>
        </w:rPr>
        <w:instrText xml:space="preserve"> REF _Ref96947342 \h  \* MERGEFORMAT </w:instrText>
      </w:r>
      <w:r w:rsidRPr="00094D9D">
        <w:rPr>
          <w:sz w:val="22"/>
        </w:rPr>
      </w:r>
      <w:r w:rsidRPr="00094D9D">
        <w:rPr>
          <w:sz w:val="22"/>
        </w:rPr>
        <w:fldChar w:fldCharType="separate"/>
      </w:r>
      <w:r w:rsidR="002B5007" w:rsidRPr="002B5007">
        <w:rPr>
          <w:szCs w:val="24"/>
        </w:rPr>
        <w:t>Rysunek 6</w:t>
      </w:r>
      <w:r w:rsidRPr="00094D9D">
        <w:rPr>
          <w:sz w:val="22"/>
        </w:rPr>
        <w:fldChar w:fldCharType="end"/>
      </w:r>
      <w:r w:rsidRPr="00094D9D">
        <w:rPr>
          <w:szCs w:val="24"/>
        </w:rPr>
        <w:t xml:space="preserve">). Obserwuje się niewielki spadek wskaźnika zużycia aparatury naukowo-badawczej wśród podmiotów wyspecjalizowanych badawczo, w 2020 r. przyjął on wartość 84,2%. Należy jednak podkreślić, że ww. wskaźnik jeszcze w 2010 roku był o 8,5% niższy. </w:t>
      </w:r>
    </w:p>
    <w:p w14:paraId="2C71FA93" w14:textId="77777777" w:rsidR="00B83214" w:rsidRPr="00094D9D" w:rsidRDefault="00B83214" w:rsidP="00B83214">
      <w:pPr>
        <w:keepNext/>
        <w:autoSpaceDE w:val="0"/>
        <w:autoSpaceDN w:val="0"/>
        <w:adjustRightInd w:val="0"/>
        <w:spacing w:before="0" w:after="0"/>
        <w:jc w:val="center"/>
        <w:rPr>
          <w:rFonts w:ascii="Calibri" w:hAnsi="Calibri" w:cs="Calibri"/>
          <w:color w:val="000000"/>
          <w:szCs w:val="24"/>
          <w:highlight w:val="yellow"/>
        </w:rPr>
      </w:pPr>
      <w:r w:rsidRPr="00094D9D">
        <w:rPr>
          <w:noProof/>
          <w:sz w:val="22"/>
          <w:lang w:eastAsia="pl-PL"/>
        </w:rPr>
        <mc:AlternateContent>
          <mc:Choice Requires="wps">
            <w:drawing>
              <wp:anchor distT="0" distB="0" distL="114300" distR="114300" simplePos="0" relativeHeight="251663872" behindDoc="0" locked="0" layoutInCell="1" allowOverlap="1" wp14:anchorId="3055F8DB" wp14:editId="6D38B921">
                <wp:simplePos x="0" y="0"/>
                <wp:positionH relativeFrom="column">
                  <wp:posOffset>1282268</wp:posOffset>
                </wp:positionH>
                <wp:positionV relativeFrom="paragraph">
                  <wp:posOffset>2403475</wp:posOffset>
                </wp:positionV>
                <wp:extent cx="412750" cy="355600"/>
                <wp:effectExtent l="0" t="0" r="0" b="6350"/>
                <wp:wrapNone/>
                <wp:docPr id="4" name="Pole tekstow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 cy="355600"/>
                        </a:xfrm>
                        <a:prstGeom prst="rect">
                          <a:avLst/>
                        </a:prstGeom>
                        <a:noFill/>
                        <a:ln w="6350">
                          <a:noFill/>
                        </a:ln>
                      </wps:spPr>
                      <wps:txbx>
                        <w:txbxContent>
                          <w:p w14:paraId="6C8C5F7B" w14:textId="77777777" w:rsidR="00D41923" w:rsidRDefault="00D41923" w:rsidP="00B83214">
                            <w:r>
                              <w:t>b.d.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55F8DB" id="_x0000_t202" coordsize="21600,21600" o:spt="202" path="m,l,21600r21600,l21600,xe">
                <v:stroke joinstyle="miter"/>
                <v:path gradientshapeok="t" o:connecttype="rect"/>
              </v:shapetype>
              <v:shape id="Pole tekstowe 4" o:spid="_x0000_s1026" type="#_x0000_t202" style="position:absolute;left:0;text-align:left;margin-left:100.95pt;margin-top:189.25pt;width:32.5pt;height:2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" filled="f" stroked="f" strokeweight=".5pt">
                <v:textbox>
                  <w:txbxContent>
                    <w:p w14:paraId="6C8C5F7B" w14:textId="77777777" w:rsidR="00D41923" w:rsidRDefault="00D41923" w:rsidP="00B83214">
                      <w:r>
                        <w:t>b.d.</w:t>
                      </w:r>
                    </w:p>
                  </w:txbxContent>
                </v:textbox>
              </v:shape>
            </w:pict>
          </mc:Fallback>
        </mc:AlternateContent>
      </w:r>
      <w:r w:rsidRPr="00094D9D">
        <w:rPr>
          <w:noProof/>
          <w:sz w:val="22"/>
          <w:lang w:eastAsia="pl-PL"/>
        </w:rPr>
        <w:drawing>
          <wp:inline distT="0" distB="0" distL="0" distR="0" wp14:anchorId="34232372" wp14:editId="43139B04">
            <wp:extent cx="4468483" cy="2776771"/>
            <wp:effectExtent l="0" t="0" r="8890" b="5080"/>
            <wp:docPr id="3" name="Wykres 3">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BA6A59B" w14:textId="77777777" w:rsidR="00B83214" w:rsidRPr="00094D9D" w:rsidRDefault="00B83214" w:rsidP="00B83214">
      <w:pPr>
        <w:pStyle w:val="Podpispodrysunkiem"/>
      </w:pPr>
      <w:bookmarkStart w:id="109" w:name="_Ref96947342"/>
      <w:bookmarkStart w:id="110" w:name="_Toc97537963"/>
      <w:bookmarkStart w:id="111" w:name="_Toc97999641"/>
      <w:bookmarkStart w:id="112" w:name="_Toc104790108"/>
      <w:r w:rsidRPr="00094D9D">
        <w:t xml:space="preserve">Rysunek </w:t>
      </w:r>
      <w:r>
        <w:fldChar w:fldCharType="begin"/>
      </w:r>
      <w:r>
        <w:instrText>SEQ Rysunek \* ARABIC</w:instrText>
      </w:r>
      <w:r>
        <w:fldChar w:fldCharType="separate"/>
      </w:r>
      <w:r w:rsidR="002B5007">
        <w:rPr>
          <w:noProof/>
        </w:rPr>
        <w:t>6</w:t>
      </w:r>
      <w:r>
        <w:fldChar w:fldCharType="end"/>
      </w:r>
      <w:bookmarkEnd w:id="109"/>
      <w:r w:rsidRPr="00094D9D">
        <w:t xml:space="preserve"> Nakłady na działalność badawczą i rozwojową w województwie </w:t>
      </w:r>
      <w:bookmarkEnd w:id="110"/>
      <w:bookmarkEnd w:id="111"/>
      <w:r w:rsidRPr="00094D9D">
        <w:t>zachodniopomorskim</w:t>
      </w:r>
      <w:bookmarkEnd w:id="112"/>
    </w:p>
    <w:p w14:paraId="332BFABC" w14:textId="77777777" w:rsidR="00B83214" w:rsidRPr="00094D9D" w:rsidRDefault="00B83214" w:rsidP="00B83214">
      <w:pPr>
        <w:pStyle w:val="rdo"/>
      </w:pPr>
      <w:r w:rsidRPr="00094D9D">
        <w:t>Źródło: Opracowanie własne na podstawie Rocznik statystyczny województwa zachodniopomorskiego</w:t>
      </w:r>
      <w:r>
        <w:t xml:space="preserve"> </w:t>
      </w:r>
      <w:r w:rsidRPr="00094D9D">
        <w:t>2021. Urząd Statystyczny w Szczecinie, Szczecin</w:t>
      </w:r>
      <w:r>
        <w:t>,</w:t>
      </w:r>
      <w:r w:rsidRPr="00094D9D">
        <w:t xml:space="preserve"> 2021</w:t>
      </w:r>
    </w:p>
    <w:p w14:paraId="393EC674" w14:textId="77777777" w:rsidR="00B83214" w:rsidRPr="00DB390A" w:rsidRDefault="00B83214" w:rsidP="00B83214">
      <w:pPr>
        <w:rPr>
          <w:szCs w:val="24"/>
        </w:rPr>
      </w:pPr>
      <w:r w:rsidRPr="00094D9D">
        <w:rPr>
          <w:szCs w:val="24"/>
        </w:rPr>
        <w:t>Nakłady na działalność badawczą i rozwojową w przemyśle w 2020 r. w województwie zachodniopomorskim wyniosły 85,3 mln PLN, co stanowi o 45,5 mln PLN mniej niż w roku 2019.</w:t>
      </w:r>
      <w:r w:rsidRPr="00094D9D">
        <w:rPr>
          <w:szCs w:val="24"/>
          <w:vertAlign w:val="superscript"/>
        </w:rPr>
        <w:footnoteReference w:id="103"/>
      </w:r>
      <w:r w:rsidRPr="00094D9D">
        <w:rPr>
          <w:szCs w:val="24"/>
        </w:rPr>
        <w:t xml:space="preserve"> Zgodnie z danymi GUS w 2020 r. zgłoszono 132 wynalazki, natomiast liczba udzielonych patentów wyniosła 107 w odnies</w:t>
      </w:r>
      <w:r>
        <w:rPr>
          <w:szCs w:val="24"/>
        </w:rPr>
        <w:t>ieniu do 2 260 w kraju (4,73%).</w:t>
      </w:r>
    </w:p>
    <w:p w14:paraId="385026E9" w14:textId="77777777" w:rsidR="00B83214" w:rsidRPr="00B83214" w:rsidRDefault="00B83214" w:rsidP="00B83214">
      <w:pPr>
        <w:pStyle w:val="Nagwek1"/>
        <w:numPr>
          <w:ilvl w:val="0"/>
          <w:numId w:val="61"/>
        </w:numPr>
        <w:rPr>
          <w:sz w:val="24"/>
          <w:szCs w:val="20"/>
        </w:rPr>
      </w:pPr>
      <w:bookmarkStart w:id="113" w:name="_Toc104790655"/>
      <w:r w:rsidRPr="00B83214">
        <w:rPr>
          <w:sz w:val="24"/>
          <w:szCs w:val="20"/>
        </w:rPr>
        <w:t>WODY</w:t>
      </w:r>
      <w:bookmarkEnd w:id="113"/>
    </w:p>
    <w:p w14:paraId="75F17928" w14:textId="77777777" w:rsidR="00B83214" w:rsidRPr="00B83214" w:rsidRDefault="00B83214" w:rsidP="00B83214">
      <w:pPr>
        <w:pStyle w:val="Nagwek1"/>
        <w:numPr>
          <w:ilvl w:val="1"/>
          <w:numId w:val="61"/>
        </w:numPr>
        <w:rPr>
          <w:sz w:val="24"/>
          <w:szCs w:val="20"/>
        </w:rPr>
      </w:pPr>
      <w:bookmarkStart w:id="114" w:name="_Toc104790656"/>
      <w:r w:rsidRPr="00B83214">
        <w:rPr>
          <w:sz w:val="24"/>
          <w:szCs w:val="20"/>
        </w:rPr>
        <w:t>ZASOBY I JAKOŚĆ WÓD</w:t>
      </w:r>
      <w:bookmarkEnd w:id="114"/>
    </w:p>
    <w:p w14:paraId="4BC1DC6E" w14:textId="77777777" w:rsidR="00B83214" w:rsidRPr="006A6CE2" w:rsidRDefault="00B83214" w:rsidP="00B83214">
      <w:pPr>
        <w:rPr>
          <w:szCs w:val="24"/>
        </w:rPr>
      </w:pPr>
      <w:r w:rsidRPr="006A6CE2">
        <w:rPr>
          <w:szCs w:val="24"/>
        </w:rPr>
        <w:t>Województwo zachodniopomorskie położone jest w obszarze dorzecza Odry. Zgodnie z obowiązującymi do 31.12.2017 r. zapisami Ustawy z dnia 18 lipca 2001 r. Prawo wodne (Dz. U. z 2017 r. poz. 1121), znajdujące się na terytorium Polski dorzecze Ücker (Wkry) stanowiło osobną jednostkę, tj. obszar dorzecza Ücker</w:t>
      </w:r>
      <w:r w:rsidRPr="006A6CE2">
        <w:rPr>
          <w:szCs w:val="24"/>
          <w:vertAlign w:val="superscript"/>
        </w:rPr>
        <w:footnoteReference w:id="104"/>
      </w:r>
      <w:r w:rsidRPr="006A6CE2">
        <w:rPr>
          <w:szCs w:val="24"/>
        </w:rPr>
        <w:t>.</w:t>
      </w:r>
    </w:p>
    <w:p w14:paraId="67324D30" w14:textId="363F456D" w:rsidR="00B83214" w:rsidRPr="006A6CE2" w:rsidRDefault="00B83214" w:rsidP="00B83214">
      <w:pPr>
        <w:rPr>
          <w:szCs w:val="24"/>
        </w:rPr>
      </w:pPr>
      <w:r w:rsidRPr="006A6CE2">
        <w:rPr>
          <w:szCs w:val="24"/>
        </w:rPr>
        <w:t>Województwo zachodniopomorskie obejmuje łącznie swym zasięgiem trzy regiony wodne (</w:t>
      </w:r>
      <w:r w:rsidRPr="006A6CE2">
        <w:rPr>
          <w:szCs w:val="24"/>
        </w:rPr>
        <w:fldChar w:fldCharType="begin"/>
      </w:r>
      <w:r w:rsidRPr="006A6CE2">
        <w:rPr>
          <w:szCs w:val="24"/>
        </w:rPr>
        <w:instrText xml:space="preserve"> REF _Ref102740617 \h </w:instrText>
      </w:r>
      <w:r w:rsidRPr="006A6CE2">
        <w:rPr>
          <w:szCs w:val="24"/>
        </w:rPr>
      </w:r>
      <w:r w:rsidRPr="006A6CE2">
        <w:rPr>
          <w:szCs w:val="24"/>
        </w:rPr>
        <w:fldChar w:fldCharType="separate"/>
      </w:r>
      <w:r w:rsidR="002B5007" w:rsidRPr="006A6CE2">
        <w:t xml:space="preserve">Rysunek </w:t>
      </w:r>
      <w:r w:rsidR="002B5007">
        <w:rPr>
          <w:noProof/>
        </w:rPr>
        <w:t>7</w:t>
      </w:r>
      <w:r w:rsidRPr="006A6CE2">
        <w:rPr>
          <w:szCs w:val="24"/>
        </w:rPr>
        <w:fldChar w:fldCharType="end"/>
      </w:r>
      <w:r w:rsidRPr="006A6CE2">
        <w:rPr>
          <w:szCs w:val="24"/>
        </w:rPr>
        <w:t>).</w:t>
      </w:r>
      <w:r>
        <w:rPr>
          <w:szCs w:val="24"/>
        </w:rPr>
        <w:t xml:space="preserve"> </w:t>
      </w:r>
      <w:r w:rsidRPr="006A6CE2">
        <w:rPr>
          <w:szCs w:val="24"/>
        </w:rPr>
        <w:t>Największy region: Dolnej Odry i Przymorza Zachodniego, zajmuje około 77% powierzchni województwa. Region Warty zajmuje około 23% powierzchni województwa, natomiast region wodny Ücker stanowi około 8 km</w:t>
      </w:r>
      <w:r w:rsidRPr="006A6CE2">
        <w:rPr>
          <w:szCs w:val="24"/>
          <w:vertAlign w:val="superscript"/>
        </w:rPr>
        <w:t>2</w:t>
      </w:r>
      <w:r w:rsidRPr="006A6CE2">
        <w:rPr>
          <w:szCs w:val="24"/>
        </w:rPr>
        <w:t xml:space="preserve"> </w:t>
      </w:r>
      <w:r w:rsidR="00616EFA">
        <w:rPr>
          <w:szCs w:val="24"/>
        </w:rPr>
        <w:t xml:space="preserve">(około 0,03%) </w:t>
      </w:r>
      <w:r w:rsidRPr="006A6CE2">
        <w:rPr>
          <w:szCs w:val="24"/>
        </w:rPr>
        <w:t>powierzchni zachodniopomorskiego.</w:t>
      </w:r>
    </w:p>
    <w:p w14:paraId="0FC8137D" w14:textId="77777777" w:rsidR="00B83214" w:rsidRPr="006A6CE2" w:rsidRDefault="00B83214" w:rsidP="00B83214">
      <w:pPr>
        <w:rPr>
          <w:szCs w:val="24"/>
        </w:rPr>
      </w:pPr>
      <w:r w:rsidRPr="006A6CE2">
        <w:rPr>
          <w:szCs w:val="24"/>
        </w:rPr>
        <w:t>Obszar dorzecza Odry obejmuje także dorzecza Regi, Parsęty, Wieprzy oraz pozostałych rzek uchodzących bezpośrednio do Morza Bałtyckiego, na zachód od ujścia Słupi, a także wpadających do Zalewu Szczecińskiego</w:t>
      </w:r>
      <w:r w:rsidRPr="006A6CE2">
        <w:rPr>
          <w:szCs w:val="24"/>
          <w:vertAlign w:val="superscript"/>
        </w:rPr>
        <w:footnoteReference w:id="105"/>
      </w:r>
      <w:r w:rsidRPr="006A6CE2">
        <w:rPr>
          <w:szCs w:val="24"/>
        </w:rPr>
        <w:t>.</w:t>
      </w:r>
      <w:r>
        <w:rPr>
          <w:szCs w:val="24"/>
        </w:rPr>
        <w:t xml:space="preserve"> </w:t>
      </w:r>
      <w:r w:rsidRPr="006A6CE2">
        <w:rPr>
          <w:szCs w:val="24"/>
        </w:rPr>
        <w:t>Wody powierzchniowe zajmują około 5,2% obszaru województwa. Na terenie województwa zachodniopomorskiego znajdują się znaczne zasoby wód powierzchniowych: dolny odcinek rzeki Odry wraz z dopływami, rzeki Przymorza, Zalew Szczeciński, Zatoka Pomorska oraz około 1 650 jezior o powierzchni powyżej 1 ha. Zasoby wód województwa tworzą wody gruntowe, bogata sieć rzeczna, jeziora oraz Zalew Szczeciński. </w:t>
      </w:r>
    </w:p>
    <w:p w14:paraId="09A06F37" w14:textId="77777777" w:rsidR="00B83214" w:rsidRPr="006A6CE2" w:rsidRDefault="00B83214" w:rsidP="00B83214">
      <w:pPr>
        <w:rPr>
          <w:szCs w:val="24"/>
        </w:rPr>
      </w:pPr>
      <w:r w:rsidRPr="006A6CE2">
        <w:rPr>
          <w:szCs w:val="24"/>
        </w:rPr>
        <w:t>Najistotniejszym elementem morskich wód wewnętrznych w obrębie województwa zachodniopomorskiego jest polska część Zalewu Szczecińskiego (Zalew Wielki) o powierzchni 384 km</w:t>
      </w:r>
      <w:r w:rsidRPr="006A6CE2">
        <w:rPr>
          <w:szCs w:val="24"/>
          <w:vertAlign w:val="superscript"/>
        </w:rPr>
        <w:t>2</w:t>
      </w:r>
      <w:r w:rsidRPr="006A6CE2">
        <w:rPr>
          <w:szCs w:val="24"/>
        </w:rPr>
        <w:t xml:space="preserve"> i średniej głębokości 3,8m </w:t>
      </w:r>
      <w:r w:rsidRPr="006A6CE2">
        <w:rPr>
          <w:szCs w:val="24"/>
          <w:vertAlign w:val="superscript"/>
        </w:rPr>
        <w:footnoteReference w:id="106"/>
      </w:r>
      <w:r w:rsidRPr="006A6CE2">
        <w:rPr>
          <w:szCs w:val="24"/>
        </w:rPr>
        <w:t>. Zalew Szczeciński spełnia funkcję zbiornika buforowego, który chroni wody Zatoki Pomorskiej przed wpływem zanieczyszczeń dopływających ze zlewni Odry.</w:t>
      </w:r>
    </w:p>
    <w:p w14:paraId="6AD74B6C" w14:textId="77777777" w:rsidR="00B83214" w:rsidRPr="006A6CE2" w:rsidRDefault="00B83214" w:rsidP="00B83214">
      <w:pPr>
        <w:spacing w:line="276" w:lineRule="auto"/>
        <w:jc w:val="center"/>
        <w:rPr>
          <w:sz w:val="22"/>
        </w:rPr>
      </w:pPr>
      <w:r w:rsidRPr="006A6CE2">
        <w:rPr>
          <w:noProof/>
          <w:sz w:val="22"/>
          <w:lang w:eastAsia="pl-PL"/>
        </w:rPr>
        <w:drawing>
          <wp:inline distT="0" distB="0" distL="0" distR="0" wp14:anchorId="622EB0AF" wp14:editId="343D0750">
            <wp:extent cx="4351999" cy="6174459"/>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54977" cy="6178684"/>
                    </a:xfrm>
                    <a:prstGeom prst="rect">
                      <a:avLst/>
                    </a:prstGeom>
                  </pic:spPr>
                </pic:pic>
              </a:graphicData>
            </a:graphic>
          </wp:inline>
        </w:drawing>
      </w:r>
    </w:p>
    <w:p w14:paraId="60756226" w14:textId="77777777" w:rsidR="00B83214" w:rsidRPr="006A6CE2" w:rsidRDefault="00B83214" w:rsidP="00B83214">
      <w:pPr>
        <w:pStyle w:val="Podpispodrysunkiem"/>
      </w:pPr>
      <w:bookmarkStart w:id="115" w:name="_Ref102740617"/>
      <w:bookmarkStart w:id="116" w:name="_Toc102741387"/>
      <w:bookmarkStart w:id="117" w:name="_Toc104790109"/>
      <w:r w:rsidRPr="006A6CE2">
        <w:t xml:space="preserve">Rysunek </w:t>
      </w:r>
      <w:r>
        <w:fldChar w:fldCharType="begin"/>
      </w:r>
      <w:r>
        <w:instrText>SEQ Rysunek \* ARABIC</w:instrText>
      </w:r>
      <w:r>
        <w:fldChar w:fldCharType="separate"/>
      </w:r>
      <w:r w:rsidR="002B5007">
        <w:rPr>
          <w:noProof/>
        </w:rPr>
        <w:t>7</w:t>
      </w:r>
      <w:r>
        <w:fldChar w:fldCharType="end"/>
      </w:r>
      <w:bookmarkEnd w:id="115"/>
      <w:r w:rsidRPr="006A6CE2">
        <w:t xml:space="preserve"> Hydrografia województwa zachodniopomorskiego</w:t>
      </w:r>
      <w:bookmarkEnd w:id="116"/>
      <w:bookmarkEnd w:id="117"/>
    </w:p>
    <w:p w14:paraId="124325A6" w14:textId="77777777" w:rsidR="00B83214" w:rsidRPr="006A6CE2" w:rsidRDefault="00B83214" w:rsidP="00B83214">
      <w:pPr>
        <w:spacing w:line="276" w:lineRule="auto"/>
        <w:jc w:val="both"/>
        <w:rPr>
          <w:szCs w:val="24"/>
        </w:rPr>
      </w:pPr>
      <w:r w:rsidRPr="006A6CE2">
        <w:rPr>
          <w:szCs w:val="24"/>
        </w:rPr>
        <w:t xml:space="preserve">Źródło: Mapa hydrograficzna Polski </w:t>
      </w:r>
    </w:p>
    <w:p w14:paraId="3507FC9D" w14:textId="77777777" w:rsidR="00B83214" w:rsidRPr="006A6CE2" w:rsidRDefault="00B83214" w:rsidP="00B83214">
      <w:pPr>
        <w:rPr>
          <w:rFonts w:cstheme="minorHAnsi"/>
          <w:szCs w:val="24"/>
        </w:rPr>
      </w:pPr>
      <w:r w:rsidRPr="006A6CE2">
        <w:rPr>
          <w:szCs w:val="24"/>
        </w:rPr>
        <w:t>Północna granica województwa zachodniopomorskiego na długości 184,9 km ograniczona jest wodami Zatoki Pomorskiej (o średniej głębokości 13m), będącej częścią akwenu Morza Bałtyckiego.</w:t>
      </w:r>
      <w:r>
        <w:rPr>
          <w:szCs w:val="24"/>
        </w:rPr>
        <w:t xml:space="preserve"> </w:t>
      </w:r>
      <w:r w:rsidRPr="006A6CE2">
        <w:rPr>
          <w:szCs w:val="24"/>
        </w:rPr>
        <w:t xml:space="preserve">Zgodnie z Ustawą z dnia 21 marca 1991 r. o obszarach morskich </w:t>
      </w:r>
      <w:r w:rsidRPr="006A6CE2">
        <w:rPr>
          <w:rFonts w:cstheme="minorHAnsi"/>
          <w:szCs w:val="24"/>
        </w:rPr>
        <w:t>Rzeczypospolitej Polskiej i administracji morskiej (t.j. Dz.U. 2022 poz. 457), do polskich obszarów morskich zalicza się: morskie wody wewnętrzne, morze terytorialne, strefę przyległą oraz wyłączoną strefę ekonomiczną. Morze terytorialne to obszar wód morskich o szerokości 12 mil morskich liczonych od linii podstawowej morza.</w:t>
      </w:r>
      <w:r>
        <w:rPr>
          <w:rFonts w:cstheme="minorHAnsi"/>
          <w:szCs w:val="24"/>
        </w:rPr>
        <w:t xml:space="preserve"> </w:t>
      </w:r>
      <w:r w:rsidRPr="006A6CE2">
        <w:rPr>
          <w:rFonts w:cstheme="minorHAnsi"/>
          <w:szCs w:val="24"/>
          <w:shd w:val="clear" w:color="auto" w:fill="FFFFFF"/>
        </w:rPr>
        <w:t>Morze terytorialne wchodzi w skład terytorium Rzeczypospolitej Polskiej.</w:t>
      </w:r>
      <w:r w:rsidRPr="006A6CE2">
        <w:rPr>
          <w:rFonts w:cstheme="minorHAnsi"/>
          <w:szCs w:val="24"/>
        </w:rPr>
        <w:t xml:space="preserve"> Wyłączna strefa ekonomiczna leży na zewnątrz morza terytorialnego. Morskie wody wewnętrzne, które na Pomorzu Zachodnim znajdują się w całości w granicach województwa, obejmują m.in. polskie części Jeziora Nowowarpieńskiego i Zalewu Szczecińskiego wraz ze Świną i Dziwną oraz Zalewem Kamieńskim, oraz rzekę Odrę pomiędzy Zalewem Szczecińskim a wodami portu Szczecin</w:t>
      </w:r>
      <w:r w:rsidRPr="006A6CE2">
        <w:rPr>
          <w:rFonts w:cstheme="minorHAnsi"/>
          <w:szCs w:val="24"/>
          <w:vertAlign w:val="superscript"/>
        </w:rPr>
        <w:footnoteReference w:id="107"/>
      </w:r>
      <w:r w:rsidRPr="006A6CE2">
        <w:rPr>
          <w:rFonts w:cstheme="minorHAnsi"/>
          <w:szCs w:val="24"/>
          <w:vertAlign w:val="superscript"/>
        </w:rPr>
        <w:t>,</w:t>
      </w:r>
      <w:r w:rsidRPr="006A6CE2">
        <w:rPr>
          <w:rFonts w:cstheme="minorHAnsi"/>
          <w:szCs w:val="24"/>
          <w:vertAlign w:val="superscript"/>
        </w:rPr>
        <w:footnoteReference w:id="108"/>
      </w:r>
      <w:r w:rsidRPr="006A6CE2">
        <w:rPr>
          <w:rFonts w:cstheme="minorHAnsi"/>
          <w:szCs w:val="24"/>
        </w:rPr>
        <w:t>.</w:t>
      </w:r>
    </w:p>
    <w:p w14:paraId="0E72EC6E" w14:textId="77777777" w:rsidR="00B83214" w:rsidRPr="006A6CE2" w:rsidRDefault="00B83214" w:rsidP="00B83214">
      <w:pPr>
        <w:rPr>
          <w:szCs w:val="24"/>
        </w:rPr>
      </w:pPr>
      <w:r w:rsidRPr="006A6CE2">
        <w:rPr>
          <w:szCs w:val="24"/>
        </w:rPr>
        <w:t>W granicach województwa zachodniopomorskiego znajduje się około 30,2 tys. km cieków. Największą długością sieci rzecznej charakteryzują się zlewnie Parsęty (4,1 tys. km) i Regi (4,0 tys. km). Średnia gęstość sieci rzecznej wynosi 1,32 km/km</w:t>
      </w:r>
      <w:r w:rsidRPr="006A6CE2">
        <w:rPr>
          <w:szCs w:val="24"/>
          <w:vertAlign w:val="superscript"/>
        </w:rPr>
        <w:t>2</w:t>
      </w:r>
      <w:r w:rsidRPr="006A6CE2">
        <w:rPr>
          <w:szCs w:val="24"/>
        </w:rPr>
        <w:t>. Największa gęstość sieci rzecznej charakteryzuje zlewnię Przymorza Dziwny-Regi (2,85 km/km</w:t>
      </w:r>
      <w:r w:rsidRPr="006A6CE2">
        <w:rPr>
          <w:szCs w:val="24"/>
          <w:vertAlign w:val="superscript"/>
        </w:rPr>
        <w:t>2</w:t>
      </w:r>
      <w:r w:rsidRPr="006A6CE2">
        <w:rPr>
          <w:szCs w:val="24"/>
        </w:rPr>
        <w:t>) oraz zlewni Świńca (2,78 km/km</w:t>
      </w:r>
      <w:r w:rsidRPr="006A6CE2">
        <w:rPr>
          <w:szCs w:val="24"/>
          <w:vertAlign w:val="superscript"/>
        </w:rPr>
        <w:t>2</w:t>
      </w:r>
      <w:r w:rsidRPr="006A6CE2">
        <w:rPr>
          <w:szCs w:val="24"/>
        </w:rPr>
        <w:t>).</w:t>
      </w:r>
    </w:p>
    <w:p w14:paraId="69E4DFD2" w14:textId="0E8CE5B0" w:rsidR="00B83214" w:rsidRPr="006A6CE2" w:rsidRDefault="00B83214" w:rsidP="00B83214">
      <w:pPr>
        <w:rPr>
          <w:szCs w:val="24"/>
        </w:rPr>
      </w:pPr>
      <w:r w:rsidRPr="006A6CE2">
        <w:rPr>
          <w:szCs w:val="24"/>
        </w:rPr>
        <w:t>Poniżej (</w:t>
      </w:r>
      <w:r w:rsidRPr="006A6CE2">
        <w:rPr>
          <w:szCs w:val="24"/>
        </w:rPr>
        <w:fldChar w:fldCharType="begin"/>
      </w:r>
      <w:r w:rsidRPr="006A6CE2">
        <w:rPr>
          <w:szCs w:val="24"/>
        </w:rPr>
        <w:instrText xml:space="preserve"> REF _Ref102318263 \h  \* MERGEFORMAT </w:instrText>
      </w:r>
      <w:r w:rsidRPr="006A6CE2">
        <w:rPr>
          <w:szCs w:val="24"/>
        </w:rPr>
      </w:r>
      <w:r w:rsidRPr="006A6CE2">
        <w:rPr>
          <w:szCs w:val="24"/>
        </w:rPr>
        <w:fldChar w:fldCharType="separate"/>
      </w:r>
      <w:r w:rsidR="002B5007" w:rsidRPr="002B5007">
        <w:rPr>
          <w:szCs w:val="24"/>
        </w:rPr>
        <w:t xml:space="preserve">Tabela </w:t>
      </w:r>
      <w:r w:rsidR="002B5007" w:rsidRPr="002B5007">
        <w:rPr>
          <w:noProof/>
          <w:szCs w:val="24"/>
        </w:rPr>
        <w:t>4</w:t>
      </w:r>
      <w:r w:rsidRPr="006A6CE2">
        <w:rPr>
          <w:szCs w:val="24"/>
        </w:rPr>
        <w:fldChar w:fldCharType="end"/>
      </w:r>
      <w:r w:rsidRPr="006A6CE2">
        <w:rPr>
          <w:szCs w:val="24"/>
        </w:rPr>
        <w:t>) przedstawiono rzeki płynące w wojew</w:t>
      </w:r>
      <w:r w:rsidRPr="006A6CE2">
        <w:rPr>
          <w:rFonts w:hint="eastAsia"/>
          <w:szCs w:val="24"/>
        </w:rPr>
        <w:t>ó</w:t>
      </w:r>
      <w:r w:rsidRPr="006A6CE2">
        <w:rPr>
          <w:szCs w:val="24"/>
        </w:rPr>
        <w:t>dztwie zachodniopomorskim o powierzchni zlewni powy</w:t>
      </w:r>
      <w:r w:rsidRPr="006A6CE2">
        <w:rPr>
          <w:rFonts w:hint="eastAsia"/>
          <w:szCs w:val="24"/>
        </w:rPr>
        <w:t>ż</w:t>
      </w:r>
      <w:r w:rsidRPr="006A6CE2">
        <w:rPr>
          <w:szCs w:val="24"/>
        </w:rPr>
        <w:t>ej 100 km</w:t>
      </w:r>
      <w:r w:rsidRPr="006A6CE2">
        <w:rPr>
          <w:szCs w:val="24"/>
          <w:vertAlign w:val="superscript"/>
        </w:rPr>
        <w:t>2</w:t>
      </w:r>
      <w:r w:rsidRPr="006A6CE2">
        <w:rPr>
          <w:szCs w:val="24"/>
        </w:rPr>
        <w:t>.</w:t>
      </w:r>
    </w:p>
    <w:p w14:paraId="0C6B6D69" w14:textId="77777777" w:rsidR="00B83214" w:rsidRPr="006A6CE2" w:rsidRDefault="00B83214" w:rsidP="00B83214">
      <w:pPr>
        <w:pStyle w:val="Podpispodrysunkiem"/>
      </w:pPr>
      <w:bookmarkStart w:id="118" w:name="_Ref102318263"/>
      <w:bookmarkStart w:id="119" w:name="_Toc102741398"/>
      <w:bookmarkStart w:id="120" w:name="_Toc104790074"/>
      <w:r w:rsidRPr="006A6CE2">
        <w:t xml:space="preserve">Tabela </w:t>
      </w:r>
      <w:r>
        <w:fldChar w:fldCharType="begin"/>
      </w:r>
      <w:r>
        <w:instrText>SEQ Tabela \* ARABIC</w:instrText>
      </w:r>
      <w:r>
        <w:fldChar w:fldCharType="separate"/>
      </w:r>
      <w:r w:rsidR="002B5007">
        <w:rPr>
          <w:noProof/>
        </w:rPr>
        <w:t>4</w:t>
      </w:r>
      <w:r>
        <w:fldChar w:fldCharType="end"/>
      </w:r>
      <w:bookmarkEnd w:id="118"/>
      <w:r w:rsidRPr="006A6CE2">
        <w:t xml:space="preserve"> Większe rzeki płynące w granicach województwa zachodniopomorskiego</w:t>
      </w:r>
      <w:bookmarkEnd w:id="119"/>
      <w:bookmarkEnd w:id="120"/>
    </w:p>
    <w:tbl>
      <w:tblPr>
        <w:tblStyle w:val="Tabelasiatki1jasnaakcent11"/>
        <w:tblW w:w="9288" w:type="dxa"/>
        <w:jc w:val="center"/>
        <w:tblLook w:val="04A0" w:firstRow="1" w:lastRow="0" w:firstColumn="1" w:lastColumn="0" w:noHBand="0" w:noVBand="1"/>
      </w:tblPr>
      <w:tblGrid>
        <w:gridCol w:w="2411"/>
        <w:gridCol w:w="2657"/>
        <w:gridCol w:w="2110"/>
        <w:gridCol w:w="2110"/>
      </w:tblGrid>
      <w:tr w:rsidR="00B83214" w:rsidRPr="006A6CE2" w14:paraId="63E15A83" w14:textId="77777777" w:rsidTr="00B8321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411" w:type="dxa"/>
            <w:vMerge w:val="restart"/>
            <w:tcBorders>
              <w:top w:val="single" w:sz="4" w:space="0" w:color="B7DFA8" w:themeColor="accent1" w:themeTint="66"/>
              <w:left w:val="single" w:sz="4" w:space="0" w:color="B7DFA8" w:themeColor="accent1" w:themeTint="66"/>
              <w:right w:val="single" w:sz="4" w:space="0" w:color="B7DFA8" w:themeColor="accent1" w:themeTint="66"/>
            </w:tcBorders>
            <w:noWrap/>
            <w:vAlign w:val="center"/>
            <w:hideMark/>
          </w:tcPr>
          <w:p w14:paraId="1050FAC3" w14:textId="77777777" w:rsidR="00B83214" w:rsidRPr="006A6CE2" w:rsidRDefault="00B83214" w:rsidP="00B83214">
            <w:pPr>
              <w:spacing w:before="0"/>
              <w:rPr>
                <w:rFonts w:ascii="Calibri" w:eastAsia="Times New Roman" w:hAnsi="Calibri" w:cs="Calibri"/>
                <w:b w:val="0"/>
                <w:bCs w:val="0"/>
                <w:color w:val="000000"/>
                <w:szCs w:val="24"/>
                <w:lang w:eastAsia="pl-PL"/>
              </w:rPr>
            </w:pPr>
            <w:r w:rsidRPr="006A6CE2">
              <w:rPr>
                <w:rFonts w:ascii="Calibri" w:eastAsia="Times New Roman" w:hAnsi="Calibri" w:cs="Calibri"/>
                <w:color w:val="000000"/>
                <w:szCs w:val="24"/>
                <w:lang w:eastAsia="pl-PL"/>
              </w:rPr>
              <w:t>Nazwa</w:t>
            </w:r>
          </w:p>
          <w:p w14:paraId="0DB0C55D" w14:textId="77777777" w:rsidR="00B83214" w:rsidRPr="006A6CE2" w:rsidRDefault="00B83214" w:rsidP="00B83214">
            <w:pPr>
              <w:spacing w:before="0"/>
              <w:rPr>
                <w:rFonts w:ascii="Calibri" w:eastAsia="Times New Roman" w:hAnsi="Calibri" w:cs="Calibri"/>
                <w:color w:val="000000"/>
                <w:szCs w:val="24"/>
                <w:lang w:eastAsia="pl-PL"/>
              </w:rPr>
            </w:pPr>
          </w:p>
        </w:tc>
        <w:tc>
          <w:tcPr>
            <w:tcW w:w="2657"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hideMark/>
          </w:tcPr>
          <w:p w14:paraId="51902EF1"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Długość w granicach województwa</w:t>
            </w:r>
          </w:p>
        </w:tc>
        <w:tc>
          <w:tcPr>
            <w:tcW w:w="2110" w:type="dxa"/>
            <w:tcBorders>
              <w:top w:val="single" w:sz="4" w:space="0" w:color="B7DFA8" w:themeColor="accent1" w:themeTint="66"/>
              <w:left w:val="single" w:sz="4" w:space="0" w:color="B7DFA8" w:themeColor="accent1" w:themeTint="66"/>
              <w:right w:val="single" w:sz="4" w:space="0" w:color="B7DFA8" w:themeColor="accent1" w:themeTint="66"/>
            </w:tcBorders>
          </w:tcPr>
          <w:p w14:paraId="2365A932"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Odbiornik</w:t>
            </w:r>
          </w:p>
        </w:tc>
        <w:tc>
          <w:tcPr>
            <w:tcW w:w="2110" w:type="dxa"/>
            <w:tcBorders>
              <w:top w:val="single" w:sz="4" w:space="0" w:color="B7DFA8" w:themeColor="accent1" w:themeTint="66"/>
              <w:left w:val="single" w:sz="4" w:space="0" w:color="B7DFA8" w:themeColor="accent1" w:themeTint="66"/>
              <w:right w:val="single" w:sz="4" w:space="0" w:color="B7DFA8" w:themeColor="accent1" w:themeTint="66"/>
            </w:tcBorders>
          </w:tcPr>
          <w:p w14:paraId="0E18AE3F"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Powierzchnia zlewni w granicach województwa</w:t>
            </w:r>
          </w:p>
        </w:tc>
      </w:tr>
      <w:tr w:rsidR="00B83214" w:rsidRPr="006A6CE2" w14:paraId="6C5B6EEA"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vMerge/>
            <w:tcBorders>
              <w:left w:val="single" w:sz="4" w:space="0" w:color="B7DFA8" w:themeColor="accent1" w:themeTint="66"/>
              <w:right w:val="single" w:sz="4" w:space="0" w:color="B7DFA8" w:themeColor="accent1" w:themeTint="66"/>
            </w:tcBorders>
            <w:noWrap/>
            <w:vAlign w:val="center"/>
          </w:tcPr>
          <w:p w14:paraId="575A3332" w14:textId="77777777" w:rsidR="00B83214" w:rsidRPr="006A6CE2" w:rsidRDefault="00B83214" w:rsidP="00B83214">
            <w:pPr>
              <w:spacing w:before="0"/>
              <w:rPr>
                <w:rFonts w:ascii="Calibri" w:eastAsia="Times New Roman" w:hAnsi="Calibri" w:cs="Calibri"/>
                <w:b w:val="0"/>
                <w:color w:val="000000"/>
                <w:szCs w:val="24"/>
                <w:lang w:eastAsia="pl-PL"/>
              </w:rPr>
            </w:pPr>
          </w:p>
        </w:tc>
        <w:tc>
          <w:tcPr>
            <w:tcW w:w="2657"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3A6AFCA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km ]</w:t>
            </w:r>
          </w:p>
        </w:tc>
        <w:tc>
          <w:tcPr>
            <w:tcW w:w="2110" w:type="dxa"/>
            <w:tcBorders>
              <w:top w:val="single" w:sz="4" w:space="0" w:color="B7DFA8" w:themeColor="accent1" w:themeTint="66"/>
              <w:left w:val="single" w:sz="4" w:space="0" w:color="B7DFA8" w:themeColor="accent1" w:themeTint="66"/>
              <w:right w:val="single" w:sz="4" w:space="0" w:color="B7DFA8" w:themeColor="accent1" w:themeTint="66"/>
            </w:tcBorders>
          </w:tcPr>
          <w:p w14:paraId="356C47D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w:t>
            </w:r>
          </w:p>
        </w:tc>
        <w:tc>
          <w:tcPr>
            <w:tcW w:w="2110" w:type="dxa"/>
            <w:tcBorders>
              <w:top w:val="single" w:sz="4" w:space="0" w:color="B7DFA8" w:themeColor="accent1" w:themeTint="66"/>
              <w:left w:val="single" w:sz="4" w:space="0" w:color="B7DFA8" w:themeColor="accent1" w:themeTint="66"/>
              <w:right w:val="single" w:sz="4" w:space="0" w:color="B7DFA8" w:themeColor="accent1" w:themeTint="66"/>
            </w:tcBorders>
          </w:tcPr>
          <w:p w14:paraId="160C2E5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km</w:t>
            </w:r>
            <w:r w:rsidRPr="006A6CE2">
              <w:rPr>
                <w:rFonts w:ascii="Calibri" w:eastAsia="Times New Roman" w:hAnsi="Calibri" w:cs="Calibri"/>
                <w:bCs/>
                <w:color w:val="000000"/>
                <w:szCs w:val="24"/>
                <w:vertAlign w:val="superscript"/>
                <w:lang w:eastAsia="pl-PL"/>
              </w:rPr>
              <w:t>2</w:t>
            </w:r>
            <w:r w:rsidRPr="006A6CE2">
              <w:rPr>
                <w:rFonts w:ascii="Calibri" w:eastAsia="Times New Roman" w:hAnsi="Calibri" w:cs="Calibri"/>
                <w:bCs/>
                <w:color w:val="000000"/>
                <w:szCs w:val="24"/>
                <w:lang w:eastAsia="pl-PL"/>
              </w:rPr>
              <w:t xml:space="preserve"> ]</w:t>
            </w:r>
          </w:p>
        </w:tc>
      </w:tr>
      <w:tr w:rsidR="00B83214" w:rsidRPr="006A6CE2" w14:paraId="30C2A433"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ABAEBA4"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Cieśnina Dziwna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FEEA3F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30,4</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114BC6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Morze Bałtyckie</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38BAEE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1 225,2</w:t>
            </w:r>
          </w:p>
        </w:tc>
      </w:tr>
      <w:tr w:rsidR="00B83214" w:rsidRPr="006A6CE2" w14:paraId="41F1E0E4"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621F3CC"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Rega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F92A69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187,7</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80D9B4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Morze Bałtyckie</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D0B34B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2 739,4</w:t>
            </w:r>
          </w:p>
        </w:tc>
      </w:tr>
      <w:tr w:rsidR="00B83214" w:rsidRPr="006A6CE2" w14:paraId="1E2E845F"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74D5C32"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Parsęta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DD6F46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142,8</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A6B189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Morze Bałtyckie</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99A43F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3 069,3</w:t>
            </w:r>
          </w:p>
        </w:tc>
      </w:tr>
      <w:tr w:rsidR="00B83214" w:rsidRPr="006A6CE2" w14:paraId="3B690F79"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998ECFA"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Radew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AC8230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91,5</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AF5FA6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Parsęta</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993EFF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1 028,2</w:t>
            </w:r>
          </w:p>
        </w:tc>
      </w:tr>
      <w:tr w:rsidR="00B83214" w:rsidRPr="006A6CE2" w14:paraId="0CE97290"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88378D6"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Wieprza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6BF887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62,2</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CE2946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Morze Bałtyckie</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B63C0D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1 058,8</w:t>
            </w:r>
          </w:p>
        </w:tc>
      </w:tr>
      <w:tr w:rsidR="00B83214" w:rsidRPr="006A6CE2" w14:paraId="27FA5625"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2DCC737"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Grabowa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AD37F1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71,1</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EBE933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Wieprza</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0221E8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481,0</w:t>
            </w:r>
          </w:p>
        </w:tc>
      </w:tr>
      <w:tr w:rsidR="00B83214" w:rsidRPr="006A6CE2" w14:paraId="522D845A"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9C7A441"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Odra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AF5312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141,0</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B6B48F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Zalew Szczeciński</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DDBBEA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12 085,7</w:t>
            </w:r>
          </w:p>
        </w:tc>
      </w:tr>
      <w:tr w:rsidR="00B83214" w:rsidRPr="006A6CE2" w14:paraId="5A3373E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73B4451"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Myśla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7B8A62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95,8</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1CBE28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Odra</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5BDB77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1 069,5</w:t>
            </w:r>
          </w:p>
        </w:tc>
      </w:tr>
      <w:tr w:rsidR="00B83214" w:rsidRPr="006A6CE2" w14:paraId="62FF2831"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2F2F79B"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Kurzyca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E119D1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22,2</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4C48CD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Odra</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35D07C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125,7</w:t>
            </w:r>
          </w:p>
        </w:tc>
      </w:tr>
      <w:tr w:rsidR="00B83214" w:rsidRPr="006A6CE2" w14:paraId="11FD53AF"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1B5B8AA"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Słubia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37A3BE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31,1</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35A022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Odra</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F10C90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149,1</w:t>
            </w:r>
          </w:p>
        </w:tc>
      </w:tr>
      <w:tr w:rsidR="00B83214" w:rsidRPr="006A6CE2" w14:paraId="4C05A47F"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E802C41"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Rurzyca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62E7E9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45,8</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0BC7EC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Odra</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A57F95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415,7</w:t>
            </w:r>
          </w:p>
        </w:tc>
      </w:tr>
      <w:tr w:rsidR="00B83214" w:rsidRPr="006A6CE2" w14:paraId="4831D495"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F847BD3"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Tywa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88EFF6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52,2</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0E903A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Odra</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63D494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274,9</w:t>
            </w:r>
          </w:p>
        </w:tc>
      </w:tr>
      <w:tr w:rsidR="00B83214" w:rsidRPr="006A6CE2" w14:paraId="0C0EACD5"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AB52827"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Ina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2D239B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125,6</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5FCB0E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Odra</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A1BEAE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2 150,1</w:t>
            </w:r>
          </w:p>
        </w:tc>
      </w:tr>
      <w:tr w:rsidR="00B83214" w:rsidRPr="006A6CE2" w14:paraId="6C71587D"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A091ADB"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Gunica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A58153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22,4</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03351D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Odra</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BD6D9E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223,7</w:t>
            </w:r>
          </w:p>
        </w:tc>
      </w:tr>
      <w:tr w:rsidR="00B83214" w:rsidRPr="006A6CE2" w14:paraId="2B2B799C"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35CA5C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Gowienica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44F97A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51,1</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C78F66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Zalew Szczeciński</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790702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371,6</w:t>
            </w:r>
          </w:p>
        </w:tc>
      </w:tr>
      <w:tr w:rsidR="00B83214" w:rsidRPr="006A6CE2" w14:paraId="65AF7C62"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DE52FA9"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Wołczenica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C62460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52,4</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124658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Zatoka Cicha</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C57219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490,8</w:t>
            </w:r>
          </w:p>
        </w:tc>
      </w:tr>
      <w:tr w:rsidR="00B83214" w:rsidRPr="006A6CE2" w14:paraId="10F87FEC"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843B69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Płonia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8BF688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73,9</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21B234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Jezioro Dąbie</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624E88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1 129,4</w:t>
            </w:r>
          </w:p>
        </w:tc>
      </w:tr>
      <w:tr w:rsidR="00B83214" w:rsidRPr="006A6CE2" w14:paraId="36082F23"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8503928"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Gwda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8AD84C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39,0</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3CAB60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Noteć</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2B71E0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2 167,6</w:t>
            </w:r>
          </w:p>
        </w:tc>
      </w:tr>
      <w:tr w:rsidR="00B83214" w:rsidRPr="006A6CE2" w14:paraId="160B0450"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4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30532D2"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Drawa </w:t>
            </w:r>
          </w:p>
        </w:tc>
        <w:tc>
          <w:tcPr>
            <w:tcW w:w="265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97B8BB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147,4</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3ABB4D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Noteć</w:t>
            </w:r>
          </w:p>
        </w:tc>
        <w:tc>
          <w:tcPr>
            <w:tcW w:w="21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D4548E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2 607,4</w:t>
            </w:r>
          </w:p>
        </w:tc>
      </w:tr>
    </w:tbl>
    <w:p w14:paraId="3FB139AB" w14:textId="77777777" w:rsidR="00B83214" w:rsidRPr="006A6CE2" w:rsidRDefault="00B83214" w:rsidP="00B83214">
      <w:pPr>
        <w:pStyle w:val="rdo"/>
      </w:pPr>
      <w:r w:rsidRPr="006A6CE2">
        <w:t>Źródło: Rocznik Statystyczny Województwa Zachodniopomorskiego 2019; RZGW w Szczecinie i Poznaniu</w:t>
      </w:r>
    </w:p>
    <w:p w14:paraId="0CFE2F57" w14:textId="11AC09DD" w:rsidR="00B83214" w:rsidRPr="006A6CE2" w:rsidRDefault="00B83214" w:rsidP="00B83214">
      <w:pPr>
        <w:rPr>
          <w:rFonts w:cs="Times New Roman"/>
          <w:szCs w:val="24"/>
        </w:rPr>
      </w:pPr>
      <w:r w:rsidRPr="006A6CE2">
        <w:rPr>
          <w:rFonts w:cs="Times New Roman"/>
          <w:szCs w:val="24"/>
        </w:rPr>
        <w:t>Rzeki płynące przez teren województwa zachodniopomorskiego mają urozmaicony charakter. Poniżej (</w:t>
      </w:r>
      <w:r w:rsidRPr="006A6CE2">
        <w:rPr>
          <w:rFonts w:cs="Times New Roman"/>
          <w:szCs w:val="24"/>
        </w:rPr>
        <w:fldChar w:fldCharType="begin"/>
      </w:r>
      <w:r w:rsidRPr="006A6CE2">
        <w:rPr>
          <w:rFonts w:cs="Times New Roman"/>
          <w:szCs w:val="24"/>
        </w:rPr>
        <w:instrText xml:space="preserve"> REF _Ref102305147 \h  \* MERGEFORMAT </w:instrText>
      </w:r>
      <w:r w:rsidRPr="006A6CE2">
        <w:rPr>
          <w:rFonts w:cs="Times New Roman"/>
          <w:szCs w:val="24"/>
        </w:rPr>
      </w:r>
      <w:r w:rsidRPr="006A6CE2">
        <w:rPr>
          <w:rFonts w:cs="Times New Roman"/>
          <w:szCs w:val="24"/>
        </w:rPr>
        <w:fldChar w:fldCharType="separate"/>
      </w:r>
      <w:r w:rsidR="002B5007" w:rsidRPr="002B5007">
        <w:rPr>
          <w:szCs w:val="24"/>
        </w:rPr>
        <w:t xml:space="preserve">Tabela </w:t>
      </w:r>
      <w:r w:rsidR="002B5007" w:rsidRPr="002B5007">
        <w:rPr>
          <w:noProof/>
          <w:szCs w:val="24"/>
        </w:rPr>
        <w:t>5</w:t>
      </w:r>
      <w:r w:rsidRPr="006A6CE2">
        <w:rPr>
          <w:rFonts w:cs="Times New Roman"/>
          <w:szCs w:val="24"/>
        </w:rPr>
        <w:fldChar w:fldCharType="end"/>
      </w:r>
      <w:r w:rsidRPr="006A6CE2">
        <w:rPr>
          <w:rFonts w:cs="Times New Roman"/>
          <w:szCs w:val="24"/>
        </w:rPr>
        <w:t>) przedstawiono wybrane przykłady typów Jednolitych Części Wód Powierzchniowych rzecznych w oparciu o informacje zamieszczone w Rozporządzeniu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(Dz.U. 2021 poz. 1475).</w:t>
      </w:r>
    </w:p>
    <w:p w14:paraId="0E6AC465" w14:textId="77777777" w:rsidR="00B83214" w:rsidRPr="006A6CE2" w:rsidRDefault="00B83214" w:rsidP="00B83214">
      <w:pPr>
        <w:pStyle w:val="Podpispodrysunkiem"/>
      </w:pPr>
      <w:bookmarkStart w:id="121" w:name="_Ref102305147"/>
      <w:bookmarkStart w:id="122" w:name="_Toc102741399"/>
      <w:bookmarkStart w:id="123" w:name="_Toc104790075"/>
      <w:r w:rsidRPr="006A6CE2">
        <w:t xml:space="preserve">Tabela </w:t>
      </w:r>
      <w:r>
        <w:fldChar w:fldCharType="begin"/>
      </w:r>
      <w:r>
        <w:instrText>SEQ Tabela \* ARABIC</w:instrText>
      </w:r>
      <w:r>
        <w:fldChar w:fldCharType="separate"/>
      </w:r>
      <w:r w:rsidR="002B5007">
        <w:rPr>
          <w:noProof/>
        </w:rPr>
        <w:t>5</w:t>
      </w:r>
      <w:r>
        <w:fldChar w:fldCharType="end"/>
      </w:r>
      <w:bookmarkEnd w:id="121"/>
      <w:r w:rsidRPr="006A6CE2">
        <w:t xml:space="preserve"> Wybrane przykłady typów JCWP rzecznych w granicach województwa zachodniopomorskiego</w:t>
      </w:r>
      <w:bookmarkEnd w:id="122"/>
      <w:bookmarkEnd w:id="123"/>
    </w:p>
    <w:tbl>
      <w:tblPr>
        <w:tblStyle w:val="Tabelasiatki1jasnaakcent11"/>
        <w:tblW w:w="9165" w:type="dxa"/>
        <w:jc w:val="center"/>
        <w:tblLook w:val="04A0" w:firstRow="1" w:lastRow="0" w:firstColumn="1" w:lastColumn="0" w:noHBand="0" w:noVBand="1"/>
      </w:tblPr>
      <w:tblGrid>
        <w:gridCol w:w="3417"/>
        <w:gridCol w:w="1745"/>
        <w:gridCol w:w="4003"/>
      </w:tblGrid>
      <w:tr w:rsidR="00B83214" w:rsidRPr="006A6CE2" w14:paraId="5A5D6547" w14:textId="77777777" w:rsidTr="00B8321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417"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30FD1B7A" w14:textId="77777777" w:rsidR="00B83214" w:rsidRPr="006A6CE2" w:rsidRDefault="00B83214" w:rsidP="00B83214">
            <w:pPr>
              <w:spacing w:before="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Nazwa JCWP rzecznej</w:t>
            </w:r>
          </w:p>
        </w:tc>
        <w:tc>
          <w:tcPr>
            <w:tcW w:w="1745"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7913E76A"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Typ JCWP</w:t>
            </w:r>
          </w:p>
        </w:tc>
        <w:tc>
          <w:tcPr>
            <w:tcW w:w="4003" w:type="dxa"/>
            <w:tcBorders>
              <w:top w:val="single" w:sz="4" w:space="0" w:color="B7DFA8" w:themeColor="accent1" w:themeTint="66"/>
              <w:left w:val="single" w:sz="4" w:space="0" w:color="B7DFA8" w:themeColor="accent1" w:themeTint="66"/>
              <w:right w:val="single" w:sz="4" w:space="0" w:color="B7DFA8" w:themeColor="accent1" w:themeTint="66"/>
            </w:tcBorders>
          </w:tcPr>
          <w:p w14:paraId="0BA1D462"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Objaśnienie</w:t>
            </w:r>
          </w:p>
        </w:tc>
      </w:tr>
      <w:tr w:rsidR="00B83214" w:rsidRPr="006A6CE2" w14:paraId="287A512C"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34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C033F0A"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Kanał Szczuczarz</w:t>
            </w:r>
          </w:p>
        </w:tc>
        <w:tc>
          <w:tcPr>
            <w:tcW w:w="174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396523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0</w:t>
            </w:r>
          </w:p>
        </w:tc>
        <w:tc>
          <w:tcPr>
            <w:tcW w:w="400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8DC5A2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Typ wód powierzchniowych będących kanałami</w:t>
            </w:r>
          </w:p>
        </w:tc>
      </w:tr>
      <w:tr w:rsidR="00B83214" w:rsidRPr="006A6CE2" w14:paraId="0B02CCB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34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788CCC3"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Kanał Młyński</w:t>
            </w:r>
          </w:p>
        </w:tc>
        <w:tc>
          <w:tcPr>
            <w:tcW w:w="174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624557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16</w:t>
            </w:r>
          </w:p>
        </w:tc>
        <w:tc>
          <w:tcPr>
            <w:tcW w:w="400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AF097F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Potok nizinny lessowy lub gliniasty</w:t>
            </w:r>
          </w:p>
        </w:tc>
      </w:tr>
      <w:tr w:rsidR="00B83214" w:rsidRPr="006A6CE2" w14:paraId="38120A3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34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574C7ED"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Wkra</w:t>
            </w:r>
          </w:p>
        </w:tc>
        <w:tc>
          <w:tcPr>
            <w:tcW w:w="174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C26861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17</w:t>
            </w:r>
          </w:p>
        </w:tc>
        <w:tc>
          <w:tcPr>
            <w:tcW w:w="400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CF32D0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Potok nizinny piaszczysty</w:t>
            </w:r>
          </w:p>
        </w:tc>
      </w:tr>
      <w:tr w:rsidR="00B83214" w:rsidRPr="006A6CE2" w14:paraId="1F7C573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34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71F39E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Drawka</w:t>
            </w:r>
          </w:p>
        </w:tc>
        <w:tc>
          <w:tcPr>
            <w:tcW w:w="174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3FC01F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18</w:t>
            </w:r>
          </w:p>
        </w:tc>
        <w:tc>
          <w:tcPr>
            <w:tcW w:w="400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5E363E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Potok nizinny żwirowy</w:t>
            </w:r>
          </w:p>
        </w:tc>
      </w:tr>
      <w:tr w:rsidR="00B83214" w:rsidRPr="006A6CE2" w14:paraId="2D72AD96"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34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02B42C3"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Wieprza od Studnicy do Moszczenicy</w:t>
            </w:r>
          </w:p>
        </w:tc>
        <w:tc>
          <w:tcPr>
            <w:tcW w:w="174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6ACDB8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19</w:t>
            </w:r>
          </w:p>
        </w:tc>
        <w:tc>
          <w:tcPr>
            <w:tcW w:w="400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06E95B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Rzeka nizinna piaszczysto-gliniasta</w:t>
            </w:r>
          </w:p>
        </w:tc>
      </w:tr>
      <w:tr w:rsidR="00B83214" w:rsidRPr="006A6CE2" w14:paraId="10E074A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34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37A153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Radew od Chocieli do zb. Rosnowo</w:t>
            </w:r>
          </w:p>
        </w:tc>
        <w:tc>
          <w:tcPr>
            <w:tcW w:w="174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D8BA4B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20</w:t>
            </w:r>
          </w:p>
        </w:tc>
        <w:tc>
          <w:tcPr>
            <w:tcW w:w="400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13A9E8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Rzeka nizinna żwirowa</w:t>
            </w:r>
          </w:p>
        </w:tc>
      </w:tr>
      <w:tr w:rsidR="00B83214" w:rsidRPr="006A6CE2" w14:paraId="1023BB95"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34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DE86C83"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Odra od Warty do Odry Zachodniej</w:t>
            </w:r>
          </w:p>
        </w:tc>
        <w:tc>
          <w:tcPr>
            <w:tcW w:w="174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8978D6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21</w:t>
            </w:r>
          </w:p>
        </w:tc>
        <w:tc>
          <w:tcPr>
            <w:tcW w:w="400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918312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Wielka rzeka nizinna</w:t>
            </w:r>
          </w:p>
        </w:tc>
      </w:tr>
      <w:tr w:rsidR="00B83214" w:rsidRPr="006A6CE2" w14:paraId="235A3B57"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34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5DFFEFF"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Potynia</w:t>
            </w:r>
          </w:p>
        </w:tc>
        <w:tc>
          <w:tcPr>
            <w:tcW w:w="174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D465B7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22</w:t>
            </w:r>
          </w:p>
        </w:tc>
        <w:tc>
          <w:tcPr>
            <w:tcW w:w="400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F30EF5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Rzeka przyujściowa pod wpływem wód słonych</w:t>
            </w:r>
          </w:p>
        </w:tc>
      </w:tr>
      <w:tr w:rsidR="00B83214" w:rsidRPr="006A6CE2" w14:paraId="29C4E483"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34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7A33991"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Liwia</w:t>
            </w:r>
          </w:p>
        </w:tc>
        <w:tc>
          <w:tcPr>
            <w:tcW w:w="174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BE45C0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23</w:t>
            </w:r>
          </w:p>
        </w:tc>
        <w:tc>
          <w:tcPr>
            <w:tcW w:w="400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2AB1EA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Potok lub strumień na obszarze będącym pod wpływem procesów torfotwórczych</w:t>
            </w:r>
          </w:p>
        </w:tc>
      </w:tr>
      <w:tr w:rsidR="00B83214" w:rsidRPr="006A6CE2" w14:paraId="1372E7C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34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17F2D44"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Grabowa od Wielinki do dopł. z</w:t>
            </w:r>
            <w:r>
              <w:rPr>
                <w:rFonts w:ascii="Calibri" w:eastAsia="Times New Roman" w:hAnsi="Calibri" w:cs="Calibri"/>
                <w:b w:val="0"/>
                <w:color w:val="000000"/>
                <w:szCs w:val="24"/>
                <w:lang w:eastAsia="pl-PL"/>
              </w:rPr>
              <w:t xml:space="preserve"> </w:t>
            </w:r>
            <w:r w:rsidRPr="006A6CE2">
              <w:rPr>
                <w:rFonts w:ascii="Calibri" w:eastAsia="Times New Roman" w:hAnsi="Calibri" w:cs="Calibri"/>
                <w:b w:val="0"/>
                <w:color w:val="000000"/>
                <w:szCs w:val="24"/>
                <w:lang w:eastAsia="pl-PL"/>
              </w:rPr>
              <w:t>polderu Rusko-Darłowo</w:t>
            </w:r>
          </w:p>
        </w:tc>
        <w:tc>
          <w:tcPr>
            <w:tcW w:w="174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6F83B9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24</w:t>
            </w:r>
          </w:p>
        </w:tc>
        <w:tc>
          <w:tcPr>
            <w:tcW w:w="400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C13821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Mała lub średnia rzeka na obszarze będącym pod wpływem procesów torfotwórczych</w:t>
            </w:r>
          </w:p>
        </w:tc>
      </w:tr>
      <w:tr w:rsidR="00B83214" w:rsidRPr="006A6CE2" w14:paraId="1F0FE9BD"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34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A33056D"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Kanał Iny</w:t>
            </w:r>
          </w:p>
        </w:tc>
        <w:tc>
          <w:tcPr>
            <w:tcW w:w="174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26406A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25</w:t>
            </w:r>
          </w:p>
        </w:tc>
        <w:tc>
          <w:tcPr>
            <w:tcW w:w="400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2602FA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Ciek łączący jeziora</w:t>
            </w:r>
          </w:p>
        </w:tc>
      </w:tr>
      <w:tr w:rsidR="00B83214" w:rsidRPr="006A6CE2" w14:paraId="59DC6000"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34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086BE9E"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Kanał Policki</w:t>
            </w:r>
          </w:p>
        </w:tc>
        <w:tc>
          <w:tcPr>
            <w:tcW w:w="174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C4B8DC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26</w:t>
            </w:r>
          </w:p>
        </w:tc>
        <w:tc>
          <w:tcPr>
            <w:tcW w:w="400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98A4DE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Ciek w dolinie wielkiej rzeki nizinnej</w:t>
            </w:r>
          </w:p>
        </w:tc>
      </w:tr>
    </w:tbl>
    <w:p w14:paraId="765BD735" w14:textId="77777777" w:rsidR="00B83214" w:rsidRPr="006A6CE2" w:rsidRDefault="00B83214" w:rsidP="00B83214">
      <w:pPr>
        <w:pStyle w:val="rdo"/>
      </w:pPr>
      <w:r w:rsidRPr="006A6CE2">
        <w:t>Źródło: Informatyczny System Osłony Kraju; Rozporządzenie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(Dz.U. 2021 poz. 1475)</w:t>
      </w:r>
    </w:p>
    <w:p w14:paraId="3C5C0C15" w14:textId="77777777" w:rsidR="00B83214" w:rsidRPr="006A6CE2" w:rsidRDefault="00B83214" w:rsidP="00B83214">
      <w:pPr>
        <w:rPr>
          <w:rFonts w:cstheme="minorHAnsi"/>
          <w:szCs w:val="24"/>
        </w:rPr>
      </w:pPr>
      <w:r w:rsidRPr="006A6CE2">
        <w:rPr>
          <w:rFonts w:cstheme="minorHAnsi"/>
          <w:szCs w:val="24"/>
        </w:rPr>
        <w:t xml:space="preserve">Pod względem jezior i naturalnych zbiorników wodnych, województwo zachodniopomorskie należy do jednych z bogatszych obszarów pod tym względem. Łączna powierzchnia jezior wyznaczona na podstawie Mapy Podziału Hydrograficznego Polski (MPHP) wynosi 65 991 ha, co stanowi blisko 2,9% powierzchni województwa, w porównaniu do </w:t>
      </w:r>
      <w:r w:rsidRPr="006A6CE2">
        <w:rPr>
          <w:rFonts w:cstheme="minorHAnsi"/>
          <w:szCs w:val="24"/>
          <w:shd w:val="clear" w:color="auto" w:fill="FFFFFF"/>
        </w:rPr>
        <w:t>0,9% powierzchni jezior dla terytorium kraju</w:t>
      </w:r>
      <w:r w:rsidRPr="006A6CE2">
        <w:rPr>
          <w:rFonts w:cstheme="minorHAnsi"/>
          <w:szCs w:val="24"/>
          <w:vertAlign w:val="superscript"/>
        </w:rPr>
        <w:footnoteReference w:id="109"/>
      </w:r>
      <w:r w:rsidRPr="006A6CE2">
        <w:rPr>
          <w:rFonts w:cstheme="minorHAnsi"/>
          <w:szCs w:val="24"/>
          <w:shd w:val="clear" w:color="auto" w:fill="FFFFFF"/>
        </w:rPr>
        <w:t>.</w:t>
      </w:r>
    </w:p>
    <w:p w14:paraId="324856D3" w14:textId="63C34F08" w:rsidR="00B83214" w:rsidRPr="006A6CE2" w:rsidRDefault="00B83214" w:rsidP="00B83214">
      <w:pPr>
        <w:rPr>
          <w:rFonts w:cstheme="minorHAnsi"/>
          <w:szCs w:val="24"/>
          <w:shd w:val="clear" w:color="auto" w:fill="FFFFFF"/>
        </w:rPr>
      </w:pPr>
      <w:r w:rsidRPr="006A6CE2">
        <w:rPr>
          <w:rFonts w:cstheme="minorHAnsi"/>
          <w:szCs w:val="24"/>
        </w:rPr>
        <w:t xml:space="preserve">Na terenie województwa, na obszarach związanych z </w:t>
      </w:r>
      <w:r w:rsidRPr="006A6CE2">
        <w:rPr>
          <w:rFonts w:cstheme="minorHAnsi"/>
          <w:szCs w:val="24"/>
          <w:shd w:val="clear" w:color="auto" w:fill="FFFFFF"/>
        </w:rPr>
        <w:t xml:space="preserve">urozmaiconym krajobrazem młodoglacjalnym, identyfikowane są również jeziora polodowcowe (np. Drawsko, Lubie). </w:t>
      </w:r>
      <w:r w:rsidRPr="006A6CE2">
        <w:rPr>
          <w:rFonts w:cstheme="minorHAnsi"/>
          <w:color w:val="202122"/>
          <w:szCs w:val="24"/>
          <w:shd w:val="clear" w:color="auto" w:fill="FFFFFF"/>
        </w:rPr>
        <w:t xml:space="preserve">Przeważają jeziora typu </w:t>
      </w:r>
      <w:r w:rsidRPr="006A6CE2">
        <w:rPr>
          <w:rFonts w:cstheme="minorHAnsi"/>
          <w:szCs w:val="24"/>
          <w:shd w:val="clear" w:color="auto" w:fill="FFFFFF"/>
        </w:rPr>
        <w:t>rynnowego</w:t>
      </w:r>
      <w:r w:rsidRPr="006A6CE2">
        <w:rPr>
          <w:rFonts w:cstheme="minorHAnsi"/>
          <w:color w:val="202122"/>
          <w:szCs w:val="24"/>
          <w:shd w:val="clear" w:color="auto" w:fill="FFFFFF"/>
        </w:rPr>
        <w:t xml:space="preserve"> i </w:t>
      </w:r>
      <w:r w:rsidRPr="006A6CE2">
        <w:rPr>
          <w:rFonts w:cstheme="minorHAnsi"/>
          <w:szCs w:val="24"/>
          <w:shd w:val="clear" w:color="auto" w:fill="FFFFFF"/>
        </w:rPr>
        <w:t>wytopiskowego</w:t>
      </w:r>
      <w:r w:rsidRPr="006A6CE2">
        <w:rPr>
          <w:rFonts w:cstheme="minorHAnsi"/>
          <w:szCs w:val="24"/>
          <w:shd w:val="clear" w:color="auto" w:fill="FFFFFF"/>
          <w:vertAlign w:val="superscript"/>
        </w:rPr>
        <w:footnoteReference w:id="110"/>
      </w:r>
      <w:r w:rsidRPr="006A6CE2">
        <w:rPr>
          <w:rFonts w:cstheme="minorHAnsi"/>
          <w:szCs w:val="24"/>
          <w:shd w:val="clear" w:color="auto" w:fill="FFFFFF"/>
        </w:rPr>
        <w:t xml:space="preserve">. Na uwagę zasługują również zlokalizowane w pasie nadmorskim jeziora przybrzeżne (Jamno, Bukowo, Liwia Łuża). </w:t>
      </w:r>
      <w:r w:rsidRPr="006A6CE2">
        <w:rPr>
          <w:rFonts w:cstheme="minorHAnsi"/>
          <w:szCs w:val="24"/>
        </w:rPr>
        <w:t>Do największych jezior, pod względem powierzchni, należą jeziora: Bukowo, Dąbie, Drawsko, Jamno, Lubie, Miedwie, Wicko i Wielimie (</w:t>
      </w:r>
      <w:r w:rsidRPr="006A6CE2">
        <w:rPr>
          <w:rFonts w:cstheme="minorHAnsi"/>
          <w:szCs w:val="24"/>
        </w:rPr>
        <w:fldChar w:fldCharType="begin"/>
      </w:r>
      <w:r w:rsidRPr="006A6CE2">
        <w:rPr>
          <w:rFonts w:cstheme="minorHAnsi"/>
          <w:szCs w:val="24"/>
        </w:rPr>
        <w:instrText xml:space="preserve"> REF _Ref102316832 \h  \* MERGEFORMAT </w:instrText>
      </w:r>
      <w:r w:rsidRPr="006A6CE2">
        <w:rPr>
          <w:rFonts w:cstheme="minorHAnsi"/>
          <w:szCs w:val="24"/>
        </w:rPr>
      </w:r>
      <w:r w:rsidRPr="006A6CE2">
        <w:rPr>
          <w:rFonts w:cstheme="minorHAnsi"/>
          <w:szCs w:val="24"/>
        </w:rPr>
        <w:fldChar w:fldCharType="separate"/>
      </w:r>
      <w:r w:rsidR="002B5007" w:rsidRPr="002B5007">
        <w:rPr>
          <w:szCs w:val="24"/>
        </w:rPr>
        <w:t xml:space="preserve">Tabela </w:t>
      </w:r>
      <w:r w:rsidR="002B5007" w:rsidRPr="002B5007">
        <w:rPr>
          <w:noProof/>
          <w:szCs w:val="24"/>
        </w:rPr>
        <w:t>6</w:t>
      </w:r>
      <w:r w:rsidRPr="006A6CE2">
        <w:rPr>
          <w:rFonts w:cstheme="minorHAnsi"/>
          <w:szCs w:val="24"/>
        </w:rPr>
        <w:fldChar w:fldCharType="end"/>
      </w:r>
      <w:r w:rsidRPr="006A6CE2">
        <w:rPr>
          <w:rFonts w:cstheme="minorHAnsi"/>
          <w:szCs w:val="24"/>
        </w:rPr>
        <w:t>).</w:t>
      </w:r>
    </w:p>
    <w:p w14:paraId="1C37A449" w14:textId="77777777" w:rsidR="00B83214" w:rsidRPr="006A6CE2" w:rsidRDefault="00B83214" w:rsidP="00B83214">
      <w:pPr>
        <w:pStyle w:val="Podpispodrysunkiem"/>
      </w:pPr>
      <w:bookmarkStart w:id="124" w:name="_Ref102316832"/>
      <w:bookmarkStart w:id="125" w:name="_Toc102741400"/>
      <w:bookmarkStart w:id="126" w:name="_Toc104790076"/>
      <w:r w:rsidRPr="006A6CE2">
        <w:t xml:space="preserve">Tabela </w:t>
      </w:r>
      <w:r>
        <w:fldChar w:fldCharType="begin"/>
      </w:r>
      <w:r>
        <w:instrText>SEQ Tabela \* ARABIC</w:instrText>
      </w:r>
      <w:r>
        <w:fldChar w:fldCharType="separate"/>
      </w:r>
      <w:r w:rsidR="002B5007">
        <w:rPr>
          <w:noProof/>
        </w:rPr>
        <w:t>6</w:t>
      </w:r>
      <w:r>
        <w:fldChar w:fldCharType="end"/>
      </w:r>
      <w:bookmarkEnd w:id="124"/>
      <w:r w:rsidRPr="006A6CE2">
        <w:t xml:space="preserve"> Większe i głębsze jeziora w granicach województwa zachodniopomorskiego</w:t>
      </w:r>
      <w:bookmarkEnd w:id="125"/>
      <w:bookmarkEnd w:id="126"/>
    </w:p>
    <w:tbl>
      <w:tblPr>
        <w:tblStyle w:val="Tabelasiatki1jasnaakcent11"/>
        <w:tblW w:w="5000" w:type="pct"/>
        <w:jc w:val="center"/>
        <w:tblLook w:val="04A0" w:firstRow="1" w:lastRow="0" w:firstColumn="1" w:lastColumn="0" w:noHBand="0" w:noVBand="1"/>
      </w:tblPr>
      <w:tblGrid>
        <w:gridCol w:w="2523"/>
        <w:gridCol w:w="2242"/>
        <w:gridCol w:w="1650"/>
        <w:gridCol w:w="1324"/>
        <w:gridCol w:w="1549"/>
      </w:tblGrid>
      <w:tr w:rsidR="00B83214" w:rsidRPr="006A6CE2" w14:paraId="42AEB8CB" w14:textId="77777777" w:rsidTr="00B8321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58" w:type="pct"/>
            <w:vMerge w:val="restart"/>
            <w:tcBorders>
              <w:top w:val="single" w:sz="4" w:space="0" w:color="B7DFA8" w:themeColor="accent1" w:themeTint="66"/>
              <w:left w:val="single" w:sz="4" w:space="0" w:color="B7DFA8" w:themeColor="accent1" w:themeTint="66"/>
              <w:right w:val="single" w:sz="4" w:space="0" w:color="B7DFA8" w:themeColor="accent1" w:themeTint="66"/>
            </w:tcBorders>
            <w:noWrap/>
            <w:vAlign w:val="center"/>
            <w:hideMark/>
          </w:tcPr>
          <w:p w14:paraId="1DA650E0" w14:textId="77777777" w:rsidR="00B83214" w:rsidRPr="006A6CE2" w:rsidRDefault="00B83214" w:rsidP="00B83214">
            <w:pPr>
              <w:spacing w:before="0"/>
              <w:rPr>
                <w:rFonts w:ascii="Calibri" w:eastAsia="Times New Roman" w:hAnsi="Calibri" w:cs="Calibri"/>
                <w:b w:val="0"/>
                <w:bCs w:val="0"/>
                <w:color w:val="000000"/>
                <w:szCs w:val="24"/>
                <w:lang w:eastAsia="pl-PL"/>
              </w:rPr>
            </w:pPr>
            <w:r w:rsidRPr="006A6CE2">
              <w:rPr>
                <w:rFonts w:ascii="Calibri" w:eastAsia="Times New Roman" w:hAnsi="Calibri" w:cs="Calibri"/>
                <w:color w:val="000000"/>
                <w:szCs w:val="24"/>
                <w:lang w:eastAsia="pl-PL"/>
              </w:rPr>
              <w:t>Nazwa</w:t>
            </w:r>
          </w:p>
          <w:p w14:paraId="10795860" w14:textId="77777777" w:rsidR="00B83214" w:rsidRPr="006A6CE2" w:rsidRDefault="00B83214" w:rsidP="00B83214">
            <w:pPr>
              <w:spacing w:before="0"/>
              <w:rPr>
                <w:rFonts w:ascii="Calibri" w:eastAsia="Times New Roman" w:hAnsi="Calibri" w:cs="Calibri"/>
                <w:color w:val="000000"/>
                <w:szCs w:val="24"/>
                <w:lang w:eastAsia="pl-PL"/>
              </w:rPr>
            </w:pPr>
          </w:p>
        </w:tc>
        <w:tc>
          <w:tcPr>
            <w:tcW w:w="1207" w:type="pct"/>
            <w:vMerge w:val="restart"/>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1A401ACB"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Cs w:val="24"/>
                <w:lang w:eastAsia="pl-PL"/>
              </w:rPr>
            </w:pPr>
            <w:r w:rsidRPr="006A6CE2">
              <w:rPr>
                <w:rFonts w:ascii="Calibri" w:eastAsia="Times New Roman" w:hAnsi="Calibri" w:cs="Calibri"/>
                <w:color w:val="000000"/>
                <w:szCs w:val="24"/>
                <w:lang w:eastAsia="pl-PL"/>
              </w:rPr>
              <w:t>Powiat</w:t>
            </w:r>
          </w:p>
          <w:p w14:paraId="28508EE7"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p>
        </w:tc>
        <w:tc>
          <w:tcPr>
            <w:tcW w:w="888" w:type="pct"/>
            <w:tcBorders>
              <w:top w:val="single" w:sz="4" w:space="0" w:color="B7DFA8" w:themeColor="accent1" w:themeTint="66"/>
              <w:left w:val="single" w:sz="4" w:space="0" w:color="B7DFA8" w:themeColor="accent1" w:themeTint="66"/>
              <w:right w:val="single" w:sz="4" w:space="0" w:color="B7DFA8" w:themeColor="accent1" w:themeTint="66"/>
            </w:tcBorders>
          </w:tcPr>
          <w:p w14:paraId="3586ED64"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Powierzchnia</w:t>
            </w:r>
          </w:p>
        </w:tc>
        <w:tc>
          <w:tcPr>
            <w:tcW w:w="713" w:type="pct"/>
            <w:tcBorders>
              <w:top w:val="single" w:sz="4" w:space="0" w:color="B7DFA8" w:themeColor="accent1" w:themeTint="66"/>
              <w:left w:val="single" w:sz="4" w:space="0" w:color="B7DFA8" w:themeColor="accent1" w:themeTint="66"/>
              <w:right w:val="single" w:sz="4" w:space="0" w:color="B7DFA8" w:themeColor="accent1" w:themeTint="66"/>
            </w:tcBorders>
          </w:tcPr>
          <w:p w14:paraId="144DD505"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Głębokość max.</w:t>
            </w:r>
          </w:p>
        </w:tc>
        <w:tc>
          <w:tcPr>
            <w:tcW w:w="834" w:type="pct"/>
            <w:tcBorders>
              <w:top w:val="single" w:sz="4" w:space="0" w:color="B7DFA8" w:themeColor="accent1" w:themeTint="66"/>
              <w:left w:val="single" w:sz="4" w:space="0" w:color="B7DFA8" w:themeColor="accent1" w:themeTint="66"/>
              <w:right w:val="single" w:sz="4" w:space="0" w:color="B7DFA8" w:themeColor="accent1" w:themeTint="66"/>
            </w:tcBorders>
          </w:tcPr>
          <w:p w14:paraId="08F1E36E"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Objętość</w:t>
            </w:r>
          </w:p>
        </w:tc>
      </w:tr>
      <w:tr w:rsidR="00B83214" w:rsidRPr="006A6CE2" w14:paraId="19282F07"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vMerge/>
            <w:tcBorders>
              <w:left w:val="single" w:sz="4" w:space="0" w:color="B7DFA8" w:themeColor="accent1" w:themeTint="66"/>
              <w:right w:val="single" w:sz="4" w:space="0" w:color="B7DFA8" w:themeColor="accent1" w:themeTint="66"/>
            </w:tcBorders>
            <w:noWrap/>
            <w:vAlign w:val="center"/>
          </w:tcPr>
          <w:p w14:paraId="43F428AD" w14:textId="77777777" w:rsidR="00B83214" w:rsidRPr="006A6CE2" w:rsidRDefault="00B83214" w:rsidP="00B83214">
            <w:pPr>
              <w:spacing w:before="0"/>
              <w:rPr>
                <w:rFonts w:ascii="Calibri" w:eastAsia="Times New Roman" w:hAnsi="Calibri" w:cs="Calibri"/>
                <w:b w:val="0"/>
                <w:color w:val="000000"/>
                <w:szCs w:val="24"/>
                <w:lang w:eastAsia="pl-PL"/>
              </w:rPr>
            </w:pPr>
          </w:p>
        </w:tc>
        <w:tc>
          <w:tcPr>
            <w:tcW w:w="1207" w:type="pct"/>
            <w:vMerge/>
            <w:tcBorders>
              <w:left w:val="single" w:sz="4" w:space="0" w:color="B7DFA8" w:themeColor="accent1" w:themeTint="66"/>
              <w:right w:val="single" w:sz="4" w:space="0" w:color="B7DFA8" w:themeColor="accent1" w:themeTint="66"/>
            </w:tcBorders>
            <w:noWrap/>
            <w:vAlign w:val="center"/>
          </w:tcPr>
          <w:p w14:paraId="08C9420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p>
        </w:tc>
        <w:tc>
          <w:tcPr>
            <w:tcW w:w="888" w:type="pct"/>
            <w:tcBorders>
              <w:top w:val="single" w:sz="4" w:space="0" w:color="B7DFA8" w:themeColor="accent1" w:themeTint="66"/>
              <w:left w:val="single" w:sz="4" w:space="0" w:color="B7DFA8" w:themeColor="accent1" w:themeTint="66"/>
              <w:right w:val="single" w:sz="4" w:space="0" w:color="B7DFA8" w:themeColor="accent1" w:themeTint="66"/>
            </w:tcBorders>
          </w:tcPr>
          <w:p w14:paraId="2BF6BD7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ha ]</w:t>
            </w:r>
          </w:p>
        </w:tc>
        <w:tc>
          <w:tcPr>
            <w:tcW w:w="713" w:type="pct"/>
            <w:tcBorders>
              <w:top w:val="single" w:sz="4" w:space="0" w:color="B7DFA8" w:themeColor="accent1" w:themeTint="66"/>
              <w:left w:val="single" w:sz="4" w:space="0" w:color="B7DFA8" w:themeColor="accent1" w:themeTint="66"/>
              <w:right w:val="single" w:sz="4" w:space="0" w:color="B7DFA8" w:themeColor="accent1" w:themeTint="66"/>
            </w:tcBorders>
          </w:tcPr>
          <w:p w14:paraId="33CF5D8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m ]</w:t>
            </w:r>
          </w:p>
        </w:tc>
        <w:tc>
          <w:tcPr>
            <w:tcW w:w="834" w:type="pct"/>
            <w:tcBorders>
              <w:top w:val="single" w:sz="4" w:space="0" w:color="B7DFA8" w:themeColor="accent1" w:themeTint="66"/>
              <w:left w:val="single" w:sz="4" w:space="0" w:color="B7DFA8" w:themeColor="accent1" w:themeTint="66"/>
              <w:right w:val="single" w:sz="4" w:space="0" w:color="B7DFA8" w:themeColor="accent1" w:themeTint="66"/>
            </w:tcBorders>
          </w:tcPr>
          <w:p w14:paraId="354452C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m</w:t>
            </w:r>
            <w:r w:rsidRPr="006A6CE2">
              <w:rPr>
                <w:rFonts w:ascii="Calibri" w:eastAsia="Times New Roman" w:hAnsi="Calibri" w:cs="Calibri"/>
                <w:bCs/>
                <w:color w:val="000000"/>
                <w:szCs w:val="24"/>
                <w:vertAlign w:val="superscript"/>
                <w:lang w:eastAsia="pl-PL"/>
              </w:rPr>
              <w:t>3</w:t>
            </w:r>
            <w:r w:rsidRPr="006A6CE2">
              <w:rPr>
                <w:rFonts w:ascii="Calibri" w:eastAsia="Times New Roman" w:hAnsi="Calibri" w:cs="Calibri"/>
                <w:bCs/>
                <w:color w:val="000000"/>
                <w:szCs w:val="24"/>
                <w:lang w:eastAsia="pl-PL"/>
              </w:rPr>
              <w:t xml:space="preserve"> ]</w:t>
            </w:r>
          </w:p>
        </w:tc>
      </w:tr>
      <w:tr w:rsidR="00B83214" w:rsidRPr="006A6CE2" w14:paraId="22C648E1"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5A0E2C1"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Bukowo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827DD5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sławieński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C62C9D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1 747,4</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4E60D5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2,8</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89B242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32 071,7</w:t>
            </w:r>
          </w:p>
        </w:tc>
      </w:tr>
      <w:tr w:rsidR="00B83214" w:rsidRPr="006A6CE2" w14:paraId="1FCA7C80"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BE6A46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Bytyń Wielki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A3CB90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wałecki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693770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707,6</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249D21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41,0</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50E471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91 534,9</w:t>
            </w:r>
          </w:p>
        </w:tc>
      </w:tr>
      <w:tr w:rsidR="00B83214" w:rsidRPr="006A6CE2" w14:paraId="63F8BCF4"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616FBFD"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Dąbie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ACDE94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Szczecin</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87C51B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5 408,0</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457C76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10,0</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6897FC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129 500,0</w:t>
            </w:r>
          </w:p>
        </w:tc>
      </w:tr>
      <w:tr w:rsidR="00B83214" w:rsidRPr="006A6CE2" w14:paraId="7F424CCF"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875C28B"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Drawsko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8B5298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drawski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9073AD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1 797,7</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56954A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79,7</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4E1388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331 443,4</w:t>
            </w:r>
          </w:p>
        </w:tc>
      </w:tr>
      <w:tr w:rsidR="00B83214" w:rsidRPr="006A6CE2" w14:paraId="438A025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D89A334"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Ińsko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446BB1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stargardzki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8831EF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589,9</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948C95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41,7</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86205E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65 182,0</w:t>
            </w:r>
          </w:p>
        </w:tc>
      </w:tr>
      <w:tr w:rsidR="00B83214" w:rsidRPr="006A6CE2" w14:paraId="1BEA01C9"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0892BCF"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Jamno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9627A5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koszaliński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1FD3DA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2 239,6</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B32A01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3,9</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03427D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31 528,0</w:t>
            </w:r>
          </w:p>
        </w:tc>
      </w:tr>
      <w:tr w:rsidR="00B83214" w:rsidRPr="006A6CE2" w14:paraId="6EC871A2"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B532DD8"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Kopań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112AFA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sławieński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4E980F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789,7</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D067CA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3,9</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CE7AC4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14 772,9</w:t>
            </w:r>
          </w:p>
        </w:tc>
      </w:tr>
      <w:tr w:rsidR="00B83214" w:rsidRPr="006A6CE2" w14:paraId="77F667F6"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ABC5841"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Koprowo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692679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kamieński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99CEB9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486,8</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407C51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3,1</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921FD1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7 792,9</w:t>
            </w:r>
          </w:p>
        </w:tc>
      </w:tr>
      <w:tr w:rsidR="00B83214" w:rsidRPr="006A6CE2" w14:paraId="60C6CA70"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2FF530F"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Lubie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82248A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drawski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64B1A1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1 438,0</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A33FCB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46,2</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77363C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169 880,5</w:t>
            </w:r>
          </w:p>
        </w:tc>
      </w:tr>
      <w:tr w:rsidR="00B83214" w:rsidRPr="006A6CE2" w14:paraId="3E1FB7BF"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5511709"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Łętowskie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2ED80C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sławieński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C71F0D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402,0</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A322C5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18,7</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1DB1E2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33 128,5</w:t>
            </w:r>
          </w:p>
        </w:tc>
      </w:tr>
      <w:tr w:rsidR="00B83214" w:rsidRPr="006A6CE2" w14:paraId="4BF2F227"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1D8F978"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Miedwie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BE75DB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stargardzki, pyrzycki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60214C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3 527,0</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8E33EE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43,8</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0F1EBE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681 672,4</w:t>
            </w:r>
          </w:p>
        </w:tc>
      </w:tr>
      <w:tr w:rsidR="00B83214" w:rsidRPr="006A6CE2" w14:paraId="7F9C89F0"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2408CB9"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Myśliborskie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16364C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myśliborski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D1E22C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603,7</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827EE4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22,3</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EECDB0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51 943,4</w:t>
            </w:r>
          </w:p>
        </w:tc>
      </w:tr>
      <w:tr w:rsidR="00B83214" w:rsidRPr="006A6CE2" w14:paraId="201A704A"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364C4EF"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Pile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BE3CB5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szczecinecki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CFC52C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956,6</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7012A8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43,9</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2CA909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115 171,4</w:t>
            </w:r>
          </w:p>
        </w:tc>
      </w:tr>
      <w:tr w:rsidR="00B83214" w:rsidRPr="006A6CE2" w14:paraId="72A828D9"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1528287"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Płoń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5663EF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pyrzycki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E8BA13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790,7</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DB3A58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4,5</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FE0EB1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22 306,8</w:t>
            </w:r>
          </w:p>
        </w:tc>
      </w:tr>
      <w:tr w:rsidR="00B83214" w:rsidRPr="006A6CE2" w14:paraId="2FD4FA86"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833F5F5"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Resko Przymorskie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C6F8BD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gryficki, kołobrzeski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E54E77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577,1</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A41703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2,5</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B7AC49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7 703,4</w:t>
            </w:r>
          </w:p>
        </w:tc>
      </w:tr>
      <w:tr w:rsidR="00B83214" w:rsidRPr="006A6CE2" w14:paraId="167096D9"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89BB189"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Siecino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7F699D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drawski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A792C2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724,9</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5A03DA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44,3</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F69BC7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104 441,7</w:t>
            </w:r>
          </w:p>
        </w:tc>
      </w:tr>
      <w:tr w:rsidR="00B83214" w:rsidRPr="006A6CE2" w14:paraId="2E9FAE32"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857C657"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Wicko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A60EAB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sławieński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318888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1 058,9</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F398E8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6,1</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E1DF72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28 495,0</w:t>
            </w:r>
          </w:p>
        </w:tc>
      </w:tr>
      <w:tr w:rsidR="00B83214" w:rsidRPr="006A6CE2" w14:paraId="448833B0"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EEA86E3"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Wielimie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6457A5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szczecinecki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2727D0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1 638,9</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D34065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5,5</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FE4B88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40 129,2</w:t>
            </w:r>
          </w:p>
        </w:tc>
      </w:tr>
      <w:tr w:rsidR="00B83214" w:rsidRPr="006A6CE2" w14:paraId="4E941C5A"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833D19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Wierzchowo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6FB46F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szczecinecki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0DF7BA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720,6</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896A4E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26,5</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64134D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70 212,5</w:t>
            </w:r>
          </w:p>
        </w:tc>
      </w:tr>
      <w:tr w:rsidR="00B83214" w:rsidRPr="006A6CE2" w14:paraId="4B89EC56"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5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3108E26"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 xml:space="preserve">Woświn </w:t>
            </w:r>
          </w:p>
        </w:tc>
        <w:tc>
          <w:tcPr>
            <w:tcW w:w="1207"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D2A1F6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łobeski</w:t>
            </w:r>
          </w:p>
        </w:tc>
        <w:tc>
          <w:tcPr>
            <w:tcW w:w="88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4034C7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809,7</w:t>
            </w:r>
          </w:p>
        </w:tc>
        <w:tc>
          <w:tcPr>
            <w:tcW w:w="713"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D9A5FB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28,1</w:t>
            </w:r>
          </w:p>
        </w:tc>
        <w:tc>
          <w:tcPr>
            <w:tcW w:w="834"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65665B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75 840,8</w:t>
            </w:r>
          </w:p>
        </w:tc>
      </w:tr>
    </w:tbl>
    <w:p w14:paraId="053C6F92" w14:textId="77777777" w:rsidR="00B83214" w:rsidRPr="006A6CE2" w:rsidRDefault="00B83214" w:rsidP="00B83214">
      <w:pPr>
        <w:pStyle w:val="rdo"/>
      </w:pPr>
      <w:r w:rsidRPr="006A6CE2">
        <w:t>Źródło: Rocznik Statystyczny Województwa Zachodniopomorskiego 2019; RZGW w Szczecinie i Poznaniu</w:t>
      </w:r>
    </w:p>
    <w:p w14:paraId="7A90DCB9" w14:textId="77777777" w:rsidR="00B83214" w:rsidRPr="006A6CE2" w:rsidRDefault="00B83214" w:rsidP="00B83214">
      <w:pPr>
        <w:rPr>
          <w:rFonts w:cs="Times New Roman"/>
          <w:szCs w:val="24"/>
        </w:rPr>
      </w:pPr>
      <w:r w:rsidRPr="006A6CE2">
        <w:rPr>
          <w:rFonts w:cs="Times New Roman"/>
          <w:szCs w:val="24"/>
        </w:rPr>
        <w:t>Struktury geologiczne zasobne w wodę, które stanowią lub mogą stanowić w przyszłości strategiczne zasoby wód podziemnych do zaopatrzenia ludności i podstawowych gałęzi gospodarki, wymagających wody wysokiej jakości to Główne Zbiorniki Wód Podziemnych (GZWP)</w:t>
      </w:r>
      <w:r w:rsidRPr="006A6CE2">
        <w:rPr>
          <w:rFonts w:cs="Times New Roman"/>
          <w:szCs w:val="24"/>
          <w:vertAlign w:val="superscript"/>
        </w:rPr>
        <w:footnoteReference w:id="111"/>
      </w:r>
      <w:r w:rsidRPr="006A6CE2">
        <w:rPr>
          <w:rFonts w:cs="Times New Roman"/>
          <w:szCs w:val="24"/>
        </w:rPr>
        <w:t xml:space="preserve">. W Państwowym Instytucie Geologicznym - Państwowy Instytut Badawczy opracowano </w:t>
      </w:r>
      <w:r w:rsidRPr="006A6CE2">
        <w:rPr>
          <w:rFonts w:cs="Times New Roman"/>
          <w:bCs/>
          <w:szCs w:val="24"/>
        </w:rPr>
        <w:t>klasyfikację GZWP</w:t>
      </w:r>
      <w:r w:rsidRPr="006A6CE2">
        <w:rPr>
          <w:rFonts w:cs="Times New Roman"/>
          <w:szCs w:val="24"/>
        </w:rPr>
        <w:t xml:space="preserve"> według wykorzystania zasobów, stopnia przeobrażeń antropogenicznych, odporności na zanieczyszczenia, ekonomicznego aspektu zaleceń ochronnych oraz wskaźników opłat wodnych. Cechą wyróżniającą mapę głównych zbiorników wód podziemnych opracowaną w PIG-PIB jest aktualność informacyjna oparta na warstwach GIS (aktualizowanych w cyklu rocznym).</w:t>
      </w:r>
    </w:p>
    <w:p w14:paraId="22709740" w14:textId="56BBDF70" w:rsidR="00B83214" w:rsidRPr="006A6CE2" w:rsidRDefault="00B83214" w:rsidP="00B83214">
      <w:pPr>
        <w:rPr>
          <w:rFonts w:cs="Times New Roman"/>
          <w:szCs w:val="24"/>
        </w:rPr>
      </w:pPr>
      <w:r w:rsidRPr="006A6CE2">
        <w:rPr>
          <w:rFonts w:cs="Times New Roman"/>
          <w:szCs w:val="24"/>
        </w:rPr>
        <w:t>W obrębie województwa zachodniopomorskiego wydzielono 11 GZWP (</w:t>
      </w:r>
      <w:r w:rsidRPr="006A6CE2">
        <w:rPr>
          <w:rFonts w:cs="Times New Roman"/>
          <w:szCs w:val="24"/>
        </w:rPr>
        <w:fldChar w:fldCharType="begin"/>
      </w:r>
      <w:r w:rsidRPr="006A6CE2">
        <w:rPr>
          <w:rFonts w:cs="Times New Roman"/>
          <w:szCs w:val="24"/>
        </w:rPr>
        <w:instrText xml:space="preserve"> REF _Ref102299408 \h  \* MERGEFORMAT </w:instrText>
      </w:r>
      <w:r w:rsidRPr="006A6CE2">
        <w:rPr>
          <w:rFonts w:cs="Times New Roman"/>
          <w:szCs w:val="24"/>
        </w:rPr>
      </w:r>
      <w:r w:rsidRPr="006A6CE2">
        <w:rPr>
          <w:rFonts w:cs="Times New Roman"/>
          <w:szCs w:val="24"/>
        </w:rPr>
        <w:fldChar w:fldCharType="separate"/>
      </w:r>
      <w:r w:rsidR="002B5007" w:rsidRPr="002B5007">
        <w:rPr>
          <w:rFonts w:cs="Times New Roman"/>
          <w:szCs w:val="24"/>
        </w:rPr>
        <w:t>Rysunek 8</w:t>
      </w:r>
      <w:r w:rsidRPr="006A6CE2">
        <w:rPr>
          <w:rFonts w:cs="Times New Roman"/>
          <w:szCs w:val="24"/>
        </w:rPr>
        <w:fldChar w:fldCharType="end"/>
      </w:r>
      <w:r w:rsidRPr="006A6CE2">
        <w:rPr>
          <w:rFonts w:cs="Times New Roman"/>
          <w:szCs w:val="24"/>
        </w:rPr>
        <w:t xml:space="preserve">). Trzy z nich znajdują się w całości w granicach województwa (GZWP nr 102, 122 i 123), natomiast powierzchnia GZWP nr 120, 134 i 135 </w:t>
      </w:r>
      <w:r w:rsidR="008C72D6">
        <w:rPr>
          <w:rFonts w:cs="Times New Roman"/>
          <w:szCs w:val="24"/>
        </w:rPr>
        <w:t>znajduje się</w:t>
      </w:r>
      <w:r w:rsidRPr="006A6CE2">
        <w:rPr>
          <w:rFonts w:cs="Times New Roman"/>
          <w:szCs w:val="24"/>
        </w:rPr>
        <w:t xml:space="preserve"> </w:t>
      </w:r>
      <w:r w:rsidR="008C72D6">
        <w:rPr>
          <w:rFonts w:cs="Times New Roman"/>
          <w:szCs w:val="24"/>
        </w:rPr>
        <w:t xml:space="preserve">w </w:t>
      </w:r>
      <w:r w:rsidRPr="006A6CE2">
        <w:rPr>
          <w:rFonts w:cs="Times New Roman"/>
          <w:szCs w:val="24"/>
        </w:rPr>
        <w:t>ponad 85% w granicach województwa. Największą powierzchnię w województwie zajmuje GZWP nr 125 (Wałcz-Piła), a najmniejszą GZWP nr 136, tj. Zbiornik międzymorenowy Dobiegniewo (Dobiegniew).</w:t>
      </w:r>
    </w:p>
    <w:p w14:paraId="54673742" w14:textId="77777777" w:rsidR="00B83214" w:rsidRPr="006A6CE2" w:rsidRDefault="00B83214" w:rsidP="00B83214">
      <w:pPr>
        <w:spacing w:line="276" w:lineRule="auto"/>
        <w:jc w:val="center"/>
        <w:rPr>
          <w:sz w:val="22"/>
        </w:rPr>
      </w:pPr>
      <w:r w:rsidRPr="006A6CE2">
        <w:rPr>
          <w:noProof/>
          <w:sz w:val="22"/>
          <w:lang w:eastAsia="pl-PL"/>
        </w:rPr>
        <w:drawing>
          <wp:inline distT="0" distB="0" distL="0" distR="0" wp14:anchorId="244E4475" wp14:editId="69A4FF6A">
            <wp:extent cx="5039320" cy="6158793"/>
            <wp:effectExtent l="0" t="0" r="952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5_GZWP.tiff"/>
                    <pic:cNvPicPr/>
                  </pic:nvPicPr>
                  <pic:blipFill rotWithShape="1">
                    <a:blip r:embed="rId28" cstate="print">
                      <a:extLst>
                        <a:ext uri="{28A0092B-C50C-407E-A947-70E740481C1C}">
                          <a14:useLocalDpi xmlns:a14="http://schemas.microsoft.com/office/drawing/2010/main" val="0"/>
                        </a:ext>
                      </a:extLst>
                    </a:blip>
                    <a:srcRect t="8688" b="5170"/>
                    <a:stretch/>
                  </pic:blipFill>
                  <pic:spPr bwMode="auto">
                    <a:xfrm>
                      <a:off x="0" y="0"/>
                      <a:ext cx="5040000" cy="6159624"/>
                    </a:xfrm>
                    <a:prstGeom prst="rect">
                      <a:avLst/>
                    </a:prstGeom>
                    <a:ln>
                      <a:noFill/>
                    </a:ln>
                    <a:extLst>
                      <a:ext uri="{53640926-AAD7-44D8-BBD7-CCE9431645EC}">
                        <a14:shadowObscured xmlns:a14="http://schemas.microsoft.com/office/drawing/2010/main"/>
                      </a:ext>
                    </a:extLst>
                  </pic:spPr>
                </pic:pic>
              </a:graphicData>
            </a:graphic>
          </wp:inline>
        </w:drawing>
      </w:r>
    </w:p>
    <w:p w14:paraId="16BFC3FC" w14:textId="77777777" w:rsidR="00B83214" w:rsidRPr="006A6CE2" w:rsidRDefault="00B83214" w:rsidP="00B83214">
      <w:pPr>
        <w:pStyle w:val="Podpispodrysunkiem"/>
      </w:pPr>
      <w:bookmarkStart w:id="127" w:name="_Ref102299408"/>
      <w:bookmarkStart w:id="128" w:name="_Toc102741388"/>
      <w:bookmarkStart w:id="129" w:name="_Toc104790110"/>
      <w:r w:rsidRPr="006A6CE2">
        <w:t xml:space="preserve">Rysunek </w:t>
      </w:r>
      <w:r>
        <w:fldChar w:fldCharType="begin"/>
      </w:r>
      <w:r>
        <w:instrText>SEQ Rysunek \* ARABIC</w:instrText>
      </w:r>
      <w:r>
        <w:fldChar w:fldCharType="separate"/>
      </w:r>
      <w:r w:rsidR="002B5007">
        <w:rPr>
          <w:noProof/>
        </w:rPr>
        <w:t>8</w:t>
      </w:r>
      <w:r>
        <w:fldChar w:fldCharType="end"/>
      </w:r>
      <w:bookmarkEnd w:id="127"/>
      <w:r w:rsidRPr="006A6CE2">
        <w:t xml:space="preserve"> GZWP w granicach województwa zachodniopomorskiego</w:t>
      </w:r>
      <w:bookmarkEnd w:id="128"/>
      <w:bookmarkEnd w:id="129"/>
    </w:p>
    <w:p w14:paraId="55CE4854" w14:textId="77777777" w:rsidR="00B83214" w:rsidRPr="006A6CE2" w:rsidRDefault="00B83214" w:rsidP="00B83214">
      <w:pPr>
        <w:spacing w:line="276" w:lineRule="auto"/>
        <w:jc w:val="both"/>
        <w:rPr>
          <w:szCs w:val="24"/>
        </w:rPr>
      </w:pPr>
      <w:r w:rsidRPr="006A6CE2">
        <w:rPr>
          <w:szCs w:val="24"/>
        </w:rPr>
        <w:t>Źródło: Państwowy Instytut Geologiczny – Państwowy Instytut Badawczy</w:t>
      </w:r>
    </w:p>
    <w:p w14:paraId="65B997AE" w14:textId="77777777" w:rsidR="00B83214" w:rsidRPr="006A6CE2" w:rsidRDefault="00B83214" w:rsidP="00B83214">
      <w:pPr>
        <w:rPr>
          <w:rFonts w:cs="Times New Roman"/>
          <w:szCs w:val="24"/>
        </w:rPr>
      </w:pPr>
      <w:r w:rsidRPr="006A6CE2">
        <w:rPr>
          <w:rFonts w:cs="Times New Roman"/>
          <w:szCs w:val="24"/>
        </w:rPr>
        <w:t>GZWP w granicach województwa to zbiorniki porowe o dobrej lub zadowalającej jakości</w:t>
      </w:r>
      <w:r w:rsidRPr="006A6CE2">
        <w:rPr>
          <w:rFonts w:cs="Times New Roman"/>
          <w:szCs w:val="24"/>
          <w:vertAlign w:val="superscript"/>
        </w:rPr>
        <w:footnoteReference w:id="112"/>
      </w:r>
      <w:r w:rsidRPr="006A6CE2">
        <w:rPr>
          <w:rFonts w:cs="Times New Roman"/>
          <w:szCs w:val="24"/>
        </w:rPr>
        <w:t>. Przeważają wody zaliczane do II lub III klasy, z tego względu wody GZWP wymagają zwykle prostych zabiegów uzdatniania, gdyż ich jakość wynika w większości z naturalnych procesów fizykochemicznych zachodzących w wodach podziemnych, a mniej z wpływu działalności człowieka. Narażone na działalność człowieka są wody GZWP zlokalizowane w rejonach uprzemysłowionych lub zurbanizowanych i rolnych (np. GZWP nr 125, gdzie obszary przemys</w:t>
      </w:r>
      <w:r w:rsidRPr="006A6CE2">
        <w:rPr>
          <w:rFonts w:cs="Times New Roman" w:hint="eastAsia"/>
          <w:szCs w:val="24"/>
        </w:rPr>
        <w:t>ł</w:t>
      </w:r>
      <w:r w:rsidRPr="006A6CE2">
        <w:rPr>
          <w:rFonts w:cs="Times New Roman"/>
          <w:szCs w:val="24"/>
        </w:rPr>
        <w:t>owe i rekreacyjne zajmuj</w:t>
      </w:r>
      <w:r w:rsidRPr="006A6CE2">
        <w:rPr>
          <w:rFonts w:cs="Times New Roman" w:hint="eastAsia"/>
          <w:szCs w:val="24"/>
        </w:rPr>
        <w:t>ą</w:t>
      </w:r>
      <w:r w:rsidRPr="006A6CE2">
        <w:rPr>
          <w:rFonts w:cs="Times New Roman"/>
          <w:szCs w:val="24"/>
        </w:rPr>
        <w:t xml:space="preserve"> nieca</w:t>
      </w:r>
      <w:r w:rsidRPr="006A6CE2">
        <w:rPr>
          <w:rFonts w:cs="Times New Roman" w:hint="eastAsia"/>
          <w:szCs w:val="24"/>
        </w:rPr>
        <w:t>ł</w:t>
      </w:r>
      <w:r w:rsidRPr="006A6CE2">
        <w:rPr>
          <w:rFonts w:cs="Times New Roman"/>
          <w:szCs w:val="24"/>
        </w:rPr>
        <w:t>e 15% terenu czy też GZWP nr 122, gdzie najwi</w:t>
      </w:r>
      <w:r w:rsidRPr="006A6CE2">
        <w:rPr>
          <w:rFonts w:cs="Times New Roman" w:hint="eastAsia"/>
          <w:szCs w:val="24"/>
        </w:rPr>
        <w:t>ę</w:t>
      </w:r>
      <w:r w:rsidRPr="006A6CE2">
        <w:rPr>
          <w:rFonts w:cs="Times New Roman"/>
          <w:szCs w:val="24"/>
        </w:rPr>
        <w:t>kszy udzia</w:t>
      </w:r>
      <w:r w:rsidRPr="006A6CE2">
        <w:rPr>
          <w:rFonts w:cs="Times New Roman" w:hint="eastAsia"/>
          <w:szCs w:val="24"/>
        </w:rPr>
        <w:t>ł</w:t>
      </w:r>
      <w:r w:rsidRPr="006A6CE2">
        <w:rPr>
          <w:rFonts w:cs="Times New Roman"/>
          <w:szCs w:val="24"/>
        </w:rPr>
        <w:t xml:space="preserve"> w strukturze zagospodarowania terenu GZWP maj</w:t>
      </w:r>
      <w:r w:rsidRPr="006A6CE2">
        <w:rPr>
          <w:rFonts w:cs="Times New Roman" w:hint="eastAsia"/>
          <w:szCs w:val="24"/>
        </w:rPr>
        <w:t>ą</w:t>
      </w:r>
      <w:r w:rsidRPr="006A6CE2">
        <w:rPr>
          <w:rFonts w:cs="Times New Roman"/>
          <w:szCs w:val="24"/>
        </w:rPr>
        <w:t xml:space="preserve"> u</w:t>
      </w:r>
      <w:r w:rsidRPr="006A6CE2">
        <w:rPr>
          <w:rFonts w:cs="Times New Roman" w:hint="eastAsia"/>
          <w:szCs w:val="24"/>
        </w:rPr>
        <w:t>ż</w:t>
      </w:r>
      <w:r w:rsidRPr="006A6CE2">
        <w:rPr>
          <w:rFonts w:cs="Times New Roman"/>
          <w:szCs w:val="24"/>
        </w:rPr>
        <w:t>ytki rolne).</w:t>
      </w:r>
    </w:p>
    <w:p w14:paraId="1BFCCDE6" w14:textId="0CA81498" w:rsidR="00B83214" w:rsidRPr="006A6CE2" w:rsidRDefault="00B83214" w:rsidP="00B83214">
      <w:pPr>
        <w:rPr>
          <w:rFonts w:cs="Times New Roman"/>
          <w:szCs w:val="24"/>
        </w:rPr>
      </w:pPr>
      <w:r w:rsidRPr="006A6CE2">
        <w:rPr>
          <w:rFonts w:cs="Times New Roman"/>
          <w:szCs w:val="24"/>
        </w:rPr>
        <w:t>G</w:t>
      </w:r>
      <w:r w:rsidRPr="006A6CE2">
        <w:rPr>
          <w:rFonts w:cs="Times New Roman" w:hint="eastAsia"/>
          <w:szCs w:val="24"/>
        </w:rPr>
        <w:t>łó</w:t>
      </w:r>
      <w:r w:rsidRPr="006A6CE2">
        <w:rPr>
          <w:rFonts w:cs="Times New Roman"/>
          <w:szCs w:val="24"/>
        </w:rPr>
        <w:t>wnymi czynnikami maj</w:t>
      </w:r>
      <w:r w:rsidRPr="006A6CE2">
        <w:rPr>
          <w:rFonts w:cs="Times New Roman" w:hint="eastAsia"/>
          <w:szCs w:val="24"/>
        </w:rPr>
        <w:t>ą</w:t>
      </w:r>
      <w:r w:rsidRPr="006A6CE2">
        <w:rPr>
          <w:rFonts w:cs="Times New Roman"/>
          <w:szCs w:val="24"/>
        </w:rPr>
        <w:t>cymi wp</w:t>
      </w:r>
      <w:r w:rsidRPr="006A6CE2">
        <w:rPr>
          <w:rFonts w:cs="Times New Roman" w:hint="eastAsia"/>
          <w:szCs w:val="24"/>
        </w:rPr>
        <w:t>ł</w:t>
      </w:r>
      <w:r w:rsidRPr="006A6CE2">
        <w:rPr>
          <w:rFonts w:cs="Times New Roman"/>
          <w:szCs w:val="24"/>
        </w:rPr>
        <w:t>yw na jako</w:t>
      </w:r>
      <w:r w:rsidRPr="006A6CE2">
        <w:rPr>
          <w:rFonts w:cs="Times New Roman" w:hint="eastAsia"/>
          <w:szCs w:val="24"/>
        </w:rPr>
        <w:t>ść</w:t>
      </w:r>
      <w:r w:rsidRPr="006A6CE2">
        <w:rPr>
          <w:rFonts w:cs="Times New Roman"/>
          <w:szCs w:val="24"/>
        </w:rPr>
        <w:t xml:space="preserve"> w</w:t>
      </w:r>
      <w:r w:rsidRPr="006A6CE2">
        <w:rPr>
          <w:rFonts w:cs="Times New Roman" w:hint="eastAsia"/>
          <w:szCs w:val="24"/>
        </w:rPr>
        <w:t>ó</w:t>
      </w:r>
      <w:r w:rsidRPr="006A6CE2">
        <w:rPr>
          <w:rFonts w:cs="Times New Roman"/>
          <w:szCs w:val="24"/>
        </w:rPr>
        <w:t>d podziemnych na obszarze GZWP są czynniki antropogeniczne. S</w:t>
      </w:r>
      <w:r w:rsidRPr="006A6CE2">
        <w:rPr>
          <w:rFonts w:cs="Times New Roman" w:hint="eastAsia"/>
          <w:szCs w:val="24"/>
        </w:rPr>
        <w:t>ą</w:t>
      </w:r>
      <w:r w:rsidRPr="006A6CE2">
        <w:rPr>
          <w:rFonts w:cs="Times New Roman"/>
          <w:szCs w:val="24"/>
        </w:rPr>
        <w:t xml:space="preserve"> one zwi</w:t>
      </w:r>
      <w:r w:rsidRPr="006A6CE2">
        <w:rPr>
          <w:rFonts w:cs="Times New Roman" w:hint="eastAsia"/>
          <w:szCs w:val="24"/>
        </w:rPr>
        <w:t>ą</w:t>
      </w:r>
      <w:r w:rsidRPr="006A6CE2">
        <w:rPr>
          <w:rFonts w:cs="Times New Roman"/>
          <w:szCs w:val="24"/>
        </w:rPr>
        <w:t>zane z dzia</w:t>
      </w:r>
      <w:r w:rsidRPr="006A6CE2">
        <w:rPr>
          <w:rFonts w:cs="Times New Roman" w:hint="eastAsia"/>
          <w:szCs w:val="24"/>
        </w:rPr>
        <w:t>ł</w:t>
      </w:r>
      <w:r w:rsidRPr="006A6CE2">
        <w:rPr>
          <w:rFonts w:cs="Times New Roman"/>
          <w:szCs w:val="24"/>
        </w:rPr>
        <w:t>alno</w:t>
      </w:r>
      <w:r w:rsidRPr="006A6CE2">
        <w:rPr>
          <w:rFonts w:cs="Times New Roman" w:hint="eastAsia"/>
          <w:szCs w:val="24"/>
        </w:rPr>
        <w:t>ś</w:t>
      </w:r>
      <w:r w:rsidRPr="006A6CE2">
        <w:rPr>
          <w:rFonts w:cs="Times New Roman"/>
          <w:szCs w:val="24"/>
        </w:rPr>
        <w:t>ci</w:t>
      </w:r>
      <w:r w:rsidRPr="006A6CE2">
        <w:rPr>
          <w:rFonts w:cs="Times New Roman" w:hint="eastAsia"/>
          <w:szCs w:val="24"/>
        </w:rPr>
        <w:t>ą</w:t>
      </w:r>
      <w:r w:rsidRPr="006A6CE2">
        <w:rPr>
          <w:rFonts w:cs="Times New Roman"/>
          <w:szCs w:val="24"/>
        </w:rPr>
        <w:t xml:space="preserve"> cz</w:t>
      </w:r>
      <w:r w:rsidRPr="006A6CE2">
        <w:rPr>
          <w:rFonts w:cs="Times New Roman" w:hint="eastAsia"/>
          <w:szCs w:val="24"/>
        </w:rPr>
        <w:t>ł</w:t>
      </w:r>
      <w:r w:rsidRPr="006A6CE2">
        <w:rPr>
          <w:rFonts w:cs="Times New Roman"/>
          <w:szCs w:val="24"/>
        </w:rPr>
        <w:t>owieka w sferze gospodarki odpadami, nadmiernej chemizacji rolnictwa i funkcjonowaniem obiekt</w:t>
      </w:r>
      <w:r w:rsidRPr="006A6CE2">
        <w:rPr>
          <w:rFonts w:cs="Times New Roman" w:hint="eastAsia"/>
          <w:szCs w:val="24"/>
        </w:rPr>
        <w:t>ó</w:t>
      </w:r>
      <w:r w:rsidRPr="006A6CE2">
        <w:rPr>
          <w:rFonts w:cs="Times New Roman"/>
          <w:szCs w:val="24"/>
        </w:rPr>
        <w:t>w i instalacji znacz</w:t>
      </w:r>
      <w:r w:rsidRPr="006A6CE2">
        <w:rPr>
          <w:rFonts w:cs="Times New Roman" w:hint="eastAsia"/>
          <w:szCs w:val="24"/>
        </w:rPr>
        <w:t>ą</w:t>
      </w:r>
      <w:r w:rsidRPr="006A6CE2">
        <w:rPr>
          <w:rFonts w:cs="Times New Roman"/>
          <w:szCs w:val="24"/>
        </w:rPr>
        <w:t>co oddzia</w:t>
      </w:r>
      <w:r w:rsidRPr="006A6CE2">
        <w:rPr>
          <w:rFonts w:cs="Times New Roman" w:hint="eastAsia"/>
          <w:szCs w:val="24"/>
        </w:rPr>
        <w:t>ł</w:t>
      </w:r>
      <w:r w:rsidRPr="006A6CE2">
        <w:rPr>
          <w:rFonts w:cs="Times New Roman"/>
          <w:szCs w:val="24"/>
        </w:rPr>
        <w:t>ywuj</w:t>
      </w:r>
      <w:r w:rsidRPr="006A6CE2">
        <w:rPr>
          <w:rFonts w:cs="Times New Roman" w:hint="eastAsia"/>
          <w:szCs w:val="24"/>
        </w:rPr>
        <w:t>ą</w:t>
      </w:r>
      <w:r w:rsidRPr="006A6CE2">
        <w:rPr>
          <w:rFonts w:cs="Times New Roman"/>
          <w:szCs w:val="24"/>
        </w:rPr>
        <w:t xml:space="preserve">cych na </w:t>
      </w:r>
      <w:r w:rsidRPr="006A6CE2">
        <w:rPr>
          <w:rFonts w:cs="Times New Roman" w:hint="eastAsia"/>
          <w:szCs w:val="24"/>
        </w:rPr>
        <w:t>ś</w:t>
      </w:r>
      <w:r w:rsidRPr="006A6CE2">
        <w:rPr>
          <w:rFonts w:cs="Times New Roman"/>
          <w:szCs w:val="24"/>
        </w:rPr>
        <w:t>rodowisko.</w:t>
      </w:r>
      <w:r>
        <w:rPr>
          <w:rFonts w:cs="Times New Roman"/>
          <w:szCs w:val="24"/>
        </w:rPr>
        <w:t xml:space="preserve"> </w:t>
      </w:r>
      <w:r w:rsidRPr="006A6CE2">
        <w:rPr>
          <w:rFonts w:cs="Times New Roman"/>
          <w:szCs w:val="24"/>
        </w:rPr>
        <w:t>Szczegółowe dane dotyczące GZWP w granicach województwa zachodniopomorskiego przedstawiono w tabeli poniżej (</w:t>
      </w:r>
      <w:r w:rsidRPr="006A6CE2">
        <w:rPr>
          <w:rFonts w:cs="Times New Roman"/>
          <w:szCs w:val="24"/>
        </w:rPr>
        <w:fldChar w:fldCharType="begin"/>
      </w:r>
      <w:r w:rsidRPr="006A6CE2">
        <w:rPr>
          <w:rFonts w:cs="Times New Roman"/>
          <w:szCs w:val="24"/>
        </w:rPr>
        <w:instrText xml:space="preserve"> REF _Ref102301731 \h  \* MERGEFORMAT </w:instrText>
      </w:r>
      <w:r w:rsidRPr="006A6CE2">
        <w:rPr>
          <w:rFonts w:cs="Times New Roman"/>
          <w:szCs w:val="24"/>
        </w:rPr>
      </w:r>
      <w:r w:rsidRPr="006A6CE2">
        <w:rPr>
          <w:rFonts w:cs="Times New Roman"/>
          <w:szCs w:val="24"/>
        </w:rPr>
        <w:fldChar w:fldCharType="separate"/>
      </w:r>
      <w:r w:rsidR="002B5007" w:rsidRPr="002B5007">
        <w:rPr>
          <w:szCs w:val="24"/>
        </w:rPr>
        <w:t xml:space="preserve">Tabela </w:t>
      </w:r>
      <w:r w:rsidR="002B5007" w:rsidRPr="002B5007">
        <w:rPr>
          <w:noProof/>
          <w:szCs w:val="24"/>
        </w:rPr>
        <w:t>7</w:t>
      </w:r>
      <w:r w:rsidRPr="006A6CE2">
        <w:rPr>
          <w:rFonts w:cs="Times New Roman"/>
          <w:szCs w:val="24"/>
        </w:rPr>
        <w:fldChar w:fldCharType="end"/>
      </w:r>
      <w:r w:rsidRPr="006A6CE2">
        <w:rPr>
          <w:rFonts w:cs="Times New Roman"/>
          <w:szCs w:val="24"/>
        </w:rPr>
        <w:t>).</w:t>
      </w:r>
    </w:p>
    <w:p w14:paraId="4C73A24F" w14:textId="77777777" w:rsidR="00B83214" w:rsidRPr="006A6CE2" w:rsidRDefault="00B83214" w:rsidP="00B83214">
      <w:pPr>
        <w:pStyle w:val="Podpispodrysunkiem"/>
      </w:pPr>
      <w:bookmarkStart w:id="130" w:name="_Ref102301731"/>
      <w:bookmarkStart w:id="131" w:name="_Toc102741401"/>
      <w:bookmarkStart w:id="132" w:name="_Toc104790077"/>
      <w:r w:rsidRPr="006A6CE2">
        <w:t xml:space="preserve">Tabela </w:t>
      </w:r>
      <w:r>
        <w:fldChar w:fldCharType="begin"/>
      </w:r>
      <w:r>
        <w:instrText>SEQ Tabela \* ARABIC</w:instrText>
      </w:r>
      <w:r>
        <w:fldChar w:fldCharType="separate"/>
      </w:r>
      <w:r w:rsidR="002B5007">
        <w:rPr>
          <w:noProof/>
        </w:rPr>
        <w:t>7</w:t>
      </w:r>
      <w:r>
        <w:fldChar w:fldCharType="end"/>
      </w:r>
      <w:bookmarkEnd w:id="130"/>
      <w:r w:rsidRPr="006A6CE2">
        <w:t xml:space="preserve"> </w:t>
      </w:r>
      <w:r w:rsidRPr="007C07ED">
        <w:t>GZWP</w:t>
      </w:r>
      <w:r w:rsidRPr="006A6CE2">
        <w:t xml:space="preserve"> w granicach województwa zachodniopomorskiego</w:t>
      </w:r>
      <w:bookmarkEnd w:id="131"/>
      <w:bookmarkEnd w:id="132"/>
    </w:p>
    <w:tbl>
      <w:tblPr>
        <w:tblStyle w:val="Tabelasiatki1jasnaakcent11"/>
        <w:tblW w:w="9023" w:type="dxa"/>
        <w:jc w:val="center"/>
        <w:tblLook w:val="04A0" w:firstRow="1" w:lastRow="0" w:firstColumn="1" w:lastColumn="0" w:noHBand="0" w:noVBand="1"/>
      </w:tblPr>
      <w:tblGrid>
        <w:gridCol w:w="1384"/>
        <w:gridCol w:w="2155"/>
        <w:gridCol w:w="2000"/>
        <w:gridCol w:w="1769"/>
        <w:gridCol w:w="1715"/>
      </w:tblGrid>
      <w:tr w:rsidR="00B83214" w:rsidRPr="006A6CE2" w14:paraId="639B081B" w14:textId="77777777" w:rsidTr="00B8321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84" w:type="dxa"/>
            <w:vMerge w:val="restart"/>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0B267B8E" w14:textId="77777777" w:rsidR="00B83214" w:rsidRPr="006A6CE2" w:rsidRDefault="00B83214" w:rsidP="00B83214">
            <w:pPr>
              <w:spacing w:before="0"/>
              <w:rPr>
                <w:rFonts w:ascii="Calibri" w:eastAsia="Times New Roman" w:hAnsi="Calibri" w:cs="Calibri"/>
                <w:b w:val="0"/>
                <w:bCs w:val="0"/>
                <w:color w:val="000000"/>
                <w:szCs w:val="24"/>
                <w:lang w:eastAsia="pl-PL"/>
              </w:rPr>
            </w:pPr>
            <w:r w:rsidRPr="006A6CE2">
              <w:rPr>
                <w:rFonts w:ascii="Calibri" w:eastAsia="Times New Roman" w:hAnsi="Calibri" w:cs="Calibri"/>
                <w:color w:val="000000"/>
                <w:szCs w:val="24"/>
                <w:lang w:eastAsia="pl-PL"/>
              </w:rPr>
              <w:t>Nr GZWP</w:t>
            </w:r>
          </w:p>
          <w:p w14:paraId="5E5EBBAB" w14:textId="77777777" w:rsidR="00B83214" w:rsidRPr="006A6CE2" w:rsidRDefault="00B83214" w:rsidP="00B83214">
            <w:pPr>
              <w:spacing w:before="0"/>
              <w:rPr>
                <w:rFonts w:ascii="Calibri" w:eastAsia="Times New Roman" w:hAnsi="Calibri" w:cs="Calibri"/>
                <w:color w:val="000000"/>
                <w:szCs w:val="24"/>
                <w:lang w:eastAsia="pl-PL"/>
              </w:rPr>
            </w:pPr>
          </w:p>
        </w:tc>
        <w:tc>
          <w:tcPr>
            <w:tcW w:w="2155" w:type="dxa"/>
            <w:vMerge w:val="restart"/>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73527B17"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Cs w:val="24"/>
                <w:lang w:eastAsia="pl-PL"/>
              </w:rPr>
            </w:pPr>
            <w:r w:rsidRPr="006A6CE2">
              <w:rPr>
                <w:rFonts w:ascii="Calibri" w:eastAsia="Times New Roman" w:hAnsi="Calibri" w:cs="Calibri"/>
                <w:color w:val="000000"/>
                <w:szCs w:val="24"/>
                <w:lang w:eastAsia="pl-PL"/>
              </w:rPr>
              <w:t>Nazwa</w:t>
            </w:r>
          </w:p>
          <w:p w14:paraId="3E4917BE"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p>
        </w:tc>
        <w:tc>
          <w:tcPr>
            <w:tcW w:w="2000" w:type="dxa"/>
            <w:tcBorders>
              <w:top w:val="single" w:sz="4" w:space="0" w:color="B7DFA8" w:themeColor="accent1" w:themeTint="66"/>
              <w:left w:val="single" w:sz="4" w:space="0" w:color="B7DFA8" w:themeColor="accent1" w:themeTint="66"/>
              <w:right w:val="single" w:sz="4" w:space="0" w:color="B7DFA8" w:themeColor="accent1" w:themeTint="66"/>
            </w:tcBorders>
          </w:tcPr>
          <w:p w14:paraId="1520AD91"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Szacunkowe zasoby dyspozycyjne</w:t>
            </w:r>
          </w:p>
        </w:tc>
        <w:tc>
          <w:tcPr>
            <w:tcW w:w="1769" w:type="dxa"/>
            <w:tcBorders>
              <w:top w:val="single" w:sz="4" w:space="0" w:color="B7DFA8" w:themeColor="accent1" w:themeTint="66"/>
              <w:left w:val="single" w:sz="4" w:space="0" w:color="B7DFA8" w:themeColor="accent1" w:themeTint="66"/>
              <w:right w:val="single" w:sz="4" w:space="0" w:color="B7DFA8" w:themeColor="accent1" w:themeTint="66"/>
            </w:tcBorders>
          </w:tcPr>
          <w:p w14:paraId="21AF497A"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Stopień wykorzystania zasobów dyspozycyjnych</w:t>
            </w:r>
          </w:p>
        </w:tc>
        <w:tc>
          <w:tcPr>
            <w:tcW w:w="1715" w:type="dxa"/>
            <w:tcBorders>
              <w:top w:val="single" w:sz="4" w:space="0" w:color="B7DFA8" w:themeColor="accent1" w:themeTint="66"/>
              <w:left w:val="single" w:sz="4" w:space="0" w:color="B7DFA8" w:themeColor="accent1" w:themeTint="66"/>
              <w:right w:val="single" w:sz="4" w:space="0" w:color="B7DFA8" w:themeColor="accent1" w:themeTint="66"/>
            </w:tcBorders>
          </w:tcPr>
          <w:p w14:paraId="5CA290D4"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Udział w gran. województwa</w:t>
            </w:r>
          </w:p>
        </w:tc>
      </w:tr>
      <w:tr w:rsidR="00B83214" w:rsidRPr="006A6CE2" w14:paraId="6A1E3FAF"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vMerge/>
            <w:tcBorders>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D92CDA6" w14:textId="77777777" w:rsidR="00B83214" w:rsidRPr="006A6CE2" w:rsidRDefault="00B83214" w:rsidP="00B83214">
            <w:pPr>
              <w:spacing w:before="0"/>
              <w:rPr>
                <w:rFonts w:ascii="Calibri" w:eastAsia="Times New Roman" w:hAnsi="Calibri" w:cs="Calibri"/>
                <w:b w:val="0"/>
                <w:color w:val="000000"/>
                <w:szCs w:val="24"/>
                <w:lang w:eastAsia="pl-PL"/>
              </w:rPr>
            </w:pPr>
          </w:p>
        </w:tc>
        <w:tc>
          <w:tcPr>
            <w:tcW w:w="2155" w:type="dxa"/>
            <w:vMerge/>
            <w:tcBorders>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3E82AF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p>
        </w:tc>
        <w:tc>
          <w:tcPr>
            <w:tcW w:w="200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CC5923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m</w:t>
            </w:r>
            <w:r w:rsidRPr="006A6CE2">
              <w:rPr>
                <w:rFonts w:ascii="Calibri" w:eastAsia="Times New Roman" w:hAnsi="Calibri" w:cs="Calibri"/>
                <w:bCs/>
                <w:color w:val="000000"/>
                <w:szCs w:val="24"/>
                <w:vertAlign w:val="superscript"/>
                <w:lang w:eastAsia="pl-PL"/>
              </w:rPr>
              <w:t>3</w:t>
            </w:r>
            <w:r w:rsidRPr="006A6CE2">
              <w:rPr>
                <w:rFonts w:ascii="Calibri" w:eastAsia="Times New Roman" w:hAnsi="Calibri" w:cs="Calibri"/>
                <w:bCs/>
                <w:color w:val="000000"/>
                <w:szCs w:val="24"/>
                <w:lang w:eastAsia="pl-PL"/>
              </w:rPr>
              <w:t>/d ]</w:t>
            </w:r>
          </w:p>
        </w:tc>
        <w:tc>
          <w:tcPr>
            <w:tcW w:w="176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5286EFD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 ]</w:t>
            </w:r>
          </w:p>
        </w:tc>
        <w:tc>
          <w:tcPr>
            <w:tcW w:w="171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DABFD3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 ]</w:t>
            </w:r>
          </w:p>
        </w:tc>
      </w:tr>
      <w:tr w:rsidR="00B83214" w:rsidRPr="006A6CE2" w14:paraId="7DCDE83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57DFD75"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102</w:t>
            </w:r>
          </w:p>
        </w:tc>
        <w:tc>
          <w:tcPr>
            <w:tcW w:w="215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D71460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Wyspa Wolin</w:t>
            </w:r>
          </w:p>
        </w:tc>
        <w:tc>
          <w:tcPr>
            <w:tcW w:w="200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D9829D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22 201</w:t>
            </w:r>
          </w:p>
        </w:tc>
        <w:tc>
          <w:tcPr>
            <w:tcW w:w="176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41894EC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10,4</w:t>
            </w:r>
          </w:p>
        </w:tc>
        <w:tc>
          <w:tcPr>
            <w:tcW w:w="171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4BA115C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100</w:t>
            </w:r>
          </w:p>
        </w:tc>
      </w:tr>
      <w:tr w:rsidR="00B83214" w:rsidRPr="006A6CE2" w14:paraId="27FEF04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F531751"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118</w:t>
            </w:r>
          </w:p>
        </w:tc>
        <w:tc>
          <w:tcPr>
            <w:tcW w:w="215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1B2703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Zbiornik międzymorenowy Polanów</w:t>
            </w:r>
          </w:p>
        </w:tc>
        <w:tc>
          <w:tcPr>
            <w:tcW w:w="200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588D0F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14 348</w:t>
            </w:r>
          </w:p>
        </w:tc>
        <w:tc>
          <w:tcPr>
            <w:tcW w:w="176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6CC66B4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6</w:t>
            </w:r>
          </w:p>
        </w:tc>
        <w:tc>
          <w:tcPr>
            <w:tcW w:w="171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30E55D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52</w:t>
            </w:r>
          </w:p>
        </w:tc>
      </w:tr>
      <w:tr w:rsidR="00B83214" w:rsidRPr="006A6CE2" w14:paraId="706D9CE5"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A553E04"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120</w:t>
            </w:r>
          </w:p>
        </w:tc>
        <w:tc>
          <w:tcPr>
            <w:tcW w:w="215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339185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Zbiornik międzymorenowy Bobolice</w:t>
            </w:r>
          </w:p>
        </w:tc>
        <w:tc>
          <w:tcPr>
            <w:tcW w:w="200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0668E7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63 200</w:t>
            </w:r>
          </w:p>
        </w:tc>
        <w:tc>
          <w:tcPr>
            <w:tcW w:w="176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6973C65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1,6</w:t>
            </w:r>
          </w:p>
        </w:tc>
        <w:tc>
          <w:tcPr>
            <w:tcW w:w="171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98DCFE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88</w:t>
            </w:r>
          </w:p>
        </w:tc>
      </w:tr>
      <w:tr w:rsidR="00B83214" w:rsidRPr="006A6CE2" w14:paraId="24B24FFD"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828DE13"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122</w:t>
            </w:r>
          </w:p>
        </w:tc>
        <w:tc>
          <w:tcPr>
            <w:tcW w:w="215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2DC538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Dolina kopalna Szczecin</w:t>
            </w:r>
          </w:p>
        </w:tc>
        <w:tc>
          <w:tcPr>
            <w:tcW w:w="200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97C0BC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37 440</w:t>
            </w:r>
          </w:p>
        </w:tc>
        <w:tc>
          <w:tcPr>
            <w:tcW w:w="176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6DB8BB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33</w:t>
            </w:r>
          </w:p>
        </w:tc>
        <w:tc>
          <w:tcPr>
            <w:tcW w:w="171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7F8B791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100</w:t>
            </w:r>
          </w:p>
        </w:tc>
      </w:tr>
      <w:tr w:rsidR="00B83214" w:rsidRPr="006A6CE2" w14:paraId="546BF751"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7B35986"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123</w:t>
            </w:r>
          </w:p>
        </w:tc>
        <w:tc>
          <w:tcPr>
            <w:tcW w:w="215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67E67D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Zbiornik międzymorenowy Stargard-Goleniów</w:t>
            </w:r>
          </w:p>
        </w:tc>
        <w:tc>
          <w:tcPr>
            <w:tcW w:w="200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A63384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86 707</w:t>
            </w:r>
          </w:p>
        </w:tc>
        <w:tc>
          <w:tcPr>
            <w:tcW w:w="176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6B725E4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23</w:t>
            </w:r>
          </w:p>
        </w:tc>
        <w:tc>
          <w:tcPr>
            <w:tcW w:w="171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D97678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100</w:t>
            </w:r>
          </w:p>
        </w:tc>
      </w:tr>
      <w:tr w:rsidR="00B83214" w:rsidRPr="006A6CE2" w14:paraId="29D8A706"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CFBC4A1"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125</w:t>
            </w:r>
          </w:p>
        </w:tc>
        <w:tc>
          <w:tcPr>
            <w:tcW w:w="215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1B3250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Wałcz-Piła</w:t>
            </w:r>
          </w:p>
        </w:tc>
        <w:tc>
          <w:tcPr>
            <w:tcW w:w="200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0A0AE3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270 920</w:t>
            </w:r>
          </w:p>
        </w:tc>
        <w:tc>
          <w:tcPr>
            <w:tcW w:w="176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2F48A66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8,2</w:t>
            </w:r>
          </w:p>
        </w:tc>
        <w:tc>
          <w:tcPr>
            <w:tcW w:w="171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123EA1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78</w:t>
            </w:r>
          </w:p>
        </w:tc>
      </w:tr>
      <w:tr w:rsidR="00B83214" w:rsidRPr="006A6CE2" w14:paraId="3066FA23"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78C5C84"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126</w:t>
            </w:r>
          </w:p>
        </w:tc>
        <w:tc>
          <w:tcPr>
            <w:tcW w:w="215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EC6398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Zbiornik Szczecinek</w:t>
            </w:r>
          </w:p>
        </w:tc>
        <w:tc>
          <w:tcPr>
            <w:tcW w:w="200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5993AE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166 000</w:t>
            </w:r>
          </w:p>
        </w:tc>
        <w:tc>
          <w:tcPr>
            <w:tcW w:w="176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2762B8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10</w:t>
            </w:r>
          </w:p>
        </w:tc>
        <w:tc>
          <w:tcPr>
            <w:tcW w:w="171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5A70B1E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65</w:t>
            </w:r>
          </w:p>
        </w:tc>
      </w:tr>
      <w:tr w:rsidR="00B83214" w:rsidRPr="006A6CE2" w14:paraId="101A1CF3"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996E229"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127</w:t>
            </w:r>
          </w:p>
        </w:tc>
        <w:tc>
          <w:tcPr>
            <w:tcW w:w="215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C6F29B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Subzbiornik Złotów-Piła-Strzelce Krajeńskie</w:t>
            </w:r>
          </w:p>
        </w:tc>
        <w:tc>
          <w:tcPr>
            <w:tcW w:w="200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FA1389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269 000</w:t>
            </w:r>
          </w:p>
        </w:tc>
        <w:tc>
          <w:tcPr>
            <w:tcW w:w="176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2705A9A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w:t>
            </w:r>
          </w:p>
        </w:tc>
        <w:tc>
          <w:tcPr>
            <w:tcW w:w="171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F4AB54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w:t>
            </w:r>
          </w:p>
        </w:tc>
      </w:tr>
      <w:tr w:rsidR="00B83214" w:rsidRPr="006A6CE2" w14:paraId="60D6D057"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4D53ED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134</w:t>
            </w:r>
          </w:p>
        </w:tc>
        <w:tc>
          <w:tcPr>
            <w:tcW w:w="215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3D795A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Dębno</w:t>
            </w:r>
          </w:p>
        </w:tc>
        <w:tc>
          <w:tcPr>
            <w:tcW w:w="200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0958E5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14 270</w:t>
            </w:r>
          </w:p>
        </w:tc>
        <w:tc>
          <w:tcPr>
            <w:tcW w:w="176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483B6C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26</w:t>
            </w:r>
          </w:p>
        </w:tc>
        <w:tc>
          <w:tcPr>
            <w:tcW w:w="171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C07586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93</w:t>
            </w:r>
          </w:p>
        </w:tc>
      </w:tr>
      <w:tr w:rsidR="00B83214" w:rsidRPr="006A6CE2" w14:paraId="7A00DEEC"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C03758B"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135</w:t>
            </w:r>
          </w:p>
        </w:tc>
        <w:tc>
          <w:tcPr>
            <w:tcW w:w="215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BC12A7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Zbiornik Barlinek</w:t>
            </w:r>
          </w:p>
        </w:tc>
        <w:tc>
          <w:tcPr>
            <w:tcW w:w="200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C86F05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9 792</w:t>
            </w:r>
          </w:p>
        </w:tc>
        <w:tc>
          <w:tcPr>
            <w:tcW w:w="176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3FBE528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b.d.</w:t>
            </w:r>
          </w:p>
        </w:tc>
        <w:tc>
          <w:tcPr>
            <w:tcW w:w="171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036FFB1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92</w:t>
            </w:r>
          </w:p>
        </w:tc>
      </w:tr>
      <w:tr w:rsidR="00B83214" w:rsidRPr="006A6CE2" w14:paraId="46759515"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E74F2B5"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136</w:t>
            </w:r>
          </w:p>
        </w:tc>
        <w:tc>
          <w:tcPr>
            <w:tcW w:w="215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78FBDA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Zbiornik międzymorenowy Dobiegniewo (Dobiegniew)</w:t>
            </w:r>
          </w:p>
        </w:tc>
        <w:tc>
          <w:tcPr>
            <w:tcW w:w="200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06C915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43 000</w:t>
            </w:r>
          </w:p>
        </w:tc>
        <w:tc>
          <w:tcPr>
            <w:tcW w:w="176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00102A8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3,9</w:t>
            </w:r>
          </w:p>
        </w:tc>
        <w:tc>
          <w:tcPr>
            <w:tcW w:w="171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073CE6F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36</w:t>
            </w:r>
          </w:p>
        </w:tc>
      </w:tr>
    </w:tbl>
    <w:p w14:paraId="27E517B9" w14:textId="77777777" w:rsidR="00B83214" w:rsidRPr="006A6CE2" w:rsidRDefault="00B83214" w:rsidP="00B83214">
      <w:pPr>
        <w:rPr>
          <w:szCs w:val="24"/>
        </w:rPr>
      </w:pPr>
      <w:r w:rsidRPr="006A6CE2">
        <w:rPr>
          <w:szCs w:val="24"/>
        </w:rPr>
        <w:t>b.d. – brak danych</w:t>
      </w:r>
    </w:p>
    <w:p w14:paraId="1ACBD459" w14:textId="77777777" w:rsidR="00B83214" w:rsidRPr="006A6CE2" w:rsidRDefault="00B83214" w:rsidP="00B83214">
      <w:pPr>
        <w:pStyle w:val="rdo"/>
      </w:pPr>
      <w:r w:rsidRPr="006A6CE2">
        <w:t>Źródło: Dane hydrogeologiczne państwowej służby hydrogeologicznej; Informator PSH – Główne Zbiorniki Wód Podziemnych w Polsce, PIG – PIB, 2017</w:t>
      </w:r>
    </w:p>
    <w:p w14:paraId="189E2065" w14:textId="77777777" w:rsidR="00B83214" w:rsidRPr="006A6CE2" w:rsidRDefault="00B83214" w:rsidP="00B83214">
      <w:pPr>
        <w:rPr>
          <w:rFonts w:cstheme="minorHAnsi"/>
          <w:szCs w:val="24"/>
        </w:rPr>
      </w:pPr>
      <w:r w:rsidRPr="006A6CE2">
        <w:rPr>
          <w:szCs w:val="24"/>
        </w:rPr>
        <w:t xml:space="preserve">Dla wszystkich GZWP zostały sporządzone i zatwierdzone dokumentacje hydrogeologiczne. Dla ośmiu z nich zaproponowano obszary ochronne, które stanowią wydzielone części </w:t>
      </w:r>
      <w:r w:rsidRPr="006A6CE2">
        <w:rPr>
          <w:rFonts w:cstheme="minorHAnsi"/>
          <w:szCs w:val="24"/>
        </w:rPr>
        <w:t xml:space="preserve">zbiorników i ich stref zasilania. </w:t>
      </w:r>
      <w:r w:rsidRPr="006A6CE2">
        <w:rPr>
          <w:szCs w:val="24"/>
        </w:rPr>
        <w:t>Zgodnie z art. 141 ustawy z dnia 20 lipca 2017 r. Prawo wodne (t.j. Dz.U. 2021 poz. 2233) obszary ochronne zbiorników wód podziemnych ustanawia Wojewoda na wniosek Wód Polskich, w drodze aktu prawa miejscowego. Są to obszary, na których mogą obowiązywać zakazy oraz ograniczenia w zakresie użytkowania gruntów lub korzystania z wód w celu ochrony zasobów tych wód przed degradacją, a przede wszystkim ich jakości (stanu chemicznego).</w:t>
      </w:r>
    </w:p>
    <w:p w14:paraId="054D6FCD" w14:textId="77777777" w:rsidR="00B83214" w:rsidRPr="007C07ED" w:rsidRDefault="00B83214" w:rsidP="00B83214">
      <w:pPr>
        <w:pStyle w:val="Podpispodrysunkiem"/>
      </w:pPr>
      <w:bookmarkStart w:id="133" w:name="_Toc102741402"/>
      <w:bookmarkStart w:id="134" w:name="_Toc104790078"/>
      <w:r w:rsidRPr="007C07ED">
        <w:t xml:space="preserve">Tabela </w:t>
      </w:r>
      <w:r>
        <w:fldChar w:fldCharType="begin"/>
      </w:r>
      <w:r>
        <w:instrText>SEQ Tabela \* ARABIC</w:instrText>
      </w:r>
      <w:r>
        <w:fldChar w:fldCharType="separate"/>
      </w:r>
      <w:r w:rsidR="002B5007">
        <w:rPr>
          <w:noProof/>
        </w:rPr>
        <w:t>8</w:t>
      </w:r>
      <w:r>
        <w:fldChar w:fldCharType="end"/>
      </w:r>
      <w:r w:rsidRPr="007C07ED">
        <w:t xml:space="preserve"> Dane o obszarach ochronnych GZWP w granicach województwa zachodniopomorskiego</w:t>
      </w:r>
      <w:bookmarkEnd w:id="133"/>
      <w:bookmarkEnd w:id="134"/>
    </w:p>
    <w:tbl>
      <w:tblPr>
        <w:tblStyle w:val="Tabelasiatki1jasnaakcent11"/>
        <w:tblW w:w="9288" w:type="dxa"/>
        <w:jc w:val="center"/>
        <w:tblLook w:val="04A0" w:firstRow="1" w:lastRow="0" w:firstColumn="1" w:lastColumn="0" w:noHBand="0" w:noVBand="1"/>
      </w:tblPr>
      <w:tblGrid>
        <w:gridCol w:w="1384"/>
        <w:gridCol w:w="3431"/>
        <w:gridCol w:w="1843"/>
        <w:gridCol w:w="2630"/>
      </w:tblGrid>
      <w:tr w:rsidR="00B83214" w:rsidRPr="006A6CE2" w14:paraId="3D0DB978" w14:textId="77777777" w:rsidTr="00B8321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84" w:type="dxa"/>
            <w:vMerge w:val="restart"/>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06C6CC4A" w14:textId="77777777" w:rsidR="00B83214" w:rsidRPr="006A6CE2" w:rsidRDefault="00B83214" w:rsidP="00B83214">
            <w:pPr>
              <w:spacing w:before="0"/>
              <w:rPr>
                <w:rFonts w:ascii="Calibri" w:eastAsia="Times New Roman" w:hAnsi="Calibri" w:cs="Calibri"/>
                <w:b w:val="0"/>
                <w:bCs w:val="0"/>
                <w:color w:val="000000"/>
                <w:szCs w:val="24"/>
                <w:lang w:eastAsia="pl-PL"/>
              </w:rPr>
            </w:pPr>
            <w:r w:rsidRPr="006A6CE2">
              <w:rPr>
                <w:rFonts w:ascii="Calibri" w:eastAsia="Times New Roman" w:hAnsi="Calibri" w:cs="Calibri"/>
                <w:color w:val="000000"/>
                <w:szCs w:val="24"/>
                <w:lang w:eastAsia="pl-PL"/>
              </w:rPr>
              <w:t>Nr GZWP</w:t>
            </w:r>
          </w:p>
          <w:p w14:paraId="1397EAEF" w14:textId="77777777" w:rsidR="00B83214" w:rsidRPr="006A6CE2" w:rsidRDefault="00B83214" w:rsidP="00B83214">
            <w:pPr>
              <w:spacing w:before="0"/>
              <w:rPr>
                <w:rFonts w:ascii="Calibri" w:eastAsia="Times New Roman" w:hAnsi="Calibri" w:cs="Calibri"/>
                <w:color w:val="000000"/>
                <w:szCs w:val="24"/>
                <w:lang w:eastAsia="pl-PL"/>
              </w:rPr>
            </w:pPr>
          </w:p>
        </w:tc>
        <w:tc>
          <w:tcPr>
            <w:tcW w:w="3431" w:type="dxa"/>
            <w:vMerge w:val="restart"/>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461C8134"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Cs w:val="24"/>
                <w:lang w:eastAsia="pl-PL"/>
              </w:rPr>
            </w:pPr>
            <w:r w:rsidRPr="006A6CE2">
              <w:rPr>
                <w:rFonts w:ascii="Calibri" w:eastAsia="Times New Roman" w:hAnsi="Calibri" w:cs="Calibri"/>
                <w:color w:val="000000"/>
                <w:szCs w:val="24"/>
                <w:lang w:eastAsia="pl-PL"/>
              </w:rPr>
              <w:t>Podatność na antropopresję</w:t>
            </w:r>
          </w:p>
          <w:p w14:paraId="4E959270"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p>
        </w:tc>
        <w:tc>
          <w:tcPr>
            <w:tcW w:w="1843" w:type="dxa"/>
            <w:tcBorders>
              <w:top w:val="single" w:sz="4" w:space="0" w:color="B7DFA8" w:themeColor="accent1" w:themeTint="66"/>
              <w:left w:val="single" w:sz="4" w:space="0" w:color="B7DFA8" w:themeColor="accent1" w:themeTint="66"/>
              <w:right w:val="single" w:sz="4" w:space="0" w:color="B7DFA8" w:themeColor="accent1" w:themeTint="66"/>
            </w:tcBorders>
          </w:tcPr>
          <w:p w14:paraId="5B1FB7C4"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Proponowany obszar ochronny</w:t>
            </w:r>
          </w:p>
        </w:tc>
        <w:tc>
          <w:tcPr>
            <w:tcW w:w="2630" w:type="dxa"/>
            <w:tcBorders>
              <w:top w:val="single" w:sz="4" w:space="0" w:color="B7DFA8" w:themeColor="accent1" w:themeTint="66"/>
              <w:left w:val="single" w:sz="4" w:space="0" w:color="B7DFA8" w:themeColor="accent1" w:themeTint="66"/>
              <w:right w:val="single" w:sz="4" w:space="0" w:color="B7DFA8" w:themeColor="accent1" w:themeTint="66"/>
            </w:tcBorders>
          </w:tcPr>
          <w:p w14:paraId="6AD9B550"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Dokumentacji hydrogeologiczna</w:t>
            </w:r>
          </w:p>
        </w:tc>
      </w:tr>
      <w:tr w:rsidR="00B83214" w:rsidRPr="006A6CE2" w14:paraId="7E172750"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vMerge/>
            <w:tcBorders>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29110BA" w14:textId="77777777" w:rsidR="00B83214" w:rsidRPr="006A6CE2" w:rsidRDefault="00B83214" w:rsidP="00B83214">
            <w:pPr>
              <w:spacing w:before="0"/>
              <w:rPr>
                <w:rFonts w:ascii="Calibri" w:eastAsia="Times New Roman" w:hAnsi="Calibri" w:cs="Calibri"/>
                <w:b w:val="0"/>
                <w:color w:val="000000"/>
                <w:szCs w:val="24"/>
                <w:lang w:eastAsia="pl-PL"/>
              </w:rPr>
            </w:pPr>
          </w:p>
        </w:tc>
        <w:tc>
          <w:tcPr>
            <w:tcW w:w="3431" w:type="dxa"/>
            <w:vMerge/>
            <w:tcBorders>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23B8B2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1556FD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km</w:t>
            </w:r>
            <w:r w:rsidRPr="006A6CE2">
              <w:rPr>
                <w:rFonts w:ascii="Calibri" w:eastAsia="Times New Roman" w:hAnsi="Calibri" w:cs="Calibri"/>
                <w:bCs/>
                <w:color w:val="000000"/>
                <w:szCs w:val="24"/>
                <w:vertAlign w:val="superscript"/>
                <w:lang w:eastAsia="pl-PL"/>
              </w:rPr>
              <w:t>2</w:t>
            </w:r>
            <w:r w:rsidRPr="006A6CE2">
              <w:rPr>
                <w:rFonts w:ascii="Calibri" w:eastAsia="Times New Roman" w:hAnsi="Calibri" w:cs="Calibri"/>
                <w:bCs/>
                <w:color w:val="000000"/>
                <w:szCs w:val="24"/>
                <w:lang w:eastAsia="pl-PL"/>
              </w:rPr>
              <w:t xml:space="preserve"> ]</w:t>
            </w:r>
          </w:p>
        </w:tc>
        <w:tc>
          <w:tcPr>
            <w:tcW w:w="263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25B078C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w:t>
            </w:r>
          </w:p>
        </w:tc>
      </w:tr>
      <w:tr w:rsidR="00B83214" w:rsidRPr="006A6CE2" w14:paraId="4EC93AE2"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94C15E8"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102</w:t>
            </w:r>
          </w:p>
        </w:tc>
        <w:tc>
          <w:tcPr>
            <w:tcW w:w="343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56F14A0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od bardzo podatnego do bardzo ma</w:t>
            </w:r>
            <w:r w:rsidRPr="006A6CE2">
              <w:rPr>
                <w:rFonts w:ascii="Calibri" w:eastAsia="Times New Roman" w:hAnsi="Calibri" w:cs="Calibri" w:hint="eastAsia"/>
                <w:bCs/>
                <w:color w:val="000000"/>
                <w:szCs w:val="24"/>
                <w:lang w:eastAsia="pl-PL"/>
              </w:rPr>
              <w:t>ł</w:t>
            </w:r>
            <w:r w:rsidRPr="006A6CE2">
              <w:rPr>
                <w:rFonts w:ascii="Calibri" w:eastAsia="Times New Roman" w:hAnsi="Calibri" w:cs="Calibri"/>
                <w:bCs/>
                <w:color w:val="000000"/>
                <w:szCs w:val="24"/>
                <w:lang w:eastAsia="pl-PL"/>
              </w:rPr>
              <w:t>o podatnego</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1B3070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76,2</w:t>
            </w:r>
          </w:p>
        </w:tc>
        <w:tc>
          <w:tcPr>
            <w:tcW w:w="263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4C226340" w14:textId="77777777" w:rsidR="00B83214" w:rsidRPr="006A6CE2" w:rsidRDefault="00B83214" w:rsidP="00B83214">
            <w:pPr>
              <w:autoSpaceDE w:val="0"/>
              <w:autoSpaceDN w:val="0"/>
              <w:adjustRightInd w:val="0"/>
              <w:spacing w:before="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Dodatek do dokumentacji</w:t>
            </w:r>
          </w:p>
          <w:p w14:paraId="5E466CC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GZWP nr 102 (2015)</w:t>
            </w:r>
          </w:p>
        </w:tc>
      </w:tr>
      <w:tr w:rsidR="00B83214" w:rsidRPr="006A6CE2" w14:paraId="1D13CDDE"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8E4C958"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118</w:t>
            </w:r>
          </w:p>
        </w:tc>
        <w:tc>
          <w:tcPr>
            <w:tcW w:w="343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1C0CF54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bardzo ma</w:t>
            </w:r>
            <w:r w:rsidRPr="006A6CE2">
              <w:rPr>
                <w:rFonts w:ascii="Calibri" w:eastAsia="Times New Roman" w:hAnsi="Calibri" w:cs="Calibri" w:hint="eastAsia"/>
                <w:bCs/>
                <w:color w:val="000000"/>
                <w:szCs w:val="24"/>
                <w:lang w:eastAsia="pl-PL"/>
              </w:rPr>
              <w:t>ł</w:t>
            </w:r>
            <w:r w:rsidRPr="006A6CE2">
              <w:rPr>
                <w:rFonts w:ascii="Calibri" w:eastAsia="Times New Roman" w:hAnsi="Calibri" w:cs="Calibri"/>
                <w:bCs/>
                <w:color w:val="000000"/>
                <w:szCs w:val="24"/>
                <w:lang w:eastAsia="pl-PL"/>
              </w:rPr>
              <w:t xml:space="preserve">o podatny, </w:t>
            </w:r>
            <w:r w:rsidRPr="006A6CE2">
              <w:rPr>
                <w:rFonts w:ascii="Calibri" w:eastAsia="Times New Roman" w:hAnsi="Calibri" w:cs="Calibri" w:hint="eastAsia"/>
                <w:bCs/>
                <w:color w:val="000000"/>
                <w:szCs w:val="24"/>
                <w:lang w:eastAsia="pl-PL"/>
              </w:rPr>
              <w:t>ś</w:t>
            </w:r>
            <w:r w:rsidRPr="006A6CE2">
              <w:rPr>
                <w:rFonts w:ascii="Calibri" w:eastAsia="Times New Roman" w:hAnsi="Calibri" w:cs="Calibri"/>
                <w:bCs/>
                <w:color w:val="000000"/>
                <w:szCs w:val="24"/>
                <w:lang w:eastAsia="pl-PL"/>
              </w:rPr>
              <w:t>rednio i ma</w:t>
            </w:r>
            <w:r w:rsidRPr="006A6CE2">
              <w:rPr>
                <w:rFonts w:ascii="Calibri" w:eastAsia="Times New Roman" w:hAnsi="Calibri" w:cs="Calibri" w:hint="eastAsia"/>
                <w:bCs/>
                <w:color w:val="000000"/>
                <w:szCs w:val="24"/>
                <w:lang w:eastAsia="pl-PL"/>
              </w:rPr>
              <w:t>ł</w:t>
            </w:r>
            <w:r w:rsidRPr="006A6CE2">
              <w:rPr>
                <w:rFonts w:ascii="Calibri" w:eastAsia="Times New Roman" w:hAnsi="Calibri" w:cs="Calibri"/>
                <w:bCs/>
                <w:color w:val="000000"/>
                <w:szCs w:val="24"/>
                <w:lang w:eastAsia="pl-PL"/>
              </w:rPr>
              <w:t>o podatny</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829B8F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7,8</w:t>
            </w:r>
          </w:p>
        </w:tc>
        <w:tc>
          <w:tcPr>
            <w:tcW w:w="263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33A9F3B0" w14:textId="77777777" w:rsidR="00B83214" w:rsidRPr="006A6CE2" w:rsidRDefault="00B83214" w:rsidP="00B83214">
            <w:pPr>
              <w:autoSpaceDE w:val="0"/>
              <w:autoSpaceDN w:val="0"/>
              <w:adjustRightInd w:val="0"/>
              <w:spacing w:before="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Dokumentacja hydrogeologiczna</w:t>
            </w:r>
          </w:p>
          <w:p w14:paraId="19F6688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GZWP nr 118 (2015)</w:t>
            </w:r>
          </w:p>
        </w:tc>
      </w:tr>
      <w:tr w:rsidR="00B83214" w:rsidRPr="006A6CE2" w14:paraId="4F8F4BA5"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BCD8F8C"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120</w:t>
            </w:r>
          </w:p>
        </w:tc>
        <w:tc>
          <w:tcPr>
            <w:tcW w:w="343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3808B5C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podatny, bardzo podatny</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132EE9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408,9</w:t>
            </w:r>
          </w:p>
        </w:tc>
        <w:tc>
          <w:tcPr>
            <w:tcW w:w="263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59F8A38C" w14:textId="77777777" w:rsidR="00B83214" w:rsidRPr="006A6CE2" w:rsidRDefault="00B83214" w:rsidP="00B83214">
            <w:pPr>
              <w:autoSpaceDE w:val="0"/>
              <w:autoSpaceDN w:val="0"/>
              <w:adjustRightInd w:val="0"/>
              <w:spacing w:before="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Dokumentacja hydrogeologiczna</w:t>
            </w:r>
          </w:p>
          <w:p w14:paraId="32A719A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GZWP nr 120 (2011)</w:t>
            </w:r>
          </w:p>
        </w:tc>
      </w:tr>
      <w:tr w:rsidR="00B83214" w:rsidRPr="006A6CE2" w14:paraId="1C2403DD"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755D314"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122</w:t>
            </w:r>
          </w:p>
        </w:tc>
        <w:tc>
          <w:tcPr>
            <w:tcW w:w="343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428F93D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xml:space="preserve">od bardzo podatnego, podatnego (6,5%) do </w:t>
            </w:r>
            <w:r w:rsidRPr="006A6CE2">
              <w:rPr>
                <w:rFonts w:ascii="Calibri" w:eastAsia="Times New Roman" w:hAnsi="Calibri" w:cs="Calibri" w:hint="eastAsia"/>
                <w:bCs/>
                <w:color w:val="000000"/>
                <w:szCs w:val="24"/>
                <w:lang w:eastAsia="pl-PL"/>
              </w:rPr>
              <w:t>ś</w:t>
            </w:r>
            <w:r w:rsidRPr="006A6CE2">
              <w:rPr>
                <w:rFonts w:ascii="Calibri" w:eastAsia="Times New Roman" w:hAnsi="Calibri" w:cs="Calibri"/>
                <w:bCs/>
                <w:color w:val="000000"/>
                <w:szCs w:val="24"/>
                <w:lang w:eastAsia="pl-PL"/>
              </w:rPr>
              <w:t>rednio i ma</w:t>
            </w:r>
            <w:r w:rsidRPr="006A6CE2">
              <w:rPr>
                <w:rFonts w:ascii="Calibri" w:eastAsia="Times New Roman" w:hAnsi="Calibri" w:cs="Calibri" w:hint="eastAsia"/>
                <w:bCs/>
                <w:color w:val="000000"/>
                <w:szCs w:val="24"/>
                <w:lang w:eastAsia="pl-PL"/>
              </w:rPr>
              <w:t>ł</w:t>
            </w:r>
            <w:r w:rsidRPr="006A6CE2">
              <w:rPr>
                <w:rFonts w:ascii="Calibri" w:eastAsia="Times New Roman" w:hAnsi="Calibri" w:cs="Calibri"/>
                <w:bCs/>
                <w:color w:val="000000"/>
                <w:szCs w:val="24"/>
                <w:lang w:eastAsia="pl-PL"/>
              </w:rPr>
              <w:t>o podatnego (93,5%)</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9265B7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9,89</w:t>
            </w:r>
          </w:p>
        </w:tc>
        <w:tc>
          <w:tcPr>
            <w:tcW w:w="263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6F8FDA51" w14:textId="77777777" w:rsidR="00B83214" w:rsidRPr="006A6CE2" w:rsidRDefault="00B83214" w:rsidP="00B83214">
            <w:pPr>
              <w:autoSpaceDE w:val="0"/>
              <w:autoSpaceDN w:val="0"/>
              <w:adjustRightInd w:val="0"/>
              <w:spacing w:before="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Dodatek do dokumentacji</w:t>
            </w:r>
          </w:p>
          <w:p w14:paraId="7CB7397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GZWP nr 122 (2011)</w:t>
            </w:r>
          </w:p>
        </w:tc>
      </w:tr>
      <w:tr w:rsidR="00B83214" w:rsidRPr="006A6CE2" w14:paraId="465BEA96"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CB4FE57"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123</w:t>
            </w:r>
          </w:p>
        </w:tc>
        <w:tc>
          <w:tcPr>
            <w:tcW w:w="343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368E2D4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xml:space="preserve">bardzo podatny, podatny, </w:t>
            </w:r>
            <w:r w:rsidRPr="006A6CE2">
              <w:rPr>
                <w:rFonts w:ascii="Calibri" w:eastAsia="Times New Roman" w:hAnsi="Calibri" w:cs="Calibri" w:hint="eastAsia"/>
                <w:bCs/>
                <w:color w:val="000000"/>
                <w:szCs w:val="24"/>
                <w:lang w:eastAsia="pl-PL"/>
              </w:rPr>
              <w:t>ś</w:t>
            </w:r>
            <w:r w:rsidRPr="006A6CE2">
              <w:rPr>
                <w:rFonts w:ascii="Calibri" w:eastAsia="Times New Roman" w:hAnsi="Calibri" w:cs="Calibri"/>
                <w:bCs/>
                <w:color w:val="000000"/>
                <w:szCs w:val="24"/>
                <w:lang w:eastAsia="pl-PL"/>
              </w:rPr>
              <w:t>rednio i ma</w:t>
            </w:r>
            <w:r w:rsidRPr="006A6CE2">
              <w:rPr>
                <w:rFonts w:ascii="Calibri" w:eastAsia="Times New Roman" w:hAnsi="Calibri" w:cs="Calibri" w:hint="eastAsia"/>
                <w:bCs/>
                <w:color w:val="000000"/>
                <w:szCs w:val="24"/>
                <w:lang w:eastAsia="pl-PL"/>
              </w:rPr>
              <w:t>ł</w:t>
            </w:r>
            <w:r w:rsidRPr="006A6CE2">
              <w:rPr>
                <w:rFonts w:ascii="Calibri" w:eastAsia="Times New Roman" w:hAnsi="Calibri" w:cs="Calibri"/>
                <w:bCs/>
                <w:color w:val="000000"/>
                <w:szCs w:val="24"/>
                <w:lang w:eastAsia="pl-PL"/>
              </w:rPr>
              <w:t>o podatny</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76B657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153,0</w:t>
            </w:r>
          </w:p>
        </w:tc>
        <w:tc>
          <w:tcPr>
            <w:tcW w:w="263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3E2159CE" w14:textId="77777777" w:rsidR="00B83214" w:rsidRPr="006A6CE2" w:rsidRDefault="00B83214" w:rsidP="00B83214">
            <w:pPr>
              <w:autoSpaceDE w:val="0"/>
              <w:autoSpaceDN w:val="0"/>
              <w:adjustRightInd w:val="0"/>
              <w:spacing w:before="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Dodatek do dokumentacji</w:t>
            </w:r>
          </w:p>
          <w:p w14:paraId="207F152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GZWP nr 123 (2011)</w:t>
            </w:r>
          </w:p>
        </w:tc>
      </w:tr>
      <w:tr w:rsidR="00B83214" w:rsidRPr="006A6CE2" w14:paraId="17343BE9"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F435FC6"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125</w:t>
            </w:r>
          </w:p>
        </w:tc>
        <w:tc>
          <w:tcPr>
            <w:tcW w:w="343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66BDFC4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xml:space="preserve">od bardzo podatnego do </w:t>
            </w:r>
            <w:r w:rsidRPr="006A6CE2">
              <w:rPr>
                <w:rFonts w:ascii="Calibri" w:eastAsia="Times New Roman" w:hAnsi="Calibri" w:cs="Calibri" w:hint="eastAsia"/>
                <w:bCs/>
                <w:color w:val="000000"/>
                <w:szCs w:val="24"/>
                <w:lang w:eastAsia="pl-PL"/>
              </w:rPr>
              <w:t>ś</w:t>
            </w:r>
            <w:r w:rsidRPr="006A6CE2">
              <w:rPr>
                <w:rFonts w:ascii="Calibri" w:eastAsia="Times New Roman" w:hAnsi="Calibri" w:cs="Calibri"/>
                <w:bCs/>
                <w:color w:val="000000"/>
                <w:szCs w:val="24"/>
                <w:lang w:eastAsia="pl-PL"/>
              </w:rPr>
              <w:t>rednio i ma</w:t>
            </w:r>
            <w:r w:rsidRPr="006A6CE2">
              <w:rPr>
                <w:rFonts w:ascii="Calibri" w:eastAsia="Times New Roman" w:hAnsi="Calibri" w:cs="Calibri" w:hint="eastAsia"/>
                <w:bCs/>
                <w:color w:val="000000"/>
                <w:szCs w:val="24"/>
                <w:lang w:eastAsia="pl-PL"/>
              </w:rPr>
              <w:t>ł</w:t>
            </w:r>
            <w:r w:rsidRPr="006A6CE2">
              <w:rPr>
                <w:rFonts w:ascii="Calibri" w:eastAsia="Times New Roman" w:hAnsi="Calibri" w:cs="Calibri"/>
                <w:bCs/>
                <w:color w:val="000000"/>
                <w:szCs w:val="24"/>
                <w:lang w:eastAsia="pl-PL"/>
              </w:rPr>
              <w:t>o podatnego</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18334D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552,5</w:t>
            </w:r>
          </w:p>
        </w:tc>
        <w:tc>
          <w:tcPr>
            <w:tcW w:w="263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418ECCCF" w14:textId="77777777" w:rsidR="00B83214" w:rsidRPr="006A6CE2" w:rsidRDefault="00B83214" w:rsidP="00B83214">
            <w:pPr>
              <w:autoSpaceDE w:val="0"/>
              <w:autoSpaceDN w:val="0"/>
              <w:adjustRightInd w:val="0"/>
              <w:spacing w:before="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Dokumentacja hydrogeologiczna</w:t>
            </w:r>
          </w:p>
          <w:p w14:paraId="1E53FD9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GZWP nr 125 (2011)</w:t>
            </w:r>
          </w:p>
        </w:tc>
      </w:tr>
      <w:tr w:rsidR="00B83214" w:rsidRPr="006A6CE2" w14:paraId="5860D29C"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9EB1A02"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126</w:t>
            </w:r>
          </w:p>
        </w:tc>
        <w:tc>
          <w:tcPr>
            <w:tcW w:w="343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5B5199B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bardzo ma</w:t>
            </w:r>
            <w:r w:rsidRPr="006A6CE2">
              <w:rPr>
                <w:rFonts w:ascii="Calibri" w:eastAsia="Times New Roman" w:hAnsi="Calibri" w:cs="Calibri" w:hint="eastAsia"/>
                <w:bCs/>
                <w:color w:val="000000"/>
                <w:szCs w:val="24"/>
                <w:lang w:eastAsia="pl-PL"/>
              </w:rPr>
              <w:t>ł</w:t>
            </w:r>
            <w:r w:rsidRPr="006A6CE2">
              <w:rPr>
                <w:rFonts w:ascii="Calibri" w:eastAsia="Times New Roman" w:hAnsi="Calibri" w:cs="Calibri"/>
                <w:bCs/>
                <w:color w:val="000000"/>
                <w:szCs w:val="24"/>
                <w:lang w:eastAsia="pl-PL"/>
              </w:rPr>
              <w:t>o podatny</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481E26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Nie wyznaczono</w:t>
            </w:r>
          </w:p>
        </w:tc>
        <w:tc>
          <w:tcPr>
            <w:tcW w:w="263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65D79814" w14:textId="77777777" w:rsidR="00B83214" w:rsidRPr="006A6CE2" w:rsidRDefault="00B83214" w:rsidP="00B83214">
            <w:pPr>
              <w:autoSpaceDE w:val="0"/>
              <w:autoSpaceDN w:val="0"/>
              <w:adjustRightInd w:val="0"/>
              <w:spacing w:before="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Dokumentacja hydrogeologiczna</w:t>
            </w:r>
          </w:p>
          <w:p w14:paraId="1AF2317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GZWP nr 126 (2011)</w:t>
            </w:r>
          </w:p>
        </w:tc>
      </w:tr>
      <w:tr w:rsidR="00B83214" w:rsidRPr="006A6CE2" w14:paraId="4E06B867"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57C9AD8"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127</w:t>
            </w:r>
          </w:p>
        </w:tc>
        <w:tc>
          <w:tcPr>
            <w:tcW w:w="343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684D00B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bardzo ma</w:t>
            </w:r>
            <w:r w:rsidRPr="006A6CE2">
              <w:rPr>
                <w:rFonts w:ascii="Calibri" w:eastAsia="Times New Roman" w:hAnsi="Calibri" w:cs="Calibri" w:hint="eastAsia"/>
                <w:bCs/>
                <w:color w:val="000000"/>
                <w:szCs w:val="24"/>
                <w:lang w:eastAsia="pl-PL"/>
              </w:rPr>
              <w:t>ł</w:t>
            </w:r>
            <w:r w:rsidRPr="006A6CE2">
              <w:rPr>
                <w:rFonts w:ascii="Calibri" w:eastAsia="Times New Roman" w:hAnsi="Calibri" w:cs="Calibri"/>
                <w:bCs/>
                <w:color w:val="000000"/>
                <w:szCs w:val="24"/>
                <w:lang w:eastAsia="pl-PL"/>
              </w:rPr>
              <w:t>o podatny</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D21922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Nie wyznaczono</w:t>
            </w:r>
          </w:p>
        </w:tc>
        <w:tc>
          <w:tcPr>
            <w:tcW w:w="263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3BF08695" w14:textId="77777777" w:rsidR="00B83214" w:rsidRPr="006A6CE2" w:rsidRDefault="00B83214" w:rsidP="00B83214">
            <w:pPr>
              <w:autoSpaceDE w:val="0"/>
              <w:autoSpaceDN w:val="0"/>
              <w:adjustRightInd w:val="0"/>
              <w:spacing w:before="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Dokumentacja hydrogeologiczna</w:t>
            </w:r>
          </w:p>
          <w:p w14:paraId="1567E69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GZWP nr 127 (2013)</w:t>
            </w:r>
          </w:p>
        </w:tc>
      </w:tr>
      <w:tr w:rsidR="00B83214" w:rsidRPr="006A6CE2" w14:paraId="7F08ABD4"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2DD171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134</w:t>
            </w:r>
          </w:p>
        </w:tc>
        <w:tc>
          <w:tcPr>
            <w:tcW w:w="343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26CAC43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hint="eastAsia"/>
                <w:bCs/>
                <w:color w:val="000000"/>
                <w:szCs w:val="24"/>
                <w:lang w:eastAsia="pl-PL"/>
              </w:rPr>
              <w:t>ś</w:t>
            </w:r>
            <w:r w:rsidRPr="006A6CE2">
              <w:rPr>
                <w:rFonts w:ascii="Calibri" w:eastAsia="Times New Roman" w:hAnsi="Calibri" w:cs="Calibri"/>
                <w:bCs/>
                <w:color w:val="000000"/>
                <w:szCs w:val="24"/>
                <w:lang w:eastAsia="pl-PL"/>
              </w:rPr>
              <w:t>rednio i ma</w:t>
            </w:r>
            <w:r w:rsidRPr="006A6CE2">
              <w:rPr>
                <w:rFonts w:ascii="Calibri" w:eastAsia="Times New Roman" w:hAnsi="Calibri" w:cs="Calibri" w:hint="eastAsia"/>
                <w:bCs/>
                <w:color w:val="000000"/>
                <w:szCs w:val="24"/>
                <w:lang w:eastAsia="pl-PL"/>
              </w:rPr>
              <w:t>ł</w:t>
            </w:r>
            <w:r w:rsidRPr="006A6CE2">
              <w:rPr>
                <w:rFonts w:ascii="Calibri" w:eastAsia="Times New Roman" w:hAnsi="Calibri" w:cs="Calibri"/>
                <w:bCs/>
                <w:color w:val="000000"/>
                <w:szCs w:val="24"/>
                <w:lang w:eastAsia="pl-PL"/>
              </w:rPr>
              <w:t>o podatny, bardzo ma</w:t>
            </w:r>
            <w:r w:rsidRPr="006A6CE2">
              <w:rPr>
                <w:rFonts w:ascii="Calibri" w:eastAsia="Times New Roman" w:hAnsi="Calibri" w:cs="Calibri" w:hint="eastAsia"/>
                <w:bCs/>
                <w:color w:val="000000"/>
                <w:szCs w:val="24"/>
                <w:lang w:eastAsia="pl-PL"/>
              </w:rPr>
              <w:t>ł</w:t>
            </w:r>
            <w:r w:rsidRPr="006A6CE2">
              <w:rPr>
                <w:rFonts w:ascii="Calibri" w:eastAsia="Times New Roman" w:hAnsi="Calibri" w:cs="Calibri"/>
                <w:bCs/>
                <w:color w:val="000000"/>
                <w:szCs w:val="24"/>
                <w:lang w:eastAsia="pl-PL"/>
              </w:rPr>
              <w:t>o podatny</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BD7229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44,9</w:t>
            </w:r>
          </w:p>
        </w:tc>
        <w:tc>
          <w:tcPr>
            <w:tcW w:w="263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755D651" w14:textId="77777777" w:rsidR="00B83214" w:rsidRPr="006A6CE2" w:rsidRDefault="00B83214" w:rsidP="00B83214">
            <w:pPr>
              <w:autoSpaceDE w:val="0"/>
              <w:autoSpaceDN w:val="0"/>
              <w:adjustRightInd w:val="0"/>
              <w:spacing w:before="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Dokumentacja hydrogeologiczna</w:t>
            </w:r>
          </w:p>
          <w:p w14:paraId="530B996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GZWP nr 134 (2011)</w:t>
            </w:r>
          </w:p>
        </w:tc>
      </w:tr>
      <w:tr w:rsidR="00B83214" w:rsidRPr="006A6CE2" w14:paraId="4DA40C1D"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AB4D2B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135</w:t>
            </w:r>
          </w:p>
        </w:tc>
        <w:tc>
          <w:tcPr>
            <w:tcW w:w="343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5603685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podatny</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BC72A4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142,76</w:t>
            </w:r>
          </w:p>
        </w:tc>
        <w:tc>
          <w:tcPr>
            <w:tcW w:w="263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02AE8B24" w14:textId="77777777" w:rsidR="00B83214" w:rsidRPr="006A6CE2" w:rsidRDefault="00B83214" w:rsidP="00B83214">
            <w:pPr>
              <w:autoSpaceDE w:val="0"/>
              <w:autoSpaceDN w:val="0"/>
              <w:adjustRightInd w:val="0"/>
              <w:spacing w:before="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Dokumentacja hydrogeologiczna</w:t>
            </w:r>
          </w:p>
          <w:p w14:paraId="7D1C9C4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GZWP nr 135 (2015)</w:t>
            </w:r>
          </w:p>
        </w:tc>
      </w:tr>
      <w:tr w:rsidR="00B83214" w:rsidRPr="006A6CE2" w14:paraId="408B387D"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971877C"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136</w:t>
            </w:r>
          </w:p>
        </w:tc>
        <w:tc>
          <w:tcPr>
            <w:tcW w:w="343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tcPr>
          <w:p w14:paraId="0367567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hint="eastAsia"/>
                <w:bCs/>
                <w:color w:val="000000"/>
                <w:szCs w:val="24"/>
                <w:lang w:eastAsia="pl-PL"/>
              </w:rPr>
              <w:t>ś</w:t>
            </w:r>
            <w:r w:rsidRPr="006A6CE2">
              <w:rPr>
                <w:rFonts w:ascii="Calibri" w:eastAsia="Times New Roman" w:hAnsi="Calibri" w:cs="Calibri"/>
                <w:bCs/>
                <w:color w:val="000000"/>
                <w:szCs w:val="24"/>
                <w:lang w:eastAsia="pl-PL"/>
              </w:rPr>
              <w:t>rednio i ma</w:t>
            </w:r>
            <w:r w:rsidRPr="006A6CE2">
              <w:rPr>
                <w:rFonts w:ascii="Calibri" w:eastAsia="Times New Roman" w:hAnsi="Calibri" w:cs="Calibri" w:hint="eastAsia"/>
                <w:bCs/>
                <w:color w:val="000000"/>
                <w:szCs w:val="24"/>
                <w:lang w:eastAsia="pl-PL"/>
              </w:rPr>
              <w:t>ł</w:t>
            </w:r>
            <w:r w:rsidRPr="006A6CE2">
              <w:rPr>
                <w:rFonts w:ascii="Calibri" w:eastAsia="Times New Roman" w:hAnsi="Calibri" w:cs="Calibri"/>
                <w:bCs/>
                <w:color w:val="000000"/>
                <w:szCs w:val="24"/>
                <w:lang w:eastAsia="pl-PL"/>
              </w:rPr>
              <w:t>o podatny</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E6C284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Nie wyznaczono</w:t>
            </w:r>
          </w:p>
        </w:tc>
        <w:tc>
          <w:tcPr>
            <w:tcW w:w="263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065330D3" w14:textId="77777777" w:rsidR="00B83214" w:rsidRPr="006A6CE2" w:rsidRDefault="00B83214" w:rsidP="00B83214">
            <w:pPr>
              <w:autoSpaceDE w:val="0"/>
              <w:autoSpaceDN w:val="0"/>
              <w:adjustRightInd w:val="0"/>
              <w:spacing w:before="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Dokumentacja hydrogeologiczna</w:t>
            </w:r>
          </w:p>
          <w:p w14:paraId="4084C52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GZWP nr 136 (2013)</w:t>
            </w:r>
          </w:p>
        </w:tc>
      </w:tr>
    </w:tbl>
    <w:p w14:paraId="3802E169" w14:textId="77777777" w:rsidR="00B83214" w:rsidRPr="006A6CE2" w:rsidRDefault="00B83214" w:rsidP="00B83214">
      <w:pPr>
        <w:pStyle w:val="rdo"/>
      </w:pPr>
      <w:r w:rsidRPr="006A6CE2">
        <w:t>Źródło: Dane hydrogeologiczne państwowej służby hydrogeologicznej; Informator PSH – Główne Zbiorniki Wód Podziemnych w Polsce, PIG – PIB, 2017</w:t>
      </w:r>
    </w:p>
    <w:p w14:paraId="618E565B" w14:textId="2CE59B38" w:rsidR="00B83214" w:rsidRPr="006A6CE2" w:rsidRDefault="00B83214" w:rsidP="00B83214">
      <w:pPr>
        <w:rPr>
          <w:rFonts w:cs="Times New Roman"/>
          <w:szCs w:val="24"/>
        </w:rPr>
      </w:pPr>
      <w:r w:rsidRPr="006A6CE2">
        <w:rPr>
          <w:rFonts w:cs="Times New Roman"/>
          <w:szCs w:val="24"/>
        </w:rPr>
        <w:t>W granicach województwa zachodniopomorskiego zidentyfikowano 17 obszarów bilansowych (</w:t>
      </w:r>
      <w:r w:rsidRPr="006A6CE2">
        <w:rPr>
          <w:rFonts w:cs="Times New Roman"/>
          <w:szCs w:val="24"/>
        </w:rPr>
        <w:fldChar w:fldCharType="begin"/>
      </w:r>
      <w:r w:rsidRPr="006A6CE2">
        <w:rPr>
          <w:rFonts w:cs="Times New Roman"/>
          <w:szCs w:val="24"/>
        </w:rPr>
        <w:instrText xml:space="preserve"> REF _Ref102301976 \h  \* MERGEFORMAT </w:instrText>
      </w:r>
      <w:r w:rsidRPr="006A6CE2">
        <w:rPr>
          <w:rFonts w:cs="Times New Roman"/>
          <w:szCs w:val="24"/>
        </w:rPr>
      </w:r>
      <w:r w:rsidRPr="006A6CE2">
        <w:rPr>
          <w:rFonts w:cs="Times New Roman"/>
          <w:szCs w:val="24"/>
        </w:rPr>
        <w:fldChar w:fldCharType="separate"/>
      </w:r>
      <w:r w:rsidR="002B5007" w:rsidRPr="002B5007">
        <w:rPr>
          <w:szCs w:val="24"/>
        </w:rPr>
        <w:t xml:space="preserve">Rysunek </w:t>
      </w:r>
      <w:r w:rsidR="002B5007" w:rsidRPr="002B5007">
        <w:rPr>
          <w:noProof/>
          <w:szCs w:val="24"/>
        </w:rPr>
        <w:t>9</w:t>
      </w:r>
      <w:r w:rsidRPr="006A6CE2">
        <w:rPr>
          <w:rFonts w:cs="Times New Roman"/>
          <w:szCs w:val="24"/>
        </w:rPr>
        <w:fldChar w:fldCharType="end"/>
      </w:r>
      <w:r w:rsidRPr="006A6CE2">
        <w:rPr>
          <w:rFonts w:cs="Times New Roman"/>
          <w:szCs w:val="24"/>
        </w:rPr>
        <w:t>). Należy jednak podkreślić, że granice obszarów bilansowych są rozmieszczone również w granicach innych województw. Przeważająca większość obszarów bilansowych znajduje się w całości w granicach województwa. Obszar bilansowy S-XV, P-XVI, P-XV, P-XVIII oraz niewielka część obszaru S-IX znajdują się również w granicach innych województw.</w:t>
      </w:r>
    </w:p>
    <w:p w14:paraId="2C93B967" w14:textId="77777777" w:rsidR="00B83214" w:rsidRPr="006A6CE2" w:rsidRDefault="00B83214" w:rsidP="00B83214">
      <w:pPr>
        <w:spacing w:line="276" w:lineRule="auto"/>
        <w:jc w:val="center"/>
        <w:rPr>
          <w:sz w:val="22"/>
        </w:rPr>
      </w:pPr>
      <w:r w:rsidRPr="006A6CE2">
        <w:rPr>
          <w:noProof/>
          <w:sz w:val="22"/>
          <w:lang w:eastAsia="pl-PL"/>
        </w:rPr>
        <w:drawing>
          <wp:inline distT="0" distB="0" distL="0" distR="0" wp14:anchorId="79E76736" wp14:editId="3D6F7D6D">
            <wp:extent cx="5040000" cy="7150572"/>
            <wp:effectExtent l="0" t="0" r="825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40000" cy="7150572"/>
                    </a:xfrm>
                    <a:prstGeom prst="rect">
                      <a:avLst/>
                    </a:prstGeom>
                  </pic:spPr>
                </pic:pic>
              </a:graphicData>
            </a:graphic>
          </wp:inline>
        </w:drawing>
      </w:r>
    </w:p>
    <w:p w14:paraId="3A3C5DD0" w14:textId="77777777" w:rsidR="00B83214" w:rsidRPr="006A6CE2" w:rsidRDefault="00B83214" w:rsidP="00B83214">
      <w:pPr>
        <w:pStyle w:val="Podpispodrysunkiem"/>
      </w:pPr>
      <w:bookmarkStart w:id="135" w:name="_Ref102301976"/>
      <w:bookmarkStart w:id="136" w:name="_Toc102741389"/>
      <w:bookmarkStart w:id="137" w:name="_Toc104790111"/>
      <w:r w:rsidRPr="006A6CE2">
        <w:t xml:space="preserve">Rysunek </w:t>
      </w:r>
      <w:r>
        <w:fldChar w:fldCharType="begin"/>
      </w:r>
      <w:r>
        <w:instrText>SEQ Rysunek \* ARABIC</w:instrText>
      </w:r>
      <w:r>
        <w:fldChar w:fldCharType="separate"/>
      </w:r>
      <w:r w:rsidR="002B5007">
        <w:rPr>
          <w:noProof/>
        </w:rPr>
        <w:t>9</w:t>
      </w:r>
      <w:r>
        <w:fldChar w:fldCharType="end"/>
      </w:r>
      <w:bookmarkEnd w:id="135"/>
      <w:r w:rsidRPr="006A6CE2">
        <w:t xml:space="preserve"> Obszary bilansowe w granicach województwa zachodniopomorskiego</w:t>
      </w:r>
      <w:bookmarkEnd w:id="136"/>
      <w:bookmarkEnd w:id="137"/>
    </w:p>
    <w:p w14:paraId="38E7D3A6" w14:textId="3D451C22" w:rsidR="00B83214" w:rsidRPr="006A6CE2" w:rsidRDefault="00B83214" w:rsidP="00B83214">
      <w:pPr>
        <w:spacing w:line="276" w:lineRule="auto"/>
        <w:rPr>
          <w:szCs w:val="24"/>
        </w:rPr>
      </w:pPr>
      <w:r w:rsidRPr="006A6CE2">
        <w:rPr>
          <w:szCs w:val="24"/>
        </w:rPr>
        <w:t xml:space="preserve">Źródło: </w:t>
      </w:r>
      <w:hyperlink r:id="rId30" w:history="1">
        <w:r w:rsidRPr="006A6CE2">
          <w:rPr>
            <w:color w:val="6B9F25" w:themeColor="hyperlink"/>
            <w:szCs w:val="24"/>
            <w:u w:val="single"/>
          </w:rPr>
          <w:t>http://epsh.pgi.gov.pl/epsh/</w:t>
        </w:r>
      </w:hyperlink>
      <w:r w:rsidRPr="006A6CE2">
        <w:rPr>
          <w:szCs w:val="24"/>
        </w:rPr>
        <w:t xml:space="preserve">; </w:t>
      </w:r>
      <w:r>
        <w:rPr>
          <w:szCs w:val="24"/>
        </w:rPr>
        <w:t>(</w:t>
      </w:r>
      <w:r w:rsidRPr="006A6CE2">
        <w:rPr>
          <w:szCs w:val="24"/>
        </w:rPr>
        <w:t>dostęp z dn.</w:t>
      </w:r>
      <w:r>
        <w:rPr>
          <w:szCs w:val="24"/>
        </w:rPr>
        <w:t>:</w:t>
      </w:r>
      <w:r w:rsidRPr="006A6CE2">
        <w:rPr>
          <w:szCs w:val="24"/>
        </w:rPr>
        <w:t xml:space="preserve"> 01.05.2022</w:t>
      </w:r>
      <w:r>
        <w:rPr>
          <w:szCs w:val="24"/>
        </w:rPr>
        <w:t>)</w:t>
      </w:r>
    </w:p>
    <w:p w14:paraId="30AF4E0A" w14:textId="00B0F174" w:rsidR="00B83214" w:rsidRPr="006A6CE2" w:rsidRDefault="00B83214" w:rsidP="00B83214">
      <w:pPr>
        <w:rPr>
          <w:rFonts w:cs="Times New Roman"/>
          <w:szCs w:val="24"/>
        </w:rPr>
      </w:pPr>
      <w:r w:rsidRPr="006A6CE2">
        <w:rPr>
          <w:rFonts w:cs="Times New Roman"/>
          <w:szCs w:val="24"/>
        </w:rPr>
        <w:t>W tabeli poniżej (</w:t>
      </w:r>
      <w:r w:rsidRPr="006A6CE2">
        <w:rPr>
          <w:rFonts w:cs="Times New Roman"/>
          <w:szCs w:val="24"/>
        </w:rPr>
        <w:fldChar w:fldCharType="begin"/>
      </w:r>
      <w:r w:rsidRPr="006A6CE2">
        <w:rPr>
          <w:rFonts w:cs="Times New Roman"/>
          <w:szCs w:val="24"/>
        </w:rPr>
        <w:instrText xml:space="preserve"> REF _Ref102302080 \h  \* MERGEFORMAT </w:instrText>
      </w:r>
      <w:r w:rsidRPr="006A6CE2">
        <w:rPr>
          <w:rFonts w:cs="Times New Roman"/>
          <w:szCs w:val="24"/>
        </w:rPr>
      </w:r>
      <w:r w:rsidRPr="006A6CE2">
        <w:rPr>
          <w:rFonts w:cs="Times New Roman"/>
          <w:szCs w:val="24"/>
        </w:rPr>
        <w:fldChar w:fldCharType="separate"/>
      </w:r>
      <w:r w:rsidR="002B5007" w:rsidRPr="002B5007">
        <w:rPr>
          <w:szCs w:val="24"/>
        </w:rPr>
        <w:t xml:space="preserve">Tabela </w:t>
      </w:r>
      <w:r w:rsidR="002B5007" w:rsidRPr="002B5007">
        <w:rPr>
          <w:noProof/>
          <w:szCs w:val="24"/>
        </w:rPr>
        <w:t>9</w:t>
      </w:r>
      <w:r w:rsidRPr="006A6CE2">
        <w:rPr>
          <w:rFonts w:cs="Times New Roman"/>
          <w:szCs w:val="24"/>
        </w:rPr>
        <w:fldChar w:fldCharType="end"/>
      </w:r>
      <w:r w:rsidRPr="006A6CE2">
        <w:rPr>
          <w:rFonts w:cs="Times New Roman"/>
          <w:szCs w:val="24"/>
        </w:rPr>
        <w:t>) przedstawiono stan zasobów dyspozycyjnych dla obszarów bilansowych znajdujących się w granicach województwa zachodniopomorskiego. Łączne zasoby dyspozycyjne w obszarach bilansowych wynoszą 4 401 362 m</w:t>
      </w:r>
      <w:r w:rsidRPr="006A6CE2">
        <w:rPr>
          <w:rFonts w:cs="Times New Roman"/>
          <w:szCs w:val="24"/>
          <w:vertAlign w:val="superscript"/>
        </w:rPr>
        <w:t>3</w:t>
      </w:r>
      <w:r w:rsidRPr="006A6CE2">
        <w:rPr>
          <w:rFonts w:cs="Times New Roman"/>
          <w:szCs w:val="24"/>
        </w:rPr>
        <w:t>/d.</w:t>
      </w:r>
    </w:p>
    <w:p w14:paraId="50519B17" w14:textId="77777777" w:rsidR="00B83214" w:rsidRPr="006A6CE2" w:rsidRDefault="00B83214" w:rsidP="00B83214">
      <w:pPr>
        <w:pStyle w:val="Podpispodrysunkiem"/>
      </w:pPr>
      <w:bookmarkStart w:id="138" w:name="_Ref102302080"/>
      <w:bookmarkStart w:id="139" w:name="_Toc102741403"/>
      <w:bookmarkStart w:id="140" w:name="_Toc104790079"/>
      <w:r w:rsidRPr="006A6CE2">
        <w:t xml:space="preserve">Tabela </w:t>
      </w:r>
      <w:r>
        <w:fldChar w:fldCharType="begin"/>
      </w:r>
      <w:r>
        <w:instrText>SEQ Tabela \* ARABIC</w:instrText>
      </w:r>
      <w:r>
        <w:fldChar w:fldCharType="separate"/>
      </w:r>
      <w:r w:rsidR="002B5007">
        <w:rPr>
          <w:noProof/>
        </w:rPr>
        <w:t>9</w:t>
      </w:r>
      <w:r>
        <w:fldChar w:fldCharType="end"/>
      </w:r>
      <w:bookmarkEnd w:id="138"/>
      <w:r w:rsidRPr="006A6CE2">
        <w:t xml:space="preserve"> Obszary bilansowe w granicach województwa zachodniopomorskiego wg stanu na dzień 31.12.2021 r.</w:t>
      </w:r>
      <w:bookmarkEnd w:id="139"/>
      <w:bookmarkEnd w:id="140"/>
    </w:p>
    <w:tbl>
      <w:tblPr>
        <w:tblStyle w:val="Tabelasiatki1jasnaakcent11"/>
        <w:tblW w:w="8994" w:type="dxa"/>
        <w:jc w:val="center"/>
        <w:tblLook w:val="04A0" w:firstRow="1" w:lastRow="0" w:firstColumn="1" w:lastColumn="0" w:noHBand="0" w:noVBand="1"/>
      </w:tblPr>
      <w:tblGrid>
        <w:gridCol w:w="2739"/>
        <w:gridCol w:w="3616"/>
        <w:gridCol w:w="2639"/>
      </w:tblGrid>
      <w:tr w:rsidR="00B83214" w:rsidRPr="006A6CE2" w14:paraId="3230510D" w14:textId="77777777" w:rsidTr="00B8321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739" w:type="dxa"/>
            <w:vMerge w:val="restart"/>
            <w:tcBorders>
              <w:top w:val="single" w:sz="4" w:space="0" w:color="B7DFA8" w:themeColor="accent1" w:themeTint="66"/>
              <w:left w:val="single" w:sz="4" w:space="0" w:color="B7DFA8" w:themeColor="accent1" w:themeTint="66"/>
              <w:right w:val="single" w:sz="4" w:space="0" w:color="B7DFA8" w:themeColor="accent1" w:themeTint="66"/>
            </w:tcBorders>
            <w:noWrap/>
            <w:vAlign w:val="center"/>
            <w:hideMark/>
          </w:tcPr>
          <w:p w14:paraId="65B7A9CE" w14:textId="77777777" w:rsidR="00B83214" w:rsidRPr="006A6CE2" w:rsidRDefault="00B83214" w:rsidP="00B83214">
            <w:pPr>
              <w:spacing w:before="0"/>
              <w:rPr>
                <w:rFonts w:ascii="Calibri" w:eastAsia="Times New Roman" w:hAnsi="Calibri" w:cs="Calibri"/>
                <w:b w:val="0"/>
                <w:bCs w:val="0"/>
                <w:color w:val="000000"/>
                <w:szCs w:val="24"/>
                <w:lang w:eastAsia="pl-PL"/>
              </w:rPr>
            </w:pPr>
            <w:r w:rsidRPr="006A6CE2">
              <w:rPr>
                <w:rFonts w:ascii="Calibri" w:eastAsia="Times New Roman" w:hAnsi="Calibri" w:cs="Calibri"/>
                <w:color w:val="000000"/>
                <w:szCs w:val="24"/>
                <w:lang w:eastAsia="pl-PL"/>
              </w:rPr>
              <w:t>Obszary bilansowe</w:t>
            </w:r>
          </w:p>
          <w:p w14:paraId="51FA259E" w14:textId="77777777" w:rsidR="00B83214" w:rsidRPr="006A6CE2" w:rsidRDefault="00B83214" w:rsidP="00B83214">
            <w:pPr>
              <w:spacing w:before="0"/>
              <w:rPr>
                <w:rFonts w:ascii="Calibri" w:eastAsia="Times New Roman" w:hAnsi="Calibri" w:cs="Calibri"/>
                <w:color w:val="000000"/>
                <w:szCs w:val="24"/>
                <w:lang w:eastAsia="pl-PL"/>
              </w:rPr>
            </w:pPr>
          </w:p>
        </w:tc>
        <w:tc>
          <w:tcPr>
            <w:tcW w:w="3616" w:type="dxa"/>
            <w:vMerge w:val="restart"/>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0481F9D1"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Cs w:val="24"/>
                <w:lang w:eastAsia="pl-PL"/>
              </w:rPr>
            </w:pPr>
            <w:r w:rsidRPr="006A6CE2">
              <w:rPr>
                <w:rFonts w:ascii="Calibri" w:eastAsia="Times New Roman" w:hAnsi="Calibri" w:cs="Calibri"/>
                <w:color w:val="000000"/>
                <w:szCs w:val="24"/>
                <w:lang w:eastAsia="pl-PL"/>
              </w:rPr>
              <w:t>Nazwa</w:t>
            </w:r>
          </w:p>
          <w:p w14:paraId="09596B1F"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p>
        </w:tc>
        <w:tc>
          <w:tcPr>
            <w:tcW w:w="2639" w:type="dxa"/>
            <w:tcBorders>
              <w:top w:val="single" w:sz="4" w:space="0" w:color="B7DFA8" w:themeColor="accent1" w:themeTint="66"/>
              <w:left w:val="single" w:sz="4" w:space="0" w:color="B7DFA8" w:themeColor="accent1" w:themeTint="66"/>
              <w:right w:val="single" w:sz="4" w:space="0" w:color="B7DFA8" w:themeColor="accent1" w:themeTint="66"/>
            </w:tcBorders>
          </w:tcPr>
          <w:p w14:paraId="466F2D79"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Zasoby dyspozycyjne</w:t>
            </w:r>
          </w:p>
        </w:tc>
      </w:tr>
      <w:tr w:rsidR="00B83214" w:rsidRPr="006A6CE2" w14:paraId="5FFDA3CC"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vMerge/>
            <w:tcBorders>
              <w:left w:val="single" w:sz="4" w:space="0" w:color="B7DFA8" w:themeColor="accent1" w:themeTint="66"/>
              <w:right w:val="single" w:sz="4" w:space="0" w:color="B7DFA8" w:themeColor="accent1" w:themeTint="66"/>
            </w:tcBorders>
            <w:noWrap/>
            <w:vAlign w:val="center"/>
          </w:tcPr>
          <w:p w14:paraId="02A22E40" w14:textId="77777777" w:rsidR="00B83214" w:rsidRPr="006A6CE2" w:rsidRDefault="00B83214" w:rsidP="00B83214">
            <w:pPr>
              <w:spacing w:before="0"/>
              <w:rPr>
                <w:rFonts w:ascii="Calibri" w:eastAsia="Times New Roman" w:hAnsi="Calibri" w:cs="Calibri"/>
                <w:b w:val="0"/>
                <w:color w:val="000000"/>
                <w:szCs w:val="24"/>
                <w:lang w:eastAsia="pl-PL"/>
              </w:rPr>
            </w:pPr>
          </w:p>
        </w:tc>
        <w:tc>
          <w:tcPr>
            <w:tcW w:w="3616" w:type="dxa"/>
            <w:vMerge/>
            <w:tcBorders>
              <w:left w:val="single" w:sz="4" w:space="0" w:color="B7DFA8" w:themeColor="accent1" w:themeTint="66"/>
              <w:right w:val="single" w:sz="4" w:space="0" w:color="B7DFA8" w:themeColor="accent1" w:themeTint="66"/>
            </w:tcBorders>
            <w:noWrap/>
            <w:vAlign w:val="center"/>
          </w:tcPr>
          <w:p w14:paraId="22D50E8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p>
        </w:tc>
        <w:tc>
          <w:tcPr>
            <w:tcW w:w="2639" w:type="dxa"/>
            <w:tcBorders>
              <w:top w:val="single" w:sz="4" w:space="0" w:color="B7DFA8" w:themeColor="accent1" w:themeTint="66"/>
              <w:left w:val="single" w:sz="4" w:space="0" w:color="B7DFA8" w:themeColor="accent1" w:themeTint="66"/>
              <w:right w:val="single" w:sz="4" w:space="0" w:color="B7DFA8" w:themeColor="accent1" w:themeTint="66"/>
            </w:tcBorders>
          </w:tcPr>
          <w:p w14:paraId="629A997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m</w:t>
            </w:r>
            <w:r w:rsidRPr="006A6CE2">
              <w:rPr>
                <w:rFonts w:ascii="Calibri" w:eastAsia="Times New Roman" w:hAnsi="Calibri" w:cs="Calibri"/>
                <w:bCs/>
                <w:color w:val="000000"/>
                <w:szCs w:val="24"/>
                <w:vertAlign w:val="superscript"/>
                <w:lang w:eastAsia="pl-PL"/>
              </w:rPr>
              <w:t>3</w:t>
            </w:r>
            <w:r w:rsidRPr="006A6CE2">
              <w:rPr>
                <w:rFonts w:ascii="Calibri" w:eastAsia="Times New Roman" w:hAnsi="Calibri" w:cs="Calibri"/>
                <w:bCs/>
                <w:color w:val="000000"/>
                <w:szCs w:val="24"/>
                <w:lang w:eastAsia="pl-PL"/>
              </w:rPr>
              <w:t>/24h ]</w:t>
            </w:r>
          </w:p>
        </w:tc>
      </w:tr>
      <w:tr w:rsidR="00B83214" w:rsidRPr="006A6CE2" w14:paraId="25A59D1D"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081ACD7"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S-I</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9D084E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Uznam, Zalew Szczeciński</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F867E3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11 900</w:t>
            </w:r>
          </w:p>
        </w:tc>
      </w:tr>
      <w:tr w:rsidR="00B83214" w:rsidRPr="006A6CE2" w14:paraId="1E70B244"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D8928CA"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S-II</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1EEC39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Międzyodrze</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FD3765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21 942</w:t>
            </w:r>
          </w:p>
        </w:tc>
      </w:tr>
      <w:tr w:rsidR="00B83214" w:rsidRPr="006A6CE2" w14:paraId="42424EEC"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473A481"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S-III</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37AE5D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Wolin (bez części zachodniej)</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CD0686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31 140</w:t>
            </w:r>
          </w:p>
        </w:tc>
      </w:tr>
      <w:tr w:rsidR="00B83214" w:rsidRPr="006A6CE2" w14:paraId="158A5444"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4DA9838"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S-IV</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10E3FB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Gowienica</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AAEF8C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34 000</w:t>
            </w:r>
          </w:p>
        </w:tc>
      </w:tr>
      <w:tr w:rsidR="00B83214" w:rsidRPr="006A6CE2" w14:paraId="28C0128C"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6CF7F1B"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S-V</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14C16D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Lewobrzeżna Dolna Odra (Gunica – Ucker)</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F13E18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126 169</w:t>
            </w:r>
          </w:p>
        </w:tc>
      </w:tr>
      <w:tr w:rsidR="00B83214" w:rsidRPr="006A6CE2" w14:paraId="47D69DA6"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B944D2A"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S-VI</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36128F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Ina</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16D440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280 200</w:t>
            </w:r>
          </w:p>
        </w:tc>
      </w:tr>
      <w:tr w:rsidR="00B83214" w:rsidRPr="006A6CE2" w14:paraId="5E811F15"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F6AC77E"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S-VII</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E73EC9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Płonia</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049139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105 400</w:t>
            </w:r>
          </w:p>
        </w:tc>
      </w:tr>
      <w:tr w:rsidR="00B83214" w:rsidRPr="006A6CE2" w14:paraId="10F7C80F"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A924E4F"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S-VIII</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9D2F2D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Rurzyca, Tywa</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CBAAFD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140 999</w:t>
            </w:r>
          </w:p>
        </w:tc>
      </w:tr>
      <w:tr w:rsidR="00B83214" w:rsidRPr="006A6CE2" w14:paraId="78C03A77"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CC2A6D8"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S-IX</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287533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Myśla, Kurzyca, Słubia</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C8FEE9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138 503</w:t>
            </w:r>
          </w:p>
        </w:tc>
      </w:tr>
      <w:tr w:rsidR="00B83214" w:rsidRPr="006A6CE2" w14:paraId="7DF2781E"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18FE8DC"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S-XI</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8E4FC8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Dziwna i Przymorze</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3B911F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136 902</w:t>
            </w:r>
          </w:p>
        </w:tc>
      </w:tr>
      <w:tr w:rsidR="00B83214" w:rsidRPr="006A6CE2" w14:paraId="2EEA8B4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9F72184"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S-XII</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8CDA02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Rega i Przymorze</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385611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499 921</w:t>
            </w:r>
          </w:p>
        </w:tc>
      </w:tr>
      <w:tr w:rsidR="00B83214" w:rsidRPr="006A6CE2" w14:paraId="73DBDCB8"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6EE9136"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S-XIII</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945C41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Parsęta, Radew, Przymorze - Resko</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47FBF5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368 510</w:t>
            </w:r>
          </w:p>
        </w:tc>
      </w:tr>
      <w:tr w:rsidR="00B83214" w:rsidRPr="006A6CE2" w14:paraId="74850C01"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4AF6B9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S-XV</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8BE62B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Wieprza i Grabowa</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ADE7D9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542 975</w:t>
            </w:r>
          </w:p>
        </w:tc>
      </w:tr>
      <w:tr w:rsidR="00B83214" w:rsidRPr="006A6CE2" w14:paraId="174627A2"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F2A6FD6"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P-XV</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A1126C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Noteć Pradoliny Toruńsko – Eberswaldzkiej</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F0894E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429 611</w:t>
            </w:r>
          </w:p>
        </w:tc>
      </w:tr>
      <w:tr w:rsidR="00B83214" w:rsidRPr="006A6CE2" w14:paraId="0600638E"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96B3C07"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P-XVI</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1EAD20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Gwda</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88734C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794 280</w:t>
            </w:r>
          </w:p>
        </w:tc>
      </w:tr>
      <w:tr w:rsidR="00B83214" w:rsidRPr="006A6CE2" w14:paraId="1E3317E8"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7F7E6F9"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P-XVII</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C64B4A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Drawa</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E72339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412 592</w:t>
            </w:r>
          </w:p>
        </w:tc>
      </w:tr>
      <w:tr w:rsidR="00B83214" w:rsidRPr="006A6CE2" w14:paraId="47EA0019"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7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928DB27"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P-XVIII</w:t>
            </w:r>
          </w:p>
        </w:tc>
        <w:tc>
          <w:tcPr>
            <w:tcW w:w="361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F6C1FA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Dolna Warta</w:t>
            </w:r>
          </w:p>
        </w:tc>
        <w:tc>
          <w:tcPr>
            <w:tcW w:w="263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20794F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326 318</w:t>
            </w:r>
          </w:p>
        </w:tc>
      </w:tr>
    </w:tbl>
    <w:p w14:paraId="7712A668" w14:textId="1F551175" w:rsidR="00B83214" w:rsidRPr="006A6CE2" w:rsidRDefault="00B83214" w:rsidP="00B83214">
      <w:pPr>
        <w:rPr>
          <w:szCs w:val="24"/>
        </w:rPr>
      </w:pPr>
      <w:r w:rsidRPr="006A6CE2">
        <w:rPr>
          <w:szCs w:val="24"/>
        </w:rPr>
        <w:t xml:space="preserve">Źródło: </w:t>
      </w:r>
      <w:hyperlink r:id="rId31" w:history="1">
        <w:r w:rsidRPr="006A6CE2">
          <w:rPr>
            <w:color w:val="6B9F25" w:themeColor="hyperlink"/>
            <w:szCs w:val="24"/>
            <w:u w:val="single"/>
          </w:rPr>
          <w:t>http://epsh.pgi.gov.pl/epsh/</w:t>
        </w:r>
      </w:hyperlink>
      <w:r w:rsidRPr="006A6CE2">
        <w:rPr>
          <w:szCs w:val="24"/>
        </w:rPr>
        <w:t xml:space="preserve">; </w:t>
      </w:r>
      <w:r>
        <w:rPr>
          <w:szCs w:val="24"/>
        </w:rPr>
        <w:t>(</w:t>
      </w:r>
      <w:r w:rsidRPr="006A6CE2">
        <w:rPr>
          <w:szCs w:val="24"/>
        </w:rPr>
        <w:t>dostęp z dn.</w:t>
      </w:r>
      <w:r>
        <w:rPr>
          <w:szCs w:val="24"/>
        </w:rPr>
        <w:t>:</w:t>
      </w:r>
      <w:r w:rsidRPr="006A6CE2">
        <w:rPr>
          <w:szCs w:val="24"/>
        </w:rPr>
        <w:t xml:space="preserve"> 01.05.2022</w:t>
      </w:r>
      <w:r>
        <w:rPr>
          <w:szCs w:val="24"/>
        </w:rPr>
        <w:t>)</w:t>
      </w:r>
    </w:p>
    <w:p w14:paraId="2186D021" w14:textId="6940CB1A" w:rsidR="00B83214" w:rsidRPr="006A6CE2" w:rsidRDefault="00B83214" w:rsidP="00B83214">
      <w:pPr>
        <w:rPr>
          <w:sz w:val="22"/>
        </w:rPr>
      </w:pPr>
      <w:r w:rsidRPr="006A6CE2">
        <w:rPr>
          <w:rFonts w:cs="Times New Roman"/>
          <w:szCs w:val="24"/>
        </w:rPr>
        <w:t>Zasoby eksploatacyjne wód podziemnych terenu województwa zachodniopomorskiego w skali kraju charakteryzują się wartościami powyżej średniej.</w:t>
      </w:r>
      <w:r w:rsidRPr="006A6CE2">
        <w:rPr>
          <w:sz w:val="22"/>
        </w:rPr>
        <w:t xml:space="preserve"> </w:t>
      </w:r>
      <w:r w:rsidRPr="006A6CE2">
        <w:rPr>
          <w:rFonts w:cs="Times New Roman"/>
          <w:szCs w:val="24"/>
        </w:rPr>
        <w:t>Zasoby eksploatacyjne wód podziemnych w województwie zachodniopomorskim w 2020 roku wynosiły łącznie 1 512,5 hm</w:t>
      </w:r>
      <w:r w:rsidRPr="006A6CE2">
        <w:rPr>
          <w:rFonts w:cs="Times New Roman"/>
          <w:szCs w:val="24"/>
          <w:vertAlign w:val="superscript"/>
        </w:rPr>
        <w:t>3</w:t>
      </w:r>
      <w:r w:rsidRPr="006A6CE2">
        <w:rPr>
          <w:rFonts w:cs="Times New Roman"/>
          <w:szCs w:val="24"/>
        </w:rPr>
        <w:t xml:space="preserve"> (</w:t>
      </w:r>
      <w:r w:rsidRPr="006A6CE2">
        <w:rPr>
          <w:rFonts w:cs="Times New Roman"/>
          <w:szCs w:val="24"/>
        </w:rPr>
        <w:fldChar w:fldCharType="begin"/>
      </w:r>
      <w:r w:rsidRPr="006A6CE2">
        <w:rPr>
          <w:rFonts w:cs="Times New Roman"/>
          <w:szCs w:val="24"/>
        </w:rPr>
        <w:instrText xml:space="preserve"> REF _Ref102298494 \h  \* MERGEFORMAT </w:instrText>
      </w:r>
      <w:r w:rsidRPr="006A6CE2">
        <w:rPr>
          <w:rFonts w:cs="Times New Roman"/>
          <w:szCs w:val="24"/>
        </w:rPr>
      </w:r>
      <w:r w:rsidRPr="006A6CE2">
        <w:rPr>
          <w:rFonts w:cs="Times New Roman"/>
          <w:szCs w:val="24"/>
        </w:rPr>
        <w:fldChar w:fldCharType="separate"/>
      </w:r>
      <w:r w:rsidR="002B5007" w:rsidRPr="002B5007">
        <w:rPr>
          <w:szCs w:val="24"/>
        </w:rPr>
        <w:t xml:space="preserve">Rysunek </w:t>
      </w:r>
      <w:r w:rsidR="002B5007" w:rsidRPr="002B5007">
        <w:rPr>
          <w:noProof/>
          <w:szCs w:val="24"/>
        </w:rPr>
        <w:t>10</w:t>
      </w:r>
      <w:r w:rsidRPr="006A6CE2">
        <w:rPr>
          <w:rFonts w:cs="Times New Roman"/>
          <w:szCs w:val="24"/>
        </w:rPr>
        <w:fldChar w:fldCharType="end"/>
      </w:r>
      <w:r w:rsidRPr="006A6CE2">
        <w:rPr>
          <w:rFonts w:cs="Times New Roman"/>
          <w:szCs w:val="24"/>
        </w:rPr>
        <w:t>).</w:t>
      </w:r>
      <w:r w:rsidRPr="006A6CE2">
        <w:rPr>
          <w:sz w:val="22"/>
        </w:rPr>
        <w:t xml:space="preserve"> </w:t>
      </w:r>
      <w:r w:rsidRPr="006A6CE2">
        <w:rPr>
          <w:szCs w:val="24"/>
        </w:rPr>
        <w:t>Stanowi to około 8,2% ogółu zasobów eksploatacyjnych wód podziemnych Polski, co lokuje województwo na piątym miejscu w kraju pod względem w/w zasobów.</w:t>
      </w:r>
      <w:r w:rsidRPr="006A6CE2">
        <w:rPr>
          <w:sz w:val="22"/>
        </w:rPr>
        <w:t xml:space="preserve"> </w:t>
      </w:r>
      <w:r w:rsidRPr="006A6CE2">
        <w:rPr>
          <w:rFonts w:cs="Times New Roman"/>
          <w:szCs w:val="24"/>
        </w:rPr>
        <w:t>Na obszarze województwa zachodniopomorskiego użytkowe wody podziemne występują w utworach czwartorzędu, trzeciorzędu, kredy, jury, triasu, karbonu, dewonu oraz permu. Najwięcej wód podziemnych pochodziło z utworów geologicznych czwartorzędowych (około 92%, tj. 1 393,2 hm</w:t>
      </w:r>
      <w:r w:rsidRPr="006A6CE2">
        <w:rPr>
          <w:rFonts w:cs="Times New Roman"/>
          <w:szCs w:val="24"/>
          <w:vertAlign w:val="superscript"/>
        </w:rPr>
        <w:t>3</w:t>
      </w:r>
      <w:r w:rsidRPr="006A6CE2">
        <w:rPr>
          <w:rFonts w:cs="Times New Roman"/>
          <w:szCs w:val="24"/>
        </w:rPr>
        <w:t>).</w:t>
      </w:r>
    </w:p>
    <w:p w14:paraId="4BEB4E7D" w14:textId="77777777" w:rsidR="00B83214" w:rsidRPr="006A6CE2" w:rsidRDefault="00B83214" w:rsidP="00B83214">
      <w:pPr>
        <w:spacing w:line="276" w:lineRule="auto"/>
        <w:jc w:val="center"/>
        <w:rPr>
          <w:sz w:val="22"/>
        </w:rPr>
      </w:pPr>
      <w:r w:rsidRPr="006A6CE2">
        <w:rPr>
          <w:noProof/>
          <w:sz w:val="22"/>
          <w:lang w:eastAsia="pl-PL"/>
        </w:rPr>
        <w:drawing>
          <wp:inline distT="0" distB="0" distL="0" distR="0" wp14:anchorId="792B8D58" wp14:editId="16DA6581">
            <wp:extent cx="5760720" cy="3023463"/>
            <wp:effectExtent l="0" t="0" r="0" b="571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023463"/>
                    </a:xfrm>
                    <a:prstGeom prst="rect">
                      <a:avLst/>
                    </a:prstGeom>
                    <a:noFill/>
                    <a:ln>
                      <a:noFill/>
                    </a:ln>
                  </pic:spPr>
                </pic:pic>
              </a:graphicData>
            </a:graphic>
          </wp:inline>
        </w:drawing>
      </w:r>
    </w:p>
    <w:p w14:paraId="1D2EFCB6" w14:textId="77777777" w:rsidR="00B83214" w:rsidRPr="006A6CE2" w:rsidRDefault="00B83214" w:rsidP="00B83214">
      <w:pPr>
        <w:pStyle w:val="Podpispodrysunkiem"/>
      </w:pPr>
      <w:bookmarkStart w:id="141" w:name="_Ref102298494"/>
      <w:bookmarkStart w:id="142" w:name="_Toc102741390"/>
      <w:bookmarkStart w:id="143" w:name="_Toc104790112"/>
      <w:r w:rsidRPr="006A6CE2">
        <w:t xml:space="preserve">Rysunek </w:t>
      </w:r>
      <w:r>
        <w:fldChar w:fldCharType="begin"/>
      </w:r>
      <w:r>
        <w:instrText>SEQ Rysunek \* ARABIC</w:instrText>
      </w:r>
      <w:r>
        <w:fldChar w:fldCharType="separate"/>
      </w:r>
      <w:r w:rsidR="002B5007">
        <w:rPr>
          <w:noProof/>
        </w:rPr>
        <w:t>10</w:t>
      </w:r>
      <w:r>
        <w:fldChar w:fldCharType="end"/>
      </w:r>
      <w:bookmarkEnd w:id="141"/>
      <w:r w:rsidRPr="006A6CE2">
        <w:t xml:space="preserve"> Zasoby eksploatacyjne wód podziemnych w województwie zachodniopomorskim w 2020 roku</w:t>
      </w:r>
      <w:bookmarkEnd w:id="142"/>
      <w:bookmarkEnd w:id="143"/>
    </w:p>
    <w:p w14:paraId="2EA189CA" w14:textId="1D8B6576" w:rsidR="00B83214" w:rsidRPr="006A6CE2" w:rsidRDefault="00B83214" w:rsidP="00B83214">
      <w:pPr>
        <w:pStyle w:val="rdo"/>
      </w:pPr>
      <w:r w:rsidRPr="006A6CE2">
        <w:t xml:space="preserve">Źródło: Bank Danych Lokalnych: </w:t>
      </w:r>
      <w:hyperlink r:id="rId33" w:history="1">
        <w:r w:rsidRPr="006A6CE2">
          <w:rPr>
            <w:color w:val="6B9F25" w:themeColor="hyperlink"/>
            <w:u w:val="single"/>
          </w:rPr>
          <w:t>www.bdl.stat.gov.pl</w:t>
        </w:r>
      </w:hyperlink>
      <w:r w:rsidRPr="006A6CE2">
        <w:t xml:space="preserve">; </w:t>
      </w:r>
      <w:r>
        <w:t>(</w:t>
      </w:r>
      <w:r w:rsidRPr="006A6CE2">
        <w:t>dostęp z dn.</w:t>
      </w:r>
      <w:r>
        <w:t>:</w:t>
      </w:r>
      <w:r w:rsidRPr="006A6CE2">
        <w:t xml:space="preserve"> 01.05.2022</w:t>
      </w:r>
      <w:r>
        <w:t>)</w:t>
      </w:r>
    </w:p>
    <w:p w14:paraId="062FE2A7" w14:textId="5F37EAC5" w:rsidR="00B83214" w:rsidRPr="006A6CE2" w:rsidRDefault="00B83214" w:rsidP="00B83214">
      <w:pPr>
        <w:rPr>
          <w:rFonts w:cs="Times New Roman"/>
          <w:szCs w:val="24"/>
        </w:rPr>
      </w:pPr>
      <w:r w:rsidRPr="006A6CE2">
        <w:rPr>
          <w:rFonts w:cs="Times New Roman"/>
          <w:szCs w:val="24"/>
        </w:rPr>
        <w:t xml:space="preserve">W granicach województwa zachodniopomorskiego znajduje się 16 Jednolitych Części Wód Podziemnych (JCWPd). Jednolite części wód podziemnych są jednostkami wydzielonymi dla potrzeb zarządzania wodami, w tym planowania w gospodarowaniu wodami. Przebieg granic JCWPd w granicach województwa przedstawiono </w:t>
      </w:r>
      <w:r>
        <w:rPr>
          <w:rFonts w:cs="Times New Roman"/>
          <w:szCs w:val="24"/>
        </w:rPr>
        <w:t xml:space="preserve">na rysunku </w:t>
      </w:r>
      <w:r w:rsidRPr="006A6CE2">
        <w:rPr>
          <w:rFonts w:cs="Times New Roman"/>
          <w:szCs w:val="24"/>
        </w:rPr>
        <w:t>poniżej (</w:t>
      </w:r>
      <w:r w:rsidRPr="006A6CE2">
        <w:rPr>
          <w:rFonts w:cs="Times New Roman"/>
          <w:szCs w:val="24"/>
        </w:rPr>
        <w:fldChar w:fldCharType="begin"/>
      </w:r>
      <w:r w:rsidRPr="006A6CE2">
        <w:rPr>
          <w:rFonts w:cs="Times New Roman"/>
          <w:szCs w:val="24"/>
        </w:rPr>
        <w:instrText xml:space="preserve"> REF _Ref102321868 \h  \* MERGEFORMAT </w:instrText>
      </w:r>
      <w:r w:rsidRPr="006A6CE2">
        <w:rPr>
          <w:rFonts w:cs="Times New Roman"/>
          <w:szCs w:val="24"/>
        </w:rPr>
      </w:r>
      <w:r w:rsidRPr="006A6CE2">
        <w:rPr>
          <w:rFonts w:cs="Times New Roman"/>
          <w:szCs w:val="24"/>
        </w:rPr>
        <w:fldChar w:fldCharType="separate"/>
      </w:r>
      <w:r w:rsidR="002B5007" w:rsidRPr="002B5007">
        <w:rPr>
          <w:szCs w:val="24"/>
        </w:rPr>
        <w:t xml:space="preserve">Rysunek </w:t>
      </w:r>
      <w:r w:rsidR="002B5007" w:rsidRPr="002B5007">
        <w:rPr>
          <w:noProof/>
          <w:szCs w:val="24"/>
        </w:rPr>
        <w:t>11</w:t>
      </w:r>
      <w:r w:rsidRPr="006A6CE2">
        <w:rPr>
          <w:rFonts w:cs="Times New Roman"/>
          <w:szCs w:val="24"/>
        </w:rPr>
        <w:fldChar w:fldCharType="end"/>
      </w:r>
      <w:r w:rsidRPr="006A6CE2">
        <w:rPr>
          <w:rFonts w:cs="Times New Roman"/>
          <w:szCs w:val="24"/>
        </w:rPr>
        <w:t>). Większość JCWPd zagospodarowana jest rolniczo lub w kierunku leśnym i zielonym.</w:t>
      </w:r>
    </w:p>
    <w:p w14:paraId="7616D317" w14:textId="77777777" w:rsidR="00B83214" w:rsidRPr="006A6CE2" w:rsidRDefault="00B83214" w:rsidP="00B83214">
      <w:pPr>
        <w:spacing w:line="276" w:lineRule="auto"/>
        <w:jc w:val="center"/>
        <w:rPr>
          <w:sz w:val="22"/>
        </w:rPr>
      </w:pPr>
      <w:r w:rsidRPr="006A6CE2">
        <w:rPr>
          <w:noProof/>
          <w:sz w:val="22"/>
          <w:lang w:eastAsia="pl-PL"/>
        </w:rPr>
        <w:drawing>
          <wp:inline distT="0" distB="0" distL="0" distR="0" wp14:anchorId="5374B4FE" wp14:editId="3F5057C7">
            <wp:extent cx="5039212" cy="6081623"/>
            <wp:effectExtent l="0" t="0" r="952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5_JCWPd.tiff"/>
                    <pic:cNvPicPr/>
                  </pic:nvPicPr>
                  <pic:blipFill rotWithShape="1">
                    <a:blip r:embed="rId34" cstate="print">
                      <a:extLst>
                        <a:ext uri="{28A0092B-C50C-407E-A947-70E740481C1C}">
                          <a14:useLocalDpi xmlns:a14="http://schemas.microsoft.com/office/drawing/2010/main" val="0"/>
                        </a:ext>
                      </a:extLst>
                    </a:blip>
                    <a:srcRect t="8807" b="6129"/>
                    <a:stretch/>
                  </pic:blipFill>
                  <pic:spPr bwMode="auto">
                    <a:xfrm>
                      <a:off x="0" y="0"/>
                      <a:ext cx="5040000" cy="6082574"/>
                    </a:xfrm>
                    <a:prstGeom prst="rect">
                      <a:avLst/>
                    </a:prstGeom>
                    <a:ln>
                      <a:noFill/>
                    </a:ln>
                    <a:extLst>
                      <a:ext uri="{53640926-AAD7-44D8-BBD7-CCE9431645EC}">
                        <a14:shadowObscured xmlns:a14="http://schemas.microsoft.com/office/drawing/2010/main"/>
                      </a:ext>
                    </a:extLst>
                  </pic:spPr>
                </pic:pic>
              </a:graphicData>
            </a:graphic>
          </wp:inline>
        </w:drawing>
      </w:r>
    </w:p>
    <w:p w14:paraId="64AD22EC" w14:textId="77777777" w:rsidR="00B83214" w:rsidRPr="006A6CE2" w:rsidRDefault="00B83214" w:rsidP="00B83214">
      <w:pPr>
        <w:pStyle w:val="Podpispodrysunkiem"/>
      </w:pPr>
      <w:bookmarkStart w:id="144" w:name="_Ref102321868"/>
      <w:bookmarkStart w:id="145" w:name="_Toc102741391"/>
      <w:bookmarkStart w:id="146" w:name="_Toc104790113"/>
      <w:r w:rsidRPr="006A6CE2">
        <w:t xml:space="preserve">Rysunek </w:t>
      </w:r>
      <w:r>
        <w:fldChar w:fldCharType="begin"/>
      </w:r>
      <w:r>
        <w:instrText>SEQ Rysunek \* ARABIC</w:instrText>
      </w:r>
      <w:r>
        <w:fldChar w:fldCharType="separate"/>
      </w:r>
      <w:r w:rsidR="002B5007">
        <w:rPr>
          <w:noProof/>
        </w:rPr>
        <w:t>11</w:t>
      </w:r>
      <w:r>
        <w:fldChar w:fldCharType="end"/>
      </w:r>
      <w:bookmarkEnd w:id="144"/>
      <w:r w:rsidRPr="006A6CE2">
        <w:t xml:space="preserve"> JCWPd w granicach województwa zachodniopomorskiego</w:t>
      </w:r>
      <w:bookmarkEnd w:id="145"/>
      <w:bookmarkEnd w:id="146"/>
    </w:p>
    <w:p w14:paraId="6121A474" w14:textId="77777777" w:rsidR="00B83214" w:rsidRPr="006A6CE2" w:rsidRDefault="00B83214" w:rsidP="00B83214">
      <w:pPr>
        <w:pStyle w:val="rdo"/>
      </w:pPr>
      <w:r w:rsidRPr="006A6CE2">
        <w:t>Źródło: Państwowy Instytut Geologiczny – Państwowy Instytut Badawczy</w:t>
      </w:r>
    </w:p>
    <w:p w14:paraId="62AEE57B" w14:textId="661B0F3E" w:rsidR="00B83214" w:rsidRDefault="00B83214" w:rsidP="00B83214">
      <w:pPr>
        <w:rPr>
          <w:rFonts w:cs="Times New Roman"/>
          <w:szCs w:val="24"/>
        </w:rPr>
      </w:pPr>
      <w:r w:rsidRPr="006A6CE2">
        <w:rPr>
          <w:rFonts w:cs="Times New Roman"/>
          <w:szCs w:val="24"/>
        </w:rPr>
        <w:t>W tabeli poniżej (</w:t>
      </w:r>
      <w:r w:rsidRPr="006A6CE2">
        <w:rPr>
          <w:rFonts w:cs="Times New Roman"/>
          <w:szCs w:val="24"/>
        </w:rPr>
        <w:fldChar w:fldCharType="begin"/>
      </w:r>
      <w:r w:rsidRPr="006A6CE2">
        <w:rPr>
          <w:rFonts w:cs="Times New Roman"/>
          <w:szCs w:val="24"/>
        </w:rPr>
        <w:instrText xml:space="preserve"> REF _Ref102323751 \h  \* MERGEFORMAT </w:instrText>
      </w:r>
      <w:r w:rsidRPr="006A6CE2">
        <w:rPr>
          <w:rFonts w:cs="Times New Roman"/>
          <w:szCs w:val="24"/>
        </w:rPr>
      </w:r>
      <w:r w:rsidRPr="006A6CE2">
        <w:rPr>
          <w:rFonts w:cs="Times New Roman"/>
          <w:szCs w:val="24"/>
        </w:rPr>
        <w:fldChar w:fldCharType="separate"/>
      </w:r>
      <w:r w:rsidR="002B5007" w:rsidRPr="002B5007">
        <w:rPr>
          <w:szCs w:val="24"/>
        </w:rPr>
        <w:t xml:space="preserve">Tabela </w:t>
      </w:r>
      <w:r w:rsidR="002B5007" w:rsidRPr="002B5007">
        <w:rPr>
          <w:noProof/>
          <w:szCs w:val="24"/>
        </w:rPr>
        <w:t>10</w:t>
      </w:r>
      <w:r w:rsidRPr="006A6CE2">
        <w:rPr>
          <w:rFonts w:cs="Times New Roman"/>
          <w:szCs w:val="24"/>
        </w:rPr>
        <w:fldChar w:fldCharType="end"/>
      </w:r>
      <w:r w:rsidRPr="006A6CE2">
        <w:rPr>
          <w:rFonts w:cs="Times New Roman"/>
          <w:szCs w:val="24"/>
        </w:rPr>
        <w:t xml:space="preserve">) wyszczególniono JCWPd, których granice zawierają się w granicach województwa zachodniopomorskiego. Zestawiono informacje dotyczące m.in. powierzchni JCWPd w granicach województwa oraz potencjalne presje wywierane na te jednostki. JCWPd w granicach województwa narażone są m.in. na lokalne depresji związane z poborem wód podziemnych oraz </w:t>
      </w:r>
      <w:r w:rsidRPr="006A6CE2">
        <w:rPr>
          <w:rFonts w:cstheme="minorHAnsi"/>
          <w:szCs w:val="24"/>
        </w:rPr>
        <w:t>obniżenia zwierciadła wody wywoł</w:t>
      </w:r>
      <w:r>
        <w:rPr>
          <w:rFonts w:cstheme="minorHAnsi"/>
          <w:szCs w:val="24"/>
        </w:rPr>
        <w:t>ane melioracją. Na antropopresję</w:t>
      </w:r>
      <w:r w:rsidRPr="006A6CE2">
        <w:rPr>
          <w:rFonts w:cstheme="minorHAnsi"/>
          <w:szCs w:val="24"/>
        </w:rPr>
        <w:t xml:space="preserve"> nie są potencjalnie narażone JCWPd nr 8, 23, 25, 26 i 34, co stanowi około 30% JCWPd w granicach województwa.</w:t>
      </w:r>
      <w:r w:rsidRPr="006A6CE2">
        <w:rPr>
          <w:rFonts w:cs="Times New Roman"/>
          <w:szCs w:val="24"/>
        </w:rPr>
        <w:t xml:space="preserve"> Zasoby wód podziemnych dostępne do zagospodarowania wynoszą łącznie 4 494 761 m</w:t>
      </w:r>
      <w:r w:rsidRPr="006A6CE2">
        <w:rPr>
          <w:rFonts w:cs="Times New Roman"/>
          <w:szCs w:val="24"/>
          <w:vertAlign w:val="superscript"/>
        </w:rPr>
        <w:t>3</w:t>
      </w:r>
      <w:r w:rsidRPr="006A6CE2">
        <w:rPr>
          <w:rFonts w:cs="Times New Roman"/>
          <w:szCs w:val="24"/>
        </w:rPr>
        <w:t>/d, z czego 1 611 375 m</w:t>
      </w:r>
      <w:r w:rsidRPr="006A6CE2">
        <w:rPr>
          <w:rFonts w:cs="Times New Roman"/>
          <w:szCs w:val="24"/>
          <w:vertAlign w:val="superscript"/>
        </w:rPr>
        <w:t>3</w:t>
      </w:r>
      <w:r w:rsidRPr="006A6CE2">
        <w:rPr>
          <w:rFonts w:cs="Times New Roman"/>
          <w:szCs w:val="24"/>
        </w:rPr>
        <w:t>/d pochodzi od JCWPd, które w 100% znajdują się w granicach województwa. Stopień wykorzystania zasobów wynosi od 1,5% do 83%.</w:t>
      </w:r>
    </w:p>
    <w:p w14:paraId="6AA69CBD" w14:textId="77777777" w:rsidR="00B83214" w:rsidRDefault="00B83214" w:rsidP="00B83214">
      <w:pPr>
        <w:rPr>
          <w:rFonts w:cs="Times New Roman"/>
          <w:szCs w:val="24"/>
        </w:rPr>
        <w:sectPr w:rsidR="00B83214" w:rsidSect="006E38B9">
          <w:pgSz w:w="11906" w:h="16838"/>
          <w:pgMar w:top="1417" w:right="1417" w:bottom="1417" w:left="1417" w:header="708" w:footer="708" w:gutter="0"/>
          <w:pgNumType w:fmt="lowerRoman"/>
          <w:cols w:space="708"/>
          <w:titlePg/>
          <w:docGrid w:linePitch="360"/>
        </w:sectPr>
      </w:pPr>
    </w:p>
    <w:p w14:paraId="14D7DE92" w14:textId="77777777" w:rsidR="00B83214" w:rsidRPr="006A6CE2" w:rsidRDefault="00B83214" w:rsidP="00B83214">
      <w:pPr>
        <w:pStyle w:val="Podpispodrysunkiem"/>
      </w:pPr>
      <w:bookmarkStart w:id="147" w:name="_Ref102323751"/>
      <w:bookmarkStart w:id="148" w:name="_Toc102741404"/>
      <w:bookmarkStart w:id="149" w:name="_Toc104790080"/>
      <w:r w:rsidRPr="006A6CE2">
        <w:t xml:space="preserve">Tabela </w:t>
      </w:r>
      <w:r>
        <w:fldChar w:fldCharType="begin"/>
      </w:r>
      <w:r>
        <w:instrText>SEQ Tabela \* ARABIC</w:instrText>
      </w:r>
      <w:r>
        <w:fldChar w:fldCharType="separate"/>
      </w:r>
      <w:r w:rsidR="002B5007">
        <w:rPr>
          <w:noProof/>
        </w:rPr>
        <w:t>10</w:t>
      </w:r>
      <w:r>
        <w:fldChar w:fldCharType="end"/>
      </w:r>
      <w:bookmarkEnd w:id="147"/>
      <w:r w:rsidRPr="006A6CE2">
        <w:t xml:space="preserve"> Najważniejsze informacje o JCWPd w granicach województwa zachodniopomorskiego</w:t>
      </w:r>
      <w:bookmarkEnd w:id="148"/>
      <w:bookmarkEnd w:id="149"/>
    </w:p>
    <w:tbl>
      <w:tblPr>
        <w:tblStyle w:val="Tabelasiatki1jasnaakcent11"/>
        <w:tblW w:w="5073" w:type="pct"/>
        <w:jc w:val="center"/>
        <w:tblLook w:val="04A0" w:firstRow="1" w:lastRow="0" w:firstColumn="1" w:lastColumn="0" w:noHBand="0" w:noVBand="1"/>
      </w:tblPr>
      <w:tblGrid>
        <w:gridCol w:w="1214"/>
        <w:gridCol w:w="2112"/>
        <w:gridCol w:w="2863"/>
        <w:gridCol w:w="1873"/>
        <w:gridCol w:w="3746"/>
        <w:gridCol w:w="2620"/>
      </w:tblGrid>
      <w:tr w:rsidR="00B83214" w:rsidRPr="006A6CE2" w14:paraId="28FB79EB" w14:textId="77777777" w:rsidTr="00B8321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right w:val="single" w:sz="4" w:space="0" w:color="B7DFA8" w:themeColor="accent1" w:themeTint="66"/>
            </w:tcBorders>
            <w:noWrap/>
            <w:vAlign w:val="center"/>
            <w:hideMark/>
          </w:tcPr>
          <w:p w14:paraId="38824DB2" w14:textId="77777777" w:rsidR="00B83214" w:rsidRPr="006A6CE2" w:rsidRDefault="00B83214" w:rsidP="00B83214">
            <w:pPr>
              <w:spacing w:before="0"/>
              <w:rPr>
                <w:rFonts w:eastAsia="Times New Roman" w:cstheme="minorHAnsi"/>
                <w:color w:val="000000"/>
                <w:szCs w:val="24"/>
                <w:lang w:eastAsia="pl-PL"/>
              </w:rPr>
            </w:pPr>
            <w:bookmarkStart w:id="150" w:name="_Hlk102323905"/>
            <w:r w:rsidRPr="006A6CE2">
              <w:rPr>
                <w:rFonts w:eastAsia="Times New Roman" w:cstheme="minorHAnsi"/>
                <w:color w:val="000000"/>
                <w:szCs w:val="24"/>
                <w:lang w:eastAsia="pl-PL"/>
              </w:rPr>
              <w:t>Nr JCWPd</w:t>
            </w:r>
          </w:p>
        </w:tc>
        <w:tc>
          <w:tcPr>
            <w:tcW w:w="732" w:type="pct"/>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79EB8A84" w14:textId="77777777" w:rsidR="00B83214"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6A6CE2">
              <w:rPr>
                <w:rFonts w:eastAsia="Times New Roman" w:cstheme="minorHAnsi"/>
                <w:color w:val="000000"/>
                <w:szCs w:val="24"/>
                <w:lang w:eastAsia="pl-PL"/>
              </w:rPr>
              <w:t xml:space="preserve">Udział w granicach </w:t>
            </w:r>
          </w:p>
          <w:p w14:paraId="5C2DD686"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6A6CE2">
              <w:rPr>
                <w:rFonts w:eastAsia="Times New Roman" w:cstheme="minorHAnsi"/>
                <w:color w:val="000000"/>
                <w:szCs w:val="24"/>
                <w:lang w:eastAsia="pl-PL"/>
              </w:rPr>
              <w:t>woj.</w:t>
            </w:r>
          </w:p>
        </w:tc>
        <w:tc>
          <w:tcPr>
            <w:tcW w:w="992" w:type="pct"/>
            <w:tcBorders>
              <w:top w:val="single" w:sz="4" w:space="0" w:color="B7DFA8" w:themeColor="accent1" w:themeTint="66"/>
              <w:left w:val="single" w:sz="4" w:space="0" w:color="B7DFA8" w:themeColor="accent1" w:themeTint="66"/>
              <w:right w:val="single" w:sz="4" w:space="0" w:color="B7DFA8" w:themeColor="accent1" w:themeTint="66"/>
            </w:tcBorders>
            <w:vAlign w:val="center"/>
          </w:tcPr>
          <w:p w14:paraId="658BB429"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6A6CE2">
              <w:rPr>
                <w:rFonts w:eastAsia="Times New Roman" w:cstheme="minorHAnsi"/>
                <w:color w:val="000000"/>
                <w:szCs w:val="24"/>
                <w:lang w:eastAsia="pl-PL"/>
              </w:rPr>
              <w:t>Zasoby wód</w:t>
            </w:r>
            <w:r>
              <w:rPr>
                <w:rFonts w:eastAsia="Times New Roman" w:cstheme="minorHAnsi"/>
                <w:color w:val="000000"/>
                <w:szCs w:val="24"/>
                <w:lang w:eastAsia="pl-PL"/>
              </w:rPr>
              <w:t xml:space="preserve"> podziemnych dostępne do zagospodarowania</w:t>
            </w:r>
          </w:p>
        </w:tc>
        <w:tc>
          <w:tcPr>
            <w:tcW w:w="649" w:type="pct"/>
            <w:tcBorders>
              <w:top w:val="single" w:sz="4" w:space="0" w:color="B7DFA8" w:themeColor="accent1" w:themeTint="66"/>
              <w:left w:val="single" w:sz="4" w:space="0" w:color="B7DFA8" w:themeColor="accent1" w:themeTint="66"/>
              <w:right w:val="single" w:sz="4" w:space="0" w:color="B7DFA8" w:themeColor="accent1" w:themeTint="66"/>
            </w:tcBorders>
            <w:vAlign w:val="center"/>
          </w:tcPr>
          <w:p w14:paraId="3B8B6ECC"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6A6CE2">
              <w:rPr>
                <w:rFonts w:eastAsia="Times New Roman" w:cstheme="minorHAnsi"/>
                <w:color w:val="000000"/>
                <w:szCs w:val="24"/>
                <w:lang w:eastAsia="pl-PL"/>
              </w:rPr>
              <w:t>Typ ośrodka wodonośnego</w:t>
            </w:r>
          </w:p>
        </w:tc>
        <w:tc>
          <w:tcPr>
            <w:tcW w:w="1298" w:type="pct"/>
            <w:tcBorders>
              <w:top w:val="single" w:sz="4" w:space="0" w:color="B7DFA8" w:themeColor="accent1" w:themeTint="66"/>
              <w:left w:val="single" w:sz="4" w:space="0" w:color="B7DFA8" w:themeColor="accent1" w:themeTint="66"/>
              <w:right w:val="single" w:sz="4" w:space="0" w:color="B7DFA8" w:themeColor="accent1" w:themeTint="66"/>
            </w:tcBorders>
            <w:vAlign w:val="center"/>
          </w:tcPr>
          <w:p w14:paraId="6F266325"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sidRPr="006A6CE2">
              <w:rPr>
                <w:rFonts w:eastAsia="Times New Roman" w:cstheme="minorHAnsi"/>
                <w:color w:val="000000"/>
                <w:szCs w:val="24"/>
                <w:lang w:eastAsia="pl-PL"/>
              </w:rPr>
              <w:t>Antropopresja</w:t>
            </w:r>
          </w:p>
        </w:tc>
        <w:tc>
          <w:tcPr>
            <w:tcW w:w="908" w:type="pct"/>
            <w:tcBorders>
              <w:top w:val="single" w:sz="4" w:space="0" w:color="B7DFA8" w:themeColor="accent1" w:themeTint="66"/>
              <w:left w:val="single" w:sz="4" w:space="0" w:color="B7DFA8" w:themeColor="accent1" w:themeTint="66"/>
              <w:right w:val="single" w:sz="4" w:space="0" w:color="B7DFA8" w:themeColor="accent1" w:themeTint="66"/>
            </w:tcBorders>
            <w:vAlign w:val="center"/>
          </w:tcPr>
          <w:p w14:paraId="2EB676E2" w14:textId="07C01CF0"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Cs w:val="24"/>
                <w:lang w:eastAsia="pl-PL"/>
              </w:rPr>
            </w:pPr>
            <w:r>
              <w:rPr>
                <w:rFonts w:eastAsia="Times New Roman" w:cstheme="minorHAnsi"/>
                <w:color w:val="000000"/>
                <w:szCs w:val="24"/>
                <w:lang w:eastAsia="pl-PL"/>
              </w:rPr>
              <w:t>Zagospodarowanie</w:t>
            </w:r>
          </w:p>
        </w:tc>
      </w:tr>
      <w:tr w:rsidR="00B83214" w:rsidRPr="006A6CE2" w14:paraId="32D8B09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52810097"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w:t>
            </w:r>
          </w:p>
        </w:tc>
        <w:tc>
          <w:tcPr>
            <w:tcW w:w="732" w:type="pct"/>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3A0080F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 % ]</w:t>
            </w:r>
          </w:p>
        </w:tc>
        <w:tc>
          <w:tcPr>
            <w:tcW w:w="992" w:type="pct"/>
            <w:tcBorders>
              <w:top w:val="single" w:sz="4" w:space="0" w:color="B7DFA8" w:themeColor="accent1" w:themeTint="66"/>
              <w:left w:val="single" w:sz="4" w:space="0" w:color="B7DFA8" w:themeColor="accent1" w:themeTint="66"/>
              <w:right w:val="single" w:sz="4" w:space="0" w:color="B7DFA8" w:themeColor="accent1" w:themeTint="66"/>
            </w:tcBorders>
            <w:vAlign w:val="center"/>
          </w:tcPr>
          <w:p w14:paraId="4061457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 m</w:t>
            </w:r>
            <w:r w:rsidRPr="006A6CE2">
              <w:rPr>
                <w:rFonts w:eastAsia="Times New Roman" w:cstheme="minorHAnsi"/>
                <w:bCs/>
                <w:color w:val="000000"/>
                <w:szCs w:val="24"/>
                <w:vertAlign w:val="superscript"/>
                <w:lang w:eastAsia="pl-PL"/>
              </w:rPr>
              <w:t>3</w:t>
            </w:r>
            <w:r w:rsidRPr="006A6CE2">
              <w:rPr>
                <w:rFonts w:eastAsia="Times New Roman" w:cstheme="minorHAnsi"/>
                <w:bCs/>
                <w:color w:val="000000"/>
                <w:szCs w:val="24"/>
                <w:lang w:eastAsia="pl-PL"/>
              </w:rPr>
              <w:t>/d ] w tym</w:t>
            </w:r>
          </w:p>
          <w:p w14:paraId="6EB30B7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 % ] wykorzystania</w:t>
            </w:r>
          </w:p>
        </w:tc>
        <w:tc>
          <w:tcPr>
            <w:tcW w:w="649" w:type="pct"/>
            <w:tcBorders>
              <w:top w:val="single" w:sz="4" w:space="0" w:color="B7DFA8" w:themeColor="accent1" w:themeTint="66"/>
              <w:left w:val="single" w:sz="4" w:space="0" w:color="B7DFA8" w:themeColor="accent1" w:themeTint="66"/>
              <w:right w:val="single" w:sz="4" w:space="0" w:color="B7DFA8" w:themeColor="accent1" w:themeTint="66"/>
            </w:tcBorders>
            <w:vAlign w:val="center"/>
          </w:tcPr>
          <w:p w14:paraId="65CB021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w:t>
            </w:r>
          </w:p>
        </w:tc>
        <w:tc>
          <w:tcPr>
            <w:tcW w:w="1298" w:type="pct"/>
            <w:tcBorders>
              <w:top w:val="single" w:sz="4" w:space="0" w:color="B7DFA8" w:themeColor="accent1" w:themeTint="66"/>
              <w:left w:val="single" w:sz="4" w:space="0" w:color="B7DFA8" w:themeColor="accent1" w:themeTint="66"/>
              <w:right w:val="single" w:sz="4" w:space="0" w:color="B7DFA8" w:themeColor="accent1" w:themeTint="66"/>
            </w:tcBorders>
            <w:vAlign w:val="center"/>
          </w:tcPr>
          <w:p w14:paraId="381CC30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w:t>
            </w:r>
          </w:p>
        </w:tc>
        <w:tc>
          <w:tcPr>
            <w:tcW w:w="908" w:type="pct"/>
            <w:tcBorders>
              <w:top w:val="single" w:sz="4" w:space="0" w:color="B7DFA8" w:themeColor="accent1" w:themeTint="66"/>
              <w:left w:val="single" w:sz="4" w:space="0" w:color="B7DFA8" w:themeColor="accent1" w:themeTint="66"/>
              <w:right w:val="single" w:sz="4" w:space="0" w:color="B7DFA8" w:themeColor="accent1" w:themeTint="66"/>
            </w:tcBorders>
            <w:vAlign w:val="center"/>
          </w:tcPr>
          <w:p w14:paraId="427237E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 % ]</w:t>
            </w:r>
          </w:p>
        </w:tc>
      </w:tr>
      <w:tr w:rsidR="00B83214" w:rsidRPr="006A6CE2" w14:paraId="2D0C4304"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DFBE98C"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1</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43B856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100</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A79058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10 378 (83)</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FD5C85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77453C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Leje depresji związane z poborem wód podziemnych oraz obniżenia zwierciadła wody wywołane melioracją – charakter lokalny</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4BFCC4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cstheme="minorHAnsi"/>
                <w:szCs w:val="24"/>
              </w:rPr>
            </w:pPr>
            <w:r w:rsidRPr="006A6CE2">
              <w:rPr>
                <w:rFonts w:cstheme="minorHAnsi"/>
                <w:szCs w:val="24"/>
              </w:rPr>
              <w:t>44,94 leśne i zielone</w:t>
            </w:r>
          </w:p>
        </w:tc>
      </w:tr>
      <w:tr w:rsidR="00B83214" w:rsidRPr="006A6CE2" w14:paraId="686F44F6"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A73C306"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2</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60D9D7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100</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35EA15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34 000 (6,2)</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061636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32F082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Obniżenia zwierciadła wody wywołane melioracją (lokalnie w zachodniej części obszaru)</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E57F68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cstheme="minorHAnsi"/>
                <w:szCs w:val="24"/>
              </w:rPr>
            </w:pPr>
            <w:r w:rsidRPr="006A6CE2">
              <w:rPr>
                <w:rFonts w:cstheme="minorHAnsi"/>
                <w:szCs w:val="24"/>
              </w:rPr>
              <w:t>49,72 rolne</w:t>
            </w:r>
          </w:p>
          <w:p w14:paraId="3F98EAA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cstheme="minorHAnsi"/>
                <w:szCs w:val="24"/>
              </w:rPr>
            </w:pPr>
            <w:r w:rsidRPr="006A6CE2">
              <w:rPr>
                <w:rFonts w:cstheme="minorHAnsi"/>
                <w:szCs w:val="24"/>
              </w:rPr>
              <w:t>48,95 leśne i zielone</w:t>
            </w:r>
          </w:p>
        </w:tc>
      </w:tr>
      <w:tr w:rsidR="00B83214" w:rsidRPr="006A6CE2" w14:paraId="34EA6A88"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FB57CF8"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3</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087E34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100</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826E29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126 170 (21,3)</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6CEFBB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D9A8A6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Lokalne obniżenia zwierciadła wody w wyniku poboru na ujęciach komunalnych i przemysłowych w rejonie Polic i Szczecina</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CBD11E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cstheme="minorHAnsi"/>
                <w:szCs w:val="24"/>
              </w:rPr>
            </w:pPr>
            <w:r w:rsidRPr="006A6CE2">
              <w:rPr>
                <w:rFonts w:cstheme="minorHAnsi"/>
                <w:szCs w:val="24"/>
              </w:rPr>
              <w:t>43,00 leśne i zielone</w:t>
            </w:r>
          </w:p>
          <w:p w14:paraId="7C64750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cstheme="minorHAnsi"/>
                <w:szCs w:val="24"/>
              </w:rPr>
            </w:pPr>
            <w:r w:rsidRPr="006A6CE2">
              <w:rPr>
                <w:rFonts w:cstheme="minorHAnsi"/>
                <w:szCs w:val="24"/>
              </w:rPr>
              <w:t>41,03 rolne</w:t>
            </w:r>
          </w:p>
        </w:tc>
      </w:tr>
      <w:tr w:rsidR="00B83214" w:rsidRPr="006A6CE2" w14:paraId="160FD97E"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005A6EB"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4</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3E1521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100</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61762E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18 755 (38)</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A3AC96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C4D742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Leje depresji związane głównie z poborem wód podziemnych występujące w sąsiedztwie ujęć komunalnych i przemysłowych, w tym w rejonie Elektrowni „Dolna Odra”, a także na skutek melioracji</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26E8A3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cstheme="minorHAnsi"/>
                <w:szCs w:val="24"/>
              </w:rPr>
            </w:pPr>
            <w:r w:rsidRPr="006A6CE2">
              <w:rPr>
                <w:rFonts w:cstheme="minorHAnsi"/>
                <w:szCs w:val="24"/>
              </w:rPr>
              <w:t>42,17 rolne</w:t>
            </w:r>
          </w:p>
          <w:p w14:paraId="35B9055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cstheme="minorHAnsi"/>
                <w:szCs w:val="24"/>
              </w:rPr>
            </w:pPr>
            <w:r w:rsidRPr="006A6CE2">
              <w:rPr>
                <w:rFonts w:cstheme="minorHAnsi"/>
                <w:szCs w:val="24"/>
              </w:rPr>
              <w:t>34,10 wodne</w:t>
            </w:r>
          </w:p>
        </w:tc>
      </w:tr>
      <w:tr w:rsidR="00B83214" w:rsidRPr="006A6CE2" w14:paraId="7267236D"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917714A"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5</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3621EC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100</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6431AD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31 140 (15,3)</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769C1E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F40E1A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Leje depresji związane z poborem wód podziemnych oraz obniżenia zwierciadła wody wywołane melioracją – mają one charakter lokalny</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71CE37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46,25 leśne i zielone</w:t>
            </w:r>
          </w:p>
          <w:p w14:paraId="6A4EF70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44,60 rolne</w:t>
            </w:r>
          </w:p>
        </w:tc>
      </w:tr>
      <w:tr w:rsidR="00B83214" w:rsidRPr="006A6CE2" w14:paraId="075646FD"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9C6F7AB"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6</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1184AB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100</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BF62D9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136 902 (10)</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E40943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E81B91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Lokalne obniżenia zwierciadła wody wywołane melioracją</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1A6CEB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60,07 rolne</w:t>
            </w:r>
          </w:p>
        </w:tc>
      </w:tr>
      <w:tr w:rsidR="00B83214" w:rsidRPr="006A6CE2" w14:paraId="402ADE0D"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3EE03F9"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7</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D1B137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100</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2C5A16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255 346 (12)</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2CEC87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1ED25F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Lokalne obniżenia zwierciadła wody wywołane melioracją</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1D76AD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69,07 rolne</w:t>
            </w:r>
          </w:p>
        </w:tc>
      </w:tr>
      <w:tr w:rsidR="00B83214" w:rsidRPr="006A6CE2" w14:paraId="6C430211"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79573AE"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8</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B83C00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100</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86B13B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501 655 (3,7)</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EDFB29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6D3084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Nie występują</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8F2235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64,82 rolne</w:t>
            </w:r>
          </w:p>
        </w:tc>
      </w:tr>
      <w:tr w:rsidR="00B83214" w:rsidRPr="006A6CE2" w14:paraId="521E98E0"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1B3463A"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9</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59A093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100</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161781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366 775 (17,2)</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34A2CF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FAC6C6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Leje depresji związane z poborem wód podziemnych i wpływem aglomeracji – mają one charakter lokalny</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4C88A3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57,40 rolne</w:t>
            </w:r>
          </w:p>
          <w:p w14:paraId="7C6BE43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38,89 leśne i zielone</w:t>
            </w:r>
          </w:p>
        </w:tc>
      </w:tr>
      <w:tr w:rsidR="00B83214" w:rsidRPr="006A6CE2" w14:paraId="3AC29160"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ADB981F"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10</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567D9C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52</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C1B163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542 976 (3,3)</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63105A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1B32CF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Lokalne lej depresji związany z poborem wód podziemnych w większych miejscowościach</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1D1C4C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51,43 rolne</w:t>
            </w:r>
          </w:p>
          <w:p w14:paraId="177691C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44,97 leśne i zielone</w:t>
            </w:r>
          </w:p>
        </w:tc>
      </w:tr>
      <w:tr w:rsidR="00B83214" w:rsidRPr="006A6CE2" w14:paraId="197E41A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54FD7CE"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23</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316E20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91</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FEB4CB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278 484 (5,9)</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0E9E3B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7D1ACE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Nie występują</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1E340C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56,43 rolne</w:t>
            </w:r>
          </w:p>
          <w:p w14:paraId="4639264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39,26 leśne i zielone</w:t>
            </w:r>
          </w:p>
        </w:tc>
      </w:tr>
      <w:tr w:rsidR="00B83214" w:rsidRPr="006A6CE2" w14:paraId="2E7E88EC"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BAA08BA"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24</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51D859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100</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89B9AC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130 254 (11)</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48E57E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3CE2F6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Lokalne obniżenia zwierciadła wody wywołane melioracją</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7FE368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70,85 rolne</w:t>
            </w:r>
          </w:p>
        </w:tc>
      </w:tr>
      <w:tr w:rsidR="00B83214" w:rsidRPr="006A6CE2" w14:paraId="560345C6"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757A232"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25</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7F6378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79</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BBDD87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864 000 (1,5)</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D26289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BEF2CA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Nie występują</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18FC9D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59,91 leśne i zielone</w:t>
            </w:r>
          </w:p>
          <w:p w14:paraId="343E530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35,08 rolne</w:t>
            </w:r>
          </w:p>
        </w:tc>
      </w:tr>
      <w:tr w:rsidR="00B83214" w:rsidRPr="006A6CE2" w14:paraId="7388D9D7"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69892CC"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26</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6447C1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44</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C59725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787 000 (6,9)</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E847AB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B64120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Nie występują</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9153B3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51,10 leśne i zielone</w:t>
            </w:r>
          </w:p>
          <w:p w14:paraId="5E8D733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44,46 rolne</w:t>
            </w:r>
          </w:p>
        </w:tc>
      </w:tr>
      <w:tr w:rsidR="00B83214" w:rsidRPr="006A6CE2" w14:paraId="5739A503"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41A1267"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33</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740D8A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10</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DC4535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217 170 (11,4)</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FBDEDD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4597A9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Lokalne leje depresji związane z poborem wód podziemnych</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7BFC80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57,56 rolne</w:t>
            </w:r>
          </w:p>
          <w:p w14:paraId="63693C4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36,91 leśne i zielone</w:t>
            </w:r>
          </w:p>
        </w:tc>
      </w:tr>
      <w:tr w:rsidR="00B83214" w:rsidRPr="006A6CE2" w14:paraId="19E5A17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421"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97C59A7" w14:textId="77777777" w:rsidR="00B83214" w:rsidRPr="006A6CE2" w:rsidRDefault="00B83214" w:rsidP="00B83214">
            <w:pPr>
              <w:spacing w:before="0"/>
              <w:rPr>
                <w:rFonts w:eastAsia="Times New Roman" w:cstheme="minorHAnsi"/>
                <w:b w:val="0"/>
                <w:color w:val="000000"/>
                <w:szCs w:val="24"/>
                <w:lang w:eastAsia="pl-PL"/>
              </w:rPr>
            </w:pPr>
            <w:r w:rsidRPr="006A6CE2">
              <w:rPr>
                <w:rFonts w:eastAsia="Times New Roman" w:cstheme="minorHAnsi"/>
                <w:b w:val="0"/>
                <w:color w:val="000000"/>
                <w:szCs w:val="24"/>
                <w:lang w:eastAsia="pl-PL"/>
              </w:rPr>
              <w:t>34</w:t>
            </w:r>
          </w:p>
        </w:tc>
        <w:tc>
          <w:tcPr>
            <w:tcW w:w="73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288354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8</w:t>
            </w:r>
          </w:p>
        </w:tc>
        <w:tc>
          <w:tcPr>
            <w:tcW w:w="992"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E70EE4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193 756 (8,2)</w:t>
            </w:r>
          </w:p>
        </w:tc>
        <w:tc>
          <w:tcPr>
            <w:tcW w:w="649"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D724C4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porowy</w:t>
            </w:r>
          </w:p>
        </w:tc>
        <w:tc>
          <w:tcPr>
            <w:tcW w:w="129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4E4E68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cstheme="minorHAnsi"/>
                <w:szCs w:val="24"/>
              </w:rPr>
              <w:t>Nie występują</w:t>
            </w:r>
          </w:p>
        </w:tc>
        <w:tc>
          <w:tcPr>
            <w:tcW w:w="908" w:type="pct"/>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C6CC5B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52,96 leśne i zielone</w:t>
            </w:r>
          </w:p>
          <w:p w14:paraId="13EA2DA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Cs w:val="24"/>
                <w:lang w:eastAsia="pl-PL"/>
              </w:rPr>
            </w:pPr>
            <w:r w:rsidRPr="006A6CE2">
              <w:rPr>
                <w:rFonts w:eastAsia="Times New Roman" w:cstheme="minorHAnsi"/>
                <w:bCs/>
                <w:color w:val="000000"/>
                <w:szCs w:val="24"/>
                <w:lang w:eastAsia="pl-PL"/>
              </w:rPr>
              <w:t>44,76 rolne</w:t>
            </w:r>
          </w:p>
        </w:tc>
      </w:tr>
    </w:tbl>
    <w:bookmarkEnd w:id="150"/>
    <w:p w14:paraId="1970A84E" w14:textId="77777777" w:rsidR="00B83214" w:rsidRPr="006A6CE2" w:rsidRDefault="00B83214" w:rsidP="00B83214">
      <w:pPr>
        <w:pStyle w:val="rdo"/>
      </w:pPr>
      <w:r w:rsidRPr="006A6CE2">
        <w:t>Źródło: Karty informacyjne PIG-PIB; Karty informacyjne JCWPd</w:t>
      </w:r>
    </w:p>
    <w:p w14:paraId="11F569CB" w14:textId="77777777" w:rsidR="00B83214" w:rsidRDefault="00B83214" w:rsidP="00B83214">
      <w:pPr>
        <w:rPr>
          <w:rFonts w:cs="Times New Roman"/>
          <w:szCs w:val="24"/>
        </w:rPr>
        <w:sectPr w:rsidR="00B83214" w:rsidSect="006E38B9">
          <w:pgSz w:w="16838" w:h="11906" w:orient="landscape"/>
          <w:pgMar w:top="1417" w:right="1417" w:bottom="1417" w:left="1417" w:header="708" w:footer="708" w:gutter="0"/>
          <w:pgNumType w:fmt="lowerRoman"/>
          <w:cols w:space="708"/>
          <w:titlePg/>
          <w:docGrid w:linePitch="360"/>
        </w:sectPr>
      </w:pPr>
    </w:p>
    <w:p w14:paraId="0EE83FBB" w14:textId="7022D816" w:rsidR="00B83214" w:rsidRPr="006A6CE2" w:rsidRDefault="00B83214" w:rsidP="00B83214">
      <w:pPr>
        <w:rPr>
          <w:rFonts w:cs="Times New Roman"/>
          <w:szCs w:val="24"/>
        </w:rPr>
      </w:pPr>
      <w:r w:rsidRPr="006A6CE2">
        <w:rPr>
          <w:rFonts w:cs="Times New Roman"/>
          <w:szCs w:val="24"/>
        </w:rPr>
        <w:t>W roku 2021 na terenie województwa zachodniopomorskiego przeprowadzono klasyfikację jakości wód podziemnych w następujących JCWPd: 1, 9, 33 oraz 34 w 27 punktach pomiarow</w:t>
      </w:r>
      <w:r w:rsidR="00616EFA">
        <w:rPr>
          <w:rFonts w:cs="Times New Roman"/>
          <w:szCs w:val="24"/>
        </w:rPr>
        <w:t>ych</w:t>
      </w:r>
      <w:r w:rsidRPr="006A6CE2">
        <w:rPr>
          <w:rFonts w:cs="Times New Roman"/>
          <w:szCs w:val="24"/>
        </w:rPr>
        <w:t xml:space="preserve"> zlokalizowanych na terenie województwa. Badania zostały wykonane przez Państwowy Instytut Geologiczny – Państwowy Instytut Badawczy na zlecenie Głównego Inspektoratu Ochrony Środowiska, w ramach Państwowego Monitoringu Środowiska.</w:t>
      </w:r>
    </w:p>
    <w:p w14:paraId="7EE19823" w14:textId="77777777" w:rsidR="00B83214" w:rsidRPr="006A6CE2" w:rsidRDefault="00B83214" w:rsidP="00B83214">
      <w:pPr>
        <w:rPr>
          <w:rFonts w:cs="Times New Roman"/>
          <w:szCs w:val="24"/>
        </w:rPr>
      </w:pPr>
      <w:r w:rsidRPr="006A6CE2">
        <w:rPr>
          <w:rFonts w:cs="Times New Roman"/>
          <w:szCs w:val="24"/>
        </w:rPr>
        <w:t>Punkty pomiarowo-kontrolne zlokalizowane były w następujących kategoriach terenu: zabudowa miejska zwarta, zabudowa miejska luźna, miejskie tereny zielone, zabudowa wiejska, grunty orne, uprawy trwałe, łąki i pastwiska, lasy, obszary zabudowane.</w:t>
      </w:r>
    </w:p>
    <w:p w14:paraId="2F966130" w14:textId="03C8A6FA" w:rsidR="00B83214" w:rsidRDefault="00B83214" w:rsidP="00B83214">
      <w:pPr>
        <w:rPr>
          <w:rFonts w:cs="Times New Roman"/>
          <w:szCs w:val="24"/>
        </w:rPr>
      </w:pPr>
      <w:r w:rsidRPr="006A6CE2">
        <w:rPr>
          <w:rFonts w:cs="Times New Roman"/>
          <w:szCs w:val="24"/>
        </w:rPr>
        <w:t>Blisko połow</w:t>
      </w:r>
      <w:r w:rsidR="00616EFA">
        <w:rPr>
          <w:rFonts w:cs="Times New Roman"/>
          <w:szCs w:val="24"/>
        </w:rPr>
        <w:t>ę</w:t>
      </w:r>
      <w:r w:rsidRPr="006A6CE2">
        <w:rPr>
          <w:rFonts w:cs="Times New Roman"/>
          <w:szCs w:val="24"/>
        </w:rPr>
        <w:t xml:space="preserve"> badanych punktów (tj. 48%), zaliczono do II klasy jakości wód. Do III klasy jakości zaliczono około 18,5% punktów kontrolnych, natomiast do IV klasy około 14,8%. Tylko w 1 punkcie kontrolnym wody zaliczono do I klasy (JCWPd nr 9). W 4 punktach pomiarowych stan wód zaliczono do V klasy jakości.</w:t>
      </w:r>
    </w:p>
    <w:p w14:paraId="371B4CA0" w14:textId="13F1C3E3" w:rsidR="00B83214" w:rsidRPr="006A6CE2" w:rsidRDefault="00B83214" w:rsidP="00B83214">
      <w:pPr>
        <w:rPr>
          <w:rFonts w:cs="Times New Roman"/>
          <w:szCs w:val="24"/>
        </w:rPr>
      </w:pPr>
      <w:r w:rsidRPr="006A6CE2">
        <w:rPr>
          <w:rFonts w:cs="Times New Roman"/>
          <w:szCs w:val="24"/>
        </w:rPr>
        <w:t xml:space="preserve">Wyniki klasyfikacyjne jakości JCWPd przedstawiono graficznie </w:t>
      </w:r>
      <w:r w:rsidR="00616EFA">
        <w:rPr>
          <w:rFonts w:cs="Times New Roman"/>
          <w:szCs w:val="24"/>
        </w:rPr>
        <w:t xml:space="preserve">na </w:t>
      </w:r>
      <w:r w:rsidRPr="006A6CE2">
        <w:rPr>
          <w:rFonts w:cs="Times New Roman"/>
          <w:szCs w:val="24"/>
        </w:rPr>
        <w:t>rysunku poniżej (</w:t>
      </w:r>
      <w:r w:rsidRPr="006A6CE2">
        <w:rPr>
          <w:rFonts w:cs="Times New Roman"/>
          <w:szCs w:val="24"/>
        </w:rPr>
        <w:fldChar w:fldCharType="begin"/>
      </w:r>
      <w:r w:rsidRPr="006A6CE2">
        <w:rPr>
          <w:rFonts w:cs="Times New Roman"/>
          <w:szCs w:val="24"/>
        </w:rPr>
        <w:instrText xml:space="preserve"> REF _Ref102374968 \h  \* MERGEFORMAT </w:instrText>
      </w:r>
      <w:r w:rsidRPr="006A6CE2">
        <w:rPr>
          <w:rFonts w:cs="Times New Roman"/>
          <w:szCs w:val="24"/>
        </w:rPr>
      </w:r>
      <w:r w:rsidRPr="006A6CE2">
        <w:rPr>
          <w:rFonts w:cs="Times New Roman"/>
          <w:szCs w:val="24"/>
        </w:rPr>
        <w:fldChar w:fldCharType="separate"/>
      </w:r>
      <w:r w:rsidR="002B5007" w:rsidRPr="002B5007">
        <w:rPr>
          <w:szCs w:val="24"/>
        </w:rPr>
        <w:t xml:space="preserve">Rysunek </w:t>
      </w:r>
      <w:r w:rsidR="002B5007" w:rsidRPr="002B5007">
        <w:rPr>
          <w:noProof/>
          <w:szCs w:val="24"/>
        </w:rPr>
        <w:t>12</w:t>
      </w:r>
      <w:r w:rsidRPr="006A6CE2">
        <w:rPr>
          <w:rFonts w:cs="Times New Roman"/>
          <w:szCs w:val="24"/>
        </w:rPr>
        <w:fldChar w:fldCharType="end"/>
      </w:r>
      <w:r w:rsidRPr="006A6CE2">
        <w:rPr>
          <w:rFonts w:cs="Times New Roman"/>
          <w:szCs w:val="24"/>
        </w:rPr>
        <w:t>).</w:t>
      </w:r>
    </w:p>
    <w:p w14:paraId="2D5755F7" w14:textId="77777777" w:rsidR="00B83214" w:rsidRPr="006A6CE2" w:rsidRDefault="00B83214" w:rsidP="00B83214">
      <w:pPr>
        <w:spacing w:line="276" w:lineRule="auto"/>
        <w:rPr>
          <w:sz w:val="22"/>
        </w:rPr>
      </w:pPr>
    </w:p>
    <w:p w14:paraId="0A89B548" w14:textId="77777777" w:rsidR="00B83214" w:rsidRPr="006A6CE2" w:rsidRDefault="00B83214" w:rsidP="00B83214">
      <w:pPr>
        <w:spacing w:line="276" w:lineRule="auto"/>
        <w:rPr>
          <w:sz w:val="22"/>
        </w:rPr>
      </w:pPr>
    </w:p>
    <w:p w14:paraId="5FFC48BF" w14:textId="77777777" w:rsidR="00B83214" w:rsidRPr="006A6CE2" w:rsidRDefault="00B83214" w:rsidP="00B83214">
      <w:pPr>
        <w:spacing w:line="276" w:lineRule="auto"/>
        <w:rPr>
          <w:sz w:val="22"/>
        </w:rPr>
      </w:pPr>
    </w:p>
    <w:p w14:paraId="6C7FAD10" w14:textId="77777777" w:rsidR="00B83214" w:rsidRPr="006A6CE2" w:rsidRDefault="00B83214" w:rsidP="00B83214">
      <w:pPr>
        <w:spacing w:line="276" w:lineRule="auto"/>
        <w:rPr>
          <w:sz w:val="22"/>
        </w:rPr>
      </w:pPr>
    </w:p>
    <w:p w14:paraId="791F2B4E" w14:textId="77777777" w:rsidR="00B83214" w:rsidRPr="006A6CE2" w:rsidRDefault="00B83214" w:rsidP="00B83214">
      <w:pPr>
        <w:spacing w:line="276" w:lineRule="auto"/>
        <w:rPr>
          <w:sz w:val="22"/>
        </w:rPr>
      </w:pPr>
    </w:p>
    <w:p w14:paraId="3BCD5023" w14:textId="77777777" w:rsidR="00B83214" w:rsidRPr="006A6CE2" w:rsidRDefault="00B83214" w:rsidP="00B83214">
      <w:pPr>
        <w:spacing w:line="276" w:lineRule="auto"/>
        <w:rPr>
          <w:sz w:val="22"/>
        </w:rPr>
      </w:pPr>
    </w:p>
    <w:p w14:paraId="4E8831D8" w14:textId="77777777" w:rsidR="00B83214" w:rsidRPr="006A6CE2" w:rsidRDefault="00B83214" w:rsidP="00B83214">
      <w:pPr>
        <w:spacing w:line="276" w:lineRule="auto"/>
        <w:rPr>
          <w:sz w:val="22"/>
        </w:rPr>
      </w:pPr>
    </w:p>
    <w:p w14:paraId="59ED1138" w14:textId="77777777" w:rsidR="00B83214" w:rsidRPr="006A6CE2" w:rsidRDefault="00B83214" w:rsidP="00B83214">
      <w:pPr>
        <w:spacing w:line="276" w:lineRule="auto"/>
        <w:rPr>
          <w:sz w:val="22"/>
        </w:rPr>
      </w:pPr>
    </w:p>
    <w:p w14:paraId="76BA84CE" w14:textId="77777777" w:rsidR="00B83214" w:rsidRPr="006A6CE2" w:rsidRDefault="00B83214" w:rsidP="00B83214">
      <w:pPr>
        <w:spacing w:line="276" w:lineRule="auto"/>
        <w:rPr>
          <w:sz w:val="22"/>
        </w:rPr>
      </w:pPr>
    </w:p>
    <w:p w14:paraId="6C85CF84" w14:textId="77777777" w:rsidR="00B83214" w:rsidRPr="006A6CE2" w:rsidRDefault="00B83214" w:rsidP="00B83214">
      <w:pPr>
        <w:spacing w:line="276" w:lineRule="auto"/>
        <w:jc w:val="center"/>
        <w:rPr>
          <w:sz w:val="22"/>
        </w:rPr>
      </w:pPr>
      <w:r w:rsidRPr="006A6CE2">
        <w:rPr>
          <w:noProof/>
          <w:sz w:val="22"/>
          <w:lang w:eastAsia="pl-PL"/>
        </w:rPr>
        <w:drawing>
          <wp:inline distT="0" distB="0" distL="0" distR="0" wp14:anchorId="08444F87" wp14:editId="3FABA68A">
            <wp:extent cx="4908430" cy="6963906"/>
            <wp:effectExtent l="0" t="0" r="6985" b="889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5_JCWPd-monitoring-v2.tif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917603" cy="6976920"/>
                    </a:xfrm>
                    <a:prstGeom prst="rect">
                      <a:avLst/>
                    </a:prstGeom>
                  </pic:spPr>
                </pic:pic>
              </a:graphicData>
            </a:graphic>
          </wp:inline>
        </w:drawing>
      </w:r>
    </w:p>
    <w:p w14:paraId="6476DE62" w14:textId="77777777" w:rsidR="00B83214" w:rsidRPr="006A6CE2" w:rsidRDefault="00B83214" w:rsidP="00B83214">
      <w:pPr>
        <w:pStyle w:val="Podpispodrysunkiem"/>
      </w:pPr>
      <w:bookmarkStart w:id="151" w:name="_Ref102374968"/>
      <w:bookmarkStart w:id="152" w:name="_Toc102741392"/>
      <w:bookmarkStart w:id="153" w:name="_Toc104790114"/>
      <w:r w:rsidRPr="006A6CE2">
        <w:t xml:space="preserve">Rysunek </w:t>
      </w:r>
      <w:r>
        <w:fldChar w:fldCharType="begin"/>
      </w:r>
      <w:r>
        <w:instrText>SEQ Rysunek \* ARABIC</w:instrText>
      </w:r>
      <w:r>
        <w:fldChar w:fldCharType="separate"/>
      </w:r>
      <w:r w:rsidR="002B5007">
        <w:rPr>
          <w:noProof/>
        </w:rPr>
        <w:t>12</w:t>
      </w:r>
      <w:r>
        <w:fldChar w:fldCharType="end"/>
      </w:r>
      <w:bookmarkEnd w:id="151"/>
      <w:r w:rsidRPr="006A6CE2">
        <w:t xml:space="preserve"> Klasy jakości wód podziemnych w punktach monitoringu operacyjnego wg danych z 2021 roku</w:t>
      </w:r>
      <w:bookmarkEnd w:id="152"/>
      <w:bookmarkEnd w:id="153"/>
    </w:p>
    <w:p w14:paraId="3F3E30F1" w14:textId="77777777" w:rsidR="00B83214" w:rsidRPr="006A6CE2" w:rsidRDefault="00B83214" w:rsidP="00B83214">
      <w:pPr>
        <w:spacing w:line="276" w:lineRule="auto"/>
        <w:jc w:val="both"/>
        <w:rPr>
          <w:szCs w:val="24"/>
        </w:rPr>
      </w:pPr>
      <w:r w:rsidRPr="006A6CE2">
        <w:rPr>
          <w:szCs w:val="24"/>
        </w:rPr>
        <w:t>Źródło: Monitoring Jakości Wód Podziemnych – Główny Inspektorat Ochrony Środowiska</w:t>
      </w:r>
    </w:p>
    <w:p w14:paraId="4FE85123" w14:textId="106F5EF2" w:rsidR="00B83214" w:rsidRPr="006A6CE2" w:rsidRDefault="00B83214" w:rsidP="00B83214">
      <w:pPr>
        <w:rPr>
          <w:szCs w:val="24"/>
        </w:rPr>
      </w:pPr>
      <w:r w:rsidRPr="006A6CE2">
        <w:rPr>
          <w:szCs w:val="24"/>
        </w:rPr>
        <w:t>W tabeli poniżej (</w:t>
      </w:r>
      <w:r w:rsidRPr="006A6CE2">
        <w:rPr>
          <w:szCs w:val="24"/>
        </w:rPr>
        <w:fldChar w:fldCharType="begin"/>
      </w:r>
      <w:r w:rsidRPr="006A6CE2">
        <w:rPr>
          <w:szCs w:val="24"/>
        </w:rPr>
        <w:instrText xml:space="preserve"> REF _Ref102375738 \h  \* MERGEFORMAT </w:instrText>
      </w:r>
      <w:r w:rsidRPr="006A6CE2">
        <w:rPr>
          <w:szCs w:val="24"/>
        </w:rPr>
      </w:r>
      <w:r w:rsidRPr="006A6CE2">
        <w:rPr>
          <w:szCs w:val="24"/>
        </w:rPr>
        <w:fldChar w:fldCharType="separate"/>
      </w:r>
      <w:r w:rsidR="002B5007" w:rsidRPr="002B5007">
        <w:rPr>
          <w:szCs w:val="24"/>
        </w:rPr>
        <w:t xml:space="preserve">Tabela </w:t>
      </w:r>
      <w:r w:rsidR="002B5007" w:rsidRPr="002B5007">
        <w:rPr>
          <w:noProof/>
          <w:szCs w:val="24"/>
        </w:rPr>
        <w:t>11</w:t>
      </w:r>
      <w:r w:rsidRPr="006A6CE2">
        <w:rPr>
          <w:szCs w:val="24"/>
        </w:rPr>
        <w:fldChar w:fldCharType="end"/>
      </w:r>
      <w:r w:rsidRPr="006A6CE2">
        <w:rPr>
          <w:szCs w:val="24"/>
        </w:rPr>
        <w:t>) przedstawiono ocenę stanu JCWPd znajdujących się na obszarze województwa zachodniopomorskiego.</w:t>
      </w:r>
    </w:p>
    <w:p w14:paraId="1E7D7F6A" w14:textId="77777777" w:rsidR="00B83214" w:rsidRPr="006A6CE2" w:rsidRDefault="00B83214" w:rsidP="00B83214">
      <w:pPr>
        <w:pStyle w:val="Podpispodrysunkiem"/>
      </w:pPr>
      <w:bookmarkStart w:id="154" w:name="_Ref102375738"/>
      <w:bookmarkStart w:id="155" w:name="_Toc102741405"/>
      <w:bookmarkStart w:id="156" w:name="_Toc104790081"/>
      <w:r w:rsidRPr="006A6CE2">
        <w:t xml:space="preserve">Tabela </w:t>
      </w:r>
      <w:r>
        <w:fldChar w:fldCharType="begin"/>
      </w:r>
      <w:r>
        <w:instrText>SEQ Tabela \* ARABIC</w:instrText>
      </w:r>
      <w:r>
        <w:fldChar w:fldCharType="separate"/>
      </w:r>
      <w:r w:rsidR="002B5007">
        <w:rPr>
          <w:noProof/>
        </w:rPr>
        <w:t>11</w:t>
      </w:r>
      <w:r>
        <w:fldChar w:fldCharType="end"/>
      </w:r>
      <w:bookmarkEnd w:id="154"/>
      <w:r w:rsidRPr="006A6CE2">
        <w:t xml:space="preserve"> Ocena stanu wód podziemnych JCWPd w latach 2012-2019</w:t>
      </w:r>
      <w:bookmarkEnd w:id="155"/>
      <w:bookmarkEnd w:id="156"/>
    </w:p>
    <w:tbl>
      <w:tblPr>
        <w:tblStyle w:val="Tabelasiatki1jasnaakcent11"/>
        <w:tblW w:w="9150" w:type="dxa"/>
        <w:jc w:val="center"/>
        <w:tblLook w:val="04A0" w:firstRow="1" w:lastRow="0" w:firstColumn="1" w:lastColumn="0" w:noHBand="0" w:noVBand="1"/>
      </w:tblPr>
      <w:tblGrid>
        <w:gridCol w:w="897"/>
        <w:gridCol w:w="1729"/>
        <w:gridCol w:w="1311"/>
        <w:gridCol w:w="1286"/>
        <w:gridCol w:w="1312"/>
        <w:gridCol w:w="1306"/>
        <w:gridCol w:w="1297"/>
        <w:gridCol w:w="12"/>
      </w:tblGrid>
      <w:tr w:rsidR="00B83214" w:rsidRPr="006A6CE2" w14:paraId="2C9016C0" w14:textId="77777777" w:rsidTr="00B8321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97" w:type="dxa"/>
            <w:vMerge w:val="restart"/>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4F8DB4DD" w14:textId="77777777" w:rsidR="00B83214" w:rsidRPr="006A6CE2" w:rsidRDefault="00B83214" w:rsidP="00B83214">
            <w:pPr>
              <w:spacing w:before="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Nr JCWPd</w:t>
            </w:r>
          </w:p>
        </w:tc>
        <w:tc>
          <w:tcPr>
            <w:tcW w:w="8253" w:type="dxa"/>
            <w:gridSpan w:val="7"/>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0A605456" w14:textId="77777777" w:rsidR="00B83214" w:rsidRPr="006A6CE2" w:rsidRDefault="00B83214" w:rsidP="00D41923">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Cs w:val="24"/>
                <w:lang w:eastAsia="pl-PL"/>
              </w:rPr>
            </w:pPr>
            <w:r w:rsidRPr="006A6CE2">
              <w:rPr>
                <w:rFonts w:ascii="Calibri" w:eastAsia="Times New Roman" w:hAnsi="Calibri" w:cs="Calibri"/>
                <w:color w:val="000000"/>
                <w:szCs w:val="24"/>
                <w:lang w:eastAsia="pl-PL"/>
              </w:rPr>
              <w:t>Rok badań</w:t>
            </w:r>
          </w:p>
        </w:tc>
      </w:tr>
      <w:tr w:rsidR="00B83214" w:rsidRPr="006A6CE2" w14:paraId="5647F74E"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vMerge/>
            <w:tcBorders>
              <w:left w:val="single" w:sz="4" w:space="0" w:color="B7DFA8" w:themeColor="accent1" w:themeTint="66"/>
              <w:right w:val="single" w:sz="4" w:space="0" w:color="B7DFA8" w:themeColor="accent1" w:themeTint="66"/>
            </w:tcBorders>
            <w:noWrap/>
            <w:vAlign w:val="center"/>
          </w:tcPr>
          <w:p w14:paraId="2EC57D5F" w14:textId="77777777" w:rsidR="00B83214" w:rsidRPr="006A6CE2" w:rsidRDefault="00B83214" w:rsidP="00B83214">
            <w:pPr>
              <w:spacing w:before="0"/>
              <w:rPr>
                <w:rFonts w:ascii="Calibri" w:eastAsia="Times New Roman" w:hAnsi="Calibri" w:cs="Calibri"/>
                <w:b w:val="0"/>
                <w:bCs w:val="0"/>
                <w:color w:val="000000"/>
                <w:szCs w:val="24"/>
                <w:lang w:eastAsia="pl-PL"/>
              </w:rPr>
            </w:pPr>
          </w:p>
        </w:tc>
        <w:tc>
          <w:tcPr>
            <w:tcW w:w="3040" w:type="dxa"/>
            <w:gridSpan w:val="2"/>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6967732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4"/>
                <w:lang w:eastAsia="pl-PL"/>
              </w:rPr>
            </w:pPr>
            <w:r w:rsidRPr="006A6CE2">
              <w:rPr>
                <w:rFonts w:ascii="Calibri" w:eastAsia="Times New Roman" w:hAnsi="Calibri" w:cs="Calibri"/>
                <w:b/>
                <w:bCs/>
                <w:color w:val="000000"/>
                <w:szCs w:val="24"/>
                <w:lang w:eastAsia="pl-PL"/>
              </w:rPr>
              <w:t>2012</w:t>
            </w:r>
          </w:p>
        </w:tc>
        <w:tc>
          <w:tcPr>
            <w:tcW w:w="2598" w:type="dxa"/>
            <w:gridSpan w:val="2"/>
            <w:tcBorders>
              <w:top w:val="single" w:sz="4" w:space="0" w:color="B7DFA8" w:themeColor="accent1" w:themeTint="66"/>
              <w:left w:val="single" w:sz="4" w:space="0" w:color="B7DFA8" w:themeColor="accent1" w:themeTint="66"/>
              <w:right w:val="single" w:sz="4" w:space="0" w:color="B7DFA8" w:themeColor="accent1" w:themeTint="66"/>
            </w:tcBorders>
            <w:vAlign w:val="center"/>
          </w:tcPr>
          <w:p w14:paraId="40B8E67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4"/>
                <w:lang w:eastAsia="pl-PL"/>
              </w:rPr>
            </w:pPr>
            <w:r w:rsidRPr="006A6CE2">
              <w:rPr>
                <w:rFonts w:ascii="Calibri" w:eastAsia="Times New Roman" w:hAnsi="Calibri" w:cs="Calibri"/>
                <w:b/>
                <w:bCs/>
                <w:color w:val="000000"/>
                <w:szCs w:val="24"/>
                <w:lang w:eastAsia="pl-PL"/>
              </w:rPr>
              <w:t>2016</w:t>
            </w:r>
          </w:p>
        </w:tc>
        <w:tc>
          <w:tcPr>
            <w:tcW w:w="2603" w:type="dxa"/>
            <w:gridSpan w:val="2"/>
            <w:tcBorders>
              <w:top w:val="single" w:sz="4" w:space="0" w:color="B7DFA8" w:themeColor="accent1" w:themeTint="66"/>
              <w:left w:val="single" w:sz="4" w:space="0" w:color="B7DFA8" w:themeColor="accent1" w:themeTint="66"/>
              <w:right w:val="single" w:sz="4" w:space="0" w:color="B7DFA8" w:themeColor="accent1" w:themeTint="66"/>
            </w:tcBorders>
            <w:vAlign w:val="center"/>
          </w:tcPr>
          <w:p w14:paraId="106D905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4"/>
                <w:lang w:eastAsia="pl-PL"/>
              </w:rPr>
            </w:pPr>
            <w:r w:rsidRPr="006A6CE2">
              <w:rPr>
                <w:rFonts w:ascii="Calibri" w:eastAsia="Times New Roman" w:hAnsi="Calibri" w:cs="Calibri"/>
                <w:b/>
                <w:bCs/>
                <w:color w:val="000000"/>
                <w:szCs w:val="24"/>
                <w:lang w:eastAsia="pl-PL"/>
              </w:rPr>
              <w:t>2019</w:t>
            </w:r>
          </w:p>
        </w:tc>
      </w:tr>
      <w:tr w:rsidR="00B83214" w:rsidRPr="006A6CE2" w14:paraId="11F33EDC"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97" w:type="dxa"/>
            <w:vMerge/>
            <w:tcBorders>
              <w:left w:val="single" w:sz="4" w:space="0" w:color="B7DFA8" w:themeColor="accent1" w:themeTint="66"/>
              <w:right w:val="single" w:sz="4" w:space="0" w:color="B7DFA8" w:themeColor="accent1" w:themeTint="66"/>
            </w:tcBorders>
            <w:noWrap/>
            <w:vAlign w:val="center"/>
          </w:tcPr>
          <w:p w14:paraId="21E75C08" w14:textId="77777777" w:rsidR="00B83214" w:rsidRPr="006A6CE2" w:rsidRDefault="00B83214" w:rsidP="00B83214">
            <w:pPr>
              <w:spacing w:before="0"/>
              <w:rPr>
                <w:rFonts w:ascii="Calibri" w:eastAsia="Times New Roman" w:hAnsi="Calibri" w:cs="Calibri"/>
                <w:b w:val="0"/>
                <w:bCs w:val="0"/>
                <w:color w:val="000000"/>
                <w:szCs w:val="24"/>
                <w:lang w:eastAsia="pl-PL"/>
              </w:rPr>
            </w:pPr>
          </w:p>
        </w:tc>
        <w:tc>
          <w:tcPr>
            <w:tcW w:w="8253" w:type="dxa"/>
            <w:gridSpan w:val="7"/>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3C25993" w14:textId="77777777" w:rsidR="00B83214" w:rsidRPr="006A6CE2" w:rsidRDefault="00B83214" w:rsidP="00D41923">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4"/>
                <w:lang w:eastAsia="pl-PL"/>
              </w:rPr>
            </w:pPr>
            <w:r w:rsidRPr="006A6CE2">
              <w:rPr>
                <w:rFonts w:ascii="Calibri" w:eastAsia="Times New Roman" w:hAnsi="Calibri" w:cs="Calibri"/>
                <w:b/>
                <w:bCs/>
                <w:color w:val="000000"/>
                <w:szCs w:val="24"/>
                <w:lang w:eastAsia="pl-PL"/>
              </w:rPr>
              <w:t>Stan wód</w:t>
            </w:r>
          </w:p>
        </w:tc>
      </w:tr>
      <w:tr w:rsidR="00B83214" w:rsidRPr="006A6CE2" w14:paraId="3D0D6C2B"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vMerge/>
            <w:tcBorders>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BBF4B53" w14:textId="77777777" w:rsidR="00B83214" w:rsidRPr="006A6CE2" w:rsidRDefault="00B83214" w:rsidP="00B83214">
            <w:pPr>
              <w:spacing w:before="0"/>
              <w:rPr>
                <w:rFonts w:ascii="Calibri" w:eastAsia="Times New Roman" w:hAnsi="Calibri" w:cs="Calibri"/>
                <w:b w:val="0"/>
                <w:bCs w:val="0"/>
                <w:color w:val="000000"/>
                <w:szCs w:val="24"/>
                <w:lang w:eastAsia="pl-PL"/>
              </w:rPr>
            </w:pP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4B97AF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4"/>
                <w:lang w:eastAsia="pl-PL"/>
              </w:rPr>
            </w:pPr>
            <w:r w:rsidRPr="006A6CE2">
              <w:rPr>
                <w:rFonts w:ascii="Calibri" w:eastAsia="Times New Roman" w:hAnsi="Calibri" w:cs="Calibri"/>
                <w:b/>
                <w:bCs/>
                <w:color w:val="000000"/>
                <w:szCs w:val="24"/>
                <w:lang w:eastAsia="pl-PL"/>
              </w:rPr>
              <w:t>Chemiczny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4AAFC22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4"/>
                <w:lang w:eastAsia="pl-PL"/>
              </w:rPr>
            </w:pPr>
            <w:r w:rsidRPr="006A6CE2">
              <w:rPr>
                <w:rFonts w:ascii="Calibri" w:eastAsia="Times New Roman" w:hAnsi="Calibri" w:cs="Calibri"/>
                <w:b/>
                <w:bCs/>
                <w:color w:val="000000"/>
                <w:szCs w:val="24"/>
                <w:lang w:eastAsia="pl-PL"/>
              </w:rPr>
              <w:t>Ilościowy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53B748C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4"/>
                <w:lang w:eastAsia="pl-PL"/>
              </w:rPr>
            </w:pPr>
            <w:r w:rsidRPr="006A6CE2">
              <w:rPr>
                <w:rFonts w:ascii="Calibri" w:eastAsia="Times New Roman" w:hAnsi="Calibri" w:cs="Calibri"/>
                <w:b/>
                <w:bCs/>
                <w:color w:val="000000"/>
                <w:szCs w:val="24"/>
                <w:lang w:eastAsia="pl-PL"/>
              </w:rPr>
              <w:t>Chemiczny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96EC2A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4"/>
                <w:lang w:eastAsia="pl-PL"/>
              </w:rPr>
            </w:pPr>
            <w:r w:rsidRPr="006A6CE2">
              <w:rPr>
                <w:rFonts w:ascii="Calibri" w:eastAsia="Times New Roman" w:hAnsi="Calibri" w:cs="Calibri"/>
                <w:b/>
                <w:bCs/>
                <w:color w:val="000000"/>
                <w:szCs w:val="24"/>
                <w:lang w:eastAsia="pl-PL"/>
              </w:rPr>
              <w:t>Ilościowy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92E061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4"/>
                <w:lang w:eastAsia="pl-PL"/>
              </w:rPr>
            </w:pPr>
            <w:r w:rsidRPr="006A6CE2">
              <w:rPr>
                <w:rFonts w:ascii="Calibri" w:eastAsia="Times New Roman" w:hAnsi="Calibri" w:cs="Calibri"/>
                <w:b/>
                <w:bCs/>
                <w:color w:val="000000"/>
                <w:szCs w:val="24"/>
                <w:lang w:eastAsia="pl-PL"/>
              </w:rPr>
              <w:t>Chemiczny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5AB70A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4"/>
                <w:lang w:eastAsia="pl-PL"/>
              </w:rPr>
            </w:pPr>
            <w:r w:rsidRPr="006A6CE2">
              <w:rPr>
                <w:rFonts w:ascii="Calibri" w:eastAsia="Times New Roman" w:hAnsi="Calibri" w:cs="Calibri"/>
                <w:b/>
                <w:bCs/>
                <w:color w:val="000000"/>
                <w:szCs w:val="24"/>
                <w:lang w:eastAsia="pl-PL"/>
              </w:rPr>
              <w:t>Ilościowy</w:t>
            </w:r>
          </w:p>
        </w:tc>
      </w:tr>
      <w:tr w:rsidR="00B83214" w:rsidRPr="006A6CE2" w14:paraId="18B2FA3D"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6FB7B9F"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8C25FF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słaby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13E8ABC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słaby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01390D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słaby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9A973B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słaby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24C9BA0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słaby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9F28A5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słaby</w:t>
            </w:r>
          </w:p>
        </w:tc>
      </w:tr>
      <w:tr w:rsidR="00B83214" w:rsidRPr="006A6CE2" w14:paraId="46C2FEA0"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536B195"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noWrap/>
          </w:tcPr>
          <w:p w14:paraId="3E47562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51C1ED4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17B8194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0CAE8EE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1FAC68F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3444998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r w:rsidR="00B83214" w:rsidRPr="006A6CE2" w14:paraId="47B8B079"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1AF2282"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3</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noWrap/>
            <w:vAlign w:val="center"/>
          </w:tcPr>
          <w:p w14:paraId="76CB9BA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vAlign w:val="center"/>
          </w:tcPr>
          <w:p w14:paraId="7C1F725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vAlign w:val="center"/>
          </w:tcPr>
          <w:p w14:paraId="5D726C9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vAlign w:val="center"/>
          </w:tcPr>
          <w:p w14:paraId="09BDAA5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vAlign w:val="center"/>
          </w:tcPr>
          <w:p w14:paraId="4C3D77C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vAlign w:val="center"/>
          </w:tcPr>
          <w:p w14:paraId="6D288D1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r w:rsidR="00B83214" w:rsidRPr="006A6CE2" w14:paraId="40434CD6"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356EFFF"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4</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noWrap/>
          </w:tcPr>
          <w:p w14:paraId="0941BB8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39C475E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40ECC1F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55D900E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0104B3A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2C6BD7D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r w:rsidR="00B83214" w:rsidRPr="006A6CE2" w14:paraId="2DA9C275"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0E77FE6"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5</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noWrap/>
            <w:vAlign w:val="center"/>
          </w:tcPr>
          <w:p w14:paraId="7C228E1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vAlign w:val="center"/>
          </w:tcPr>
          <w:p w14:paraId="54B20C0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4D8361B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4449BEF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5C30F19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5CB1D79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r w:rsidR="00B83214" w:rsidRPr="006A6CE2" w14:paraId="7CDC41DA"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495D838"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6</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noWrap/>
            <w:vAlign w:val="center"/>
          </w:tcPr>
          <w:p w14:paraId="6394D4C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vAlign w:val="center"/>
          </w:tcPr>
          <w:p w14:paraId="5FB2C5F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68620E2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14C6554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17C1329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69BFC45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r w:rsidR="00B83214" w:rsidRPr="006A6CE2" w14:paraId="7A43C4B0"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8D738E4"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7</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noWrap/>
          </w:tcPr>
          <w:p w14:paraId="63AE3D7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2E7A139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1C4E7B9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09E94E9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5678C9C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72E29A3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r w:rsidR="00B83214" w:rsidRPr="006A6CE2" w14:paraId="59AA4A5B"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4DD8C8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8</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noWrap/>
          </w:tcPr>
          <w:p w14:paraId="1263C80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18FD202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41C7B58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258B3CA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69A2B93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22A972E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r w:rsidR="00B83214" w:rsidRPr="006A6CE2" w14:paraId="45CAD01B"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4F36C9B"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9</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noWrap/>
          </w:tcPr>
          <w:p w14:paraId="399A779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75E98F8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1C33FB1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1133B0E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0715DC0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6CA6605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słaby</w:t>
            </w:r>
          </w:p>
        </w:tc>
      </w:tr>
      <w:tr w:rsidR="00B83214" w:rsidRPr="006A6CE2" w14:paraId="3D6D92F4"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09E883C"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10</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noWrap/>
          </w:tcPr>
          <w:p w14:paraId="2CDD12E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382B0F1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66EEEA2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7698C8B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5E59987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2E3B8BC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r w:rsidR="00B83214" w:rsidRPr="006A6CE2" w14:paraId="5887756A"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FAB6FB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23</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noWrap/>
          </w:tcPr>
          <w:p w14:paraId="5EE86CA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159C577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29D38D0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33D60C8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35AA64D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64EC4E5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r w:rsidR="00B83214" w:rsidRPr="006A6CE2" w14:paraId="73D4768F"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FB05AB8"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24</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noWrap/>
          </w:tcPr>
          <w:p w14:paraId="0B951E5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72B891E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2DC1C5D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7DCEFC0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08A68FB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78E4927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r w:rsidR="00B83214" w:rsidRPr="006A6CE2" w14:paraId="1BB68FE3"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8D55226"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25</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noWrap/>
          </w:tcPr>
          <w:p w14:paraId="6ABD3B9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78A3199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241AAA7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2E0AC95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6EDAB8D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57F2E13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r w:rsidR="00B83214" w:rsidRPr="006A6CE2" w14:paraId="7CBFF67D"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5BAC4F1"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26</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noWrap/>
          </w:tcPr>
          <w:p w14:paraId="2922245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1DD9392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317290A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1324C17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041FE2A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5646FF6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r w:rsidR="00B83214" w:rsidRPr="006A6CE2" w14:paraId="6DCF0408"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B6019D6"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33</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0CC0D5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słaby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0F27CFE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055F342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306052D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7A58104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1F75306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r w:rsidR="00B83214" w:rsidRPr="006A6CE2" w14:paraId="4976D12A" w14:textId="77777777" w:rsidTr="00B83214">
        <w:trPr>
          <w:gridAfter w:val="1"/>
          <w:wAfter w:w="12" w:type="dxa"/>
          <w:trHeight w:val="288"/>
          <w:jc w:val="center"/>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9DAA995"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34</w:t>
            </w:r>
          </w:p>
        </w:tc>
        <w:tc>
          <w:tcPr>
            <w:tcW w:w="17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4A88A9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słaby</w:t>
            </w:r>
          </w:p>
        </w:tc>
        <w:tc>
          <w:tcPr>
            <w:tcW w:w="131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20D9144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8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42EAB5D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414EC3B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30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05B7D9D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c>
          <w:tcPr>
            <w:tcW w:w="129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E8F3D3" w:themeFill="accent2" w:themeFillTint="33"/>
          </w:tcPr>
          <w:p w14:paraId="792CDF1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dobry</w:t>
            </w:r>
          </w:p>
        </w:tc>
      </w:tr>
    </w:tbl>
    <w:p w14:paraId="6E431C6F" w14:textId="77777777" w:rsidR="00B83214" w:rsidRPr="006A6CE2" w:rsidRDefault="00B83214" w:rsidP="00B83214">
      <w:pPr>
        <w:pStyle w:val="rdo"/>
      </w:pPr>
      <w:r w:rsidRPr="006A6CE2">
        <w:t>Źródło: Monitoring Jakości Wód Podziemnych – Państwowy Monitoring Środowiska, https://mjwp.gios.gov.pl/mapa/mapa,172.html; dostęp z dn. 01.05.2022 r.</w:t>
      </w:r>
    </w:p>
    <w:p w14:paraId="1FA6C8E9" w14:textId="77777777" w:rsidR="00B83214" w:rsidRPr="006A6CE2" w:rsidRDefault="00B83214" w:rsidP="00B83214">
      <w:pPr>
        <w:rPr>
          <w:rFonts w:cstheme="minorHAnsi"/>
          <w:szCs w:val="24"/>
        </w:rPr>
      </w:pPr>
      <w:r w:rsidRPr="006A6CE2">
        <w:rPr>
          <w:rFonts w:cstheme="minorHAnsi"/>
          <w:szCs w:val="24"/>
        </w:rPr>
        <w:t>W 2019, spośród 16 JCWPd znajdujących się na obszarze województwa, stan chemiczny lub ilościowy tylko 2 JCWPd (nr 1 oraz nr 9) oceniono jako słaby.</w:t>
      </w:r>
    </w:p>
    <w:p w14:paraId="5C764C6A" w14:textId="635B10A4" w:rsidR="00B83214" w:rsidRPr="006A6CE2" w:rsidRDefault="00B83214" w:rsidP="00B83214">
      <w:pPr>
        <w:rPr>
          <w:rFonts w:cstheme="minorHAnsi"/>
          <w:szCs w:val="24"/>
        </w:rPr>
      </w:pPr>
      <w:r w:rsidRPr="006A6CE2">
        <w:rPr>
          <w:rFonts w:cstheme="minorHAnsi"/>
          <w:szCs w:val="24"/>
        </w:rPr>
        <w:t>Przyczyną słabego stanu chemicznego i ilościowego JCWPd nr 1 jest w głównej mierze ascenzja wód słonych do użytkowego poziomu czwartorzędowego oraz ingresj</w:t>
      </w:r>
      <w:r w:rsidR="00616EFA">
        <w:rPr>
          <w:rFonts w:cstheme="minorHAnsi"/>
          <w:szCs w:val="24"/>
        </w:rPr>
        <w:t>a</w:t>
      </w:r>
      <w:r w:rsidRPr="006A6CE2">
        <w:rPr>
          <w:rFonts w:cstheme="minorHAnsi"/>
          <w:szCs w:val="24"/>
        </w:rPr>
        <w:t xml:space="preserve"> wód słonych lub słonawych w strefie przybrzeżnej z Bałtyku (Zatoka Pomorska), Zalewu Szczecińskiego i Świny. Stwierdzono przekroczenia wartości progowych wskaźników takich jak: przewodność elektrolityczna właściwa, bar, potas, sód i chlorki (w zakresie klasy IV), oraz sód i chlorki (w zakresie klasy V).Na słaby stan ilościowy mo</w:t>
      </w:r>
      <w:r w:rsidR="00616EFA">
        <w:rPr>
          <w:rFonts w:cstheme="minorHAnsi"/>
          <w:szCs w:val="24"/>
        </w:rPr>
        <w:t>że</w:t>
      </w:r>
      <w:r w:rsidRPr="006A6CE2">
        <w:rPr>
          <w:rFonts w:cstheme="minorHAnsi"/>
          <w:szCs w:val="24"/>
        </w:rPr>
        <w:t xml:space="preserve"> wpływać również intensywna eksploatacja wód.</w:t>
      </w:r>
    </w:p>
    <w:p w14:paraId="415E5A12" w14:textId="37B0CFD0" w:rsidR="00B83214" w:rsidRPr="006A6CE2" w:rsidRDefault="00B83214" w:rsidP="00B83214">
      <w:pPr>
        <w:rPr>
          <w:rFonts w:cstheme="minorHAnsi"/>
          <w:szCs w:val="24"/>
        </w:rPr>
      </w:pPr>
      <w:r w:rsidRPr="006A6CE2">
        <w:rPr>
          <w:rFonts w:cstheme="minorHAnsi"/>
          <w:szCs w:val="24"/>
        </w:rPr>
        <w:t>Przyczyną słabego stanu ilościowego JCWPd nr 9 było prawdopodobnie obniżenie zwierciadła wód podziemnych w obrębie tarasu zalewowego rz. Parsęt</w:t>
      </w:r>
      <w:r w:rsidR="00616EFA">
        <w:rPr>
          <w:rFonts w:cstheme="minorHAnsi"/>
          <w:szCs w:val="24"/>
        </w:rPr>
        <w:t>y</w:t>
      </w:r>
      <w:r w:rsidRPr="006A6CE2">
        <w:rPr>
          <w:rFonts w:cstheme="minorHAnsi"/>
          <w:szCs w:val="24"/>
        </w:rPr>
        <w:t xml:space="preserve"> w obrębie zlewni elementarnej o numerze 44979 (Zlewnia Parsęty od Niecieczy do Wielkiego Rowu (l)), na obszarze którego występują torfowiska</w:t>
      </w:r>
      <w:r w:rsidR="00616EFA">
        <w:rPr>
          <w:rFonts w:cstheme="minorHAnsi"/>
          <w:szCs w:val="24"/>
        </w:rPr>
        <w:t xml:space="preserve">. Obniżenie zwierciadła </w:t>
      </w:r>
      <w:r w:rsidR="00616EFA" w:rsidRPr="006A6CE2">
        <w:rPr>
          <w:rFonts w:cstheme="minorHAnsi"/>
          <w:szCs w:val="24"/>
        </w:rPr>
        <w:t>wód podziemnych</w:t>
      </w:r>
      <w:r w:rsidRPr="006A6CE2">
        <w:rPr>
          <w:rFonts w:cstheme="minorHAnsi"/>
          <w:szCs w:val="24"/>
        </w:rPr>
        <w:t xml:space="preserve"> spowodowane jest intensywną eksploatacją przez obiekty wchodzące w skład Ujęcia wód w Bogucinie - Rościęcinie. Zgodnie z informacją przedstawioną na stronie </w:t>
      </w:r>
      <w:hyperlink r:id="rId36" w:history="1">
        <w:r w:rsidRPr="006A6CE2">
          <w:rPr>
            <w:rFonts w:cstheme="minorHAnsi"/>
            <w:color w:val="6B9F25" w:themeColor="hyperlink"/>
            <w:szCs w:val="24"/>
            <w:u w:val="single"/>
          </w:rPr>
          <w:t>https://mjwp.gios.gov.pl/</w:t>
        </w:r>
      </w:hyperlink>
      <w:r w:rsidRPr="006A6CE2">
        <w:rPr>
          <w:rFonts w:cstheme="minorHAnsi"/>
          <w:szCs w:val="24"/>
        </w:rPr>
        <w:t>, słaby stan ilościowy określono z niską wiarygodnością, ponieważ zagrożone siedliska przyrodnicze nie posiadały stanowisk badawczych w ramach sieci Monitoringu Siedlisk i Gatunków.</w:t>
      </w:r>
    </w:p>
    <w:p w14:paraId="5BB23D07" w14:textId="15213927" w:rsidR="00B83214" w:rsidRPr="006A6CE2" w:rsidRDefault="00B83214" w:rsidP="00B83214">
      <w:pPr>
        <w:rPr>
          <w:rFonts w:cstheme="minorHAnsi"/>
          <w:szCs w:val="24"/>
        </w:rPr>
      </w:pPr>
      <w:r w:rsidRPr="006A6CE2">
        <w:rPr>
          <w:rFonts w:cstheme="minorHAnsi"/>
          <w:szCs w:val="24"/>
        </w:rPr>
        <w:t xml:space="preserve">Pojęcie jednolitej części wód powierzchniowych (JCWP) wprowadzone w związku z implementacją Ramowej Dyrektywy Wodnej, stosowane jest w kontekście zarządzania wodami, w tym ich monitoringu środowiskowego. Przez pojęcie JCWP </w:t>
      </w:r>
      <w:r w:rsidRPr="006A6CE2">
        <w:rPr>
          <w:szCs w:val="24"/>
        </w:rPr>
        <w:t>rozumie się oddzielny i znaczący element wód powierzchniowych, taki jak: a) jezioro lub inny naturalny zbiornik wodny, b) sztuczny zbiornik wodny</w:t>
      </w:r>
      <w:r w:rsidRPr="006A6CE2">
        <w:rPr>
          <w:rFonts w:cstheme="minorHAnsi"/>
          <w:szCs w:val="24"/>
        </w:rPr>
        <w:t xml:space="preserve"> </w:t>
      </w:r>
      <w:r w:rsidRPr="006A6CE2">
        <w:rPr>
          <w:szCs w:val="24"/>
        </w:rPr>
        <w:t>c) struga, strumień, potok, rzeka i kanał lub ich części, d) morskie wody wewnętrzne, wody przejściowe lub wody przybrzeżne</w:t>
      </w:r>
      <w:r w:rsidRPr="006A6CE2">
        <w:rPr>
          <w:szCs w:val="24"/>
          <w:vertAlign w:val="superscript"/>
        </w:rPr>
        <w:footnoteReference w:id="113"/>
      </w:r>
      <w:r w:rsidRPr="006A6CE2">
        <w:rPr>
          <w:szCs w:val="24"/>
        </w:rPr>
        <w:t>.</w:t>
      </w:r>
      <w:r w:rsidRPr="006A6CE2">
        <w:rPr>
          <w:rFonts w:cstheme="minorHAnsi"/>
          <w:szCs w:val="24"/>
        </w:rPr>
        <w:t xml:space="preserve"> JCWP </w:t>
      </w:r>
      <w:r w:rsidRPr="006A6CE2">
        <w:rPr>
          <w:rFonts w:cstheme="minorHAnsi"/>
          <w:color w:val="000000"/>
          <w:szCs w:val="24"/>
        </w:rPr>
        <w:t>stanowi podstawową jednostkę dla realizacji prac planistycznych.</w:t>
      </w:r>
    </w:p>
    <w:p w14:paraId="5FDC233D" w14:textId="03800A54" w:rsidR="00B83214" w:rsidRPr="006A6CE2" w:rsidRDefault="00B83214" w:rsidP="00B83214">
      <w:pPr>
        <w:autoSpaceDE w:val="0"/>
        <w:autoSpaceDN w:val="0"/>
        <w:adjustRightInd w:val="0"/>
        <w:rPr>
          <w:rFonts w:cstheme="minorHAnsi"/>
          <w:color w:val="000000"/>
          <w:szCs w:val="24"/>
        </w:rPr>
      </w:pPr>
      <w:r w:rsidRPr="006A6CE2">
        <w:rPr>
          <w:rFonts w:cstheme="minorHAnsi"/>
          <w:color w:val="000000"/>
          <w:szCs w:val="24"/>
        </w:rPr>
        <w:t>Na obszarze województwa zachodniopomorskiego wydzielono przybrzeżne, przejściowe, jeziorne i rzeczne JCWP. Na terenie województwa w ramach pierwszej aktualizacji Planów gospodarowania wodami (aPGW) wydzielono: 362 jednolitych części wód powierzchniowych rzecznych (222 naturalnych, 120 silnie zmienionych oraz 20 sztucznych) oraz 184 jednolitych części wód powierzchniowych jeziornych (164 naturalnych i 20 silnie zmienionych). Granice zlewni JCWP przedstawiono poniżej (</w:t>
      </w:r>
      <w:r w:rsidRPr="006A6CE2">
        <w:rPr>
          <w:rFonts w:cstheme="minorHAnsi"/>
          <w:color w:val="000000"/>
          <w:szCs w:val="24"/>
        </w:rPr>
        <w:fldChar w:fldCharType="begin"/>
      </w:r>
      <w:r w:rsidRPr="006A6CE2">
        <w:rPr>
          <w:rFonts w:cstheme="minorHAnsi"/>
          <w:color w:val="000000"/>
          <w:szCs w:val="24"/>
        </w:rPr>
        <w:instrText xml:space="preserve"> REF _Ref102393204 \h  \* MERGEFORMAT </w:instrText>
      </w:r>
      <w:r w:rsidRPr="006A6CE2">
        <w:rPr>
          <w:rFonts w:cstheme="minorHAnsi"/>
          <w:color w:val="000000"/>
          <w:szCs w:val="24"/>
        </w:rPr>
      </w:r>
      <w:r w:rsidRPr="006A6CE2">
        <w:rPr>
          <w:rFonts w:cstheme="minorHAnsi"/>
          <w:color w:val="000000"/>
          <w:szCs w:val="24"/>
        </w:rPr>
        <w:fldChar w:fldCharType="separate"/>
      </w:r>
      <w:r w:rsidR="002B5007" w:rsidRPr="002B5007">
        <w:rPr>
          <w:szCs w:val="24"/>
        </w:rPr>
        <w:t xml:space="preserve">Rysunek </w:t>
      </w:r>
      <w:r w:rsidR="002B5007" w:rsidRPr="002B5007">
        <w:rPr>
          <w:noProof/>
          <w:szCs w:val="24"/>
        </w:rPr>
        <w:t>13</w:t>
      </w:r>
      <w:r w:rsidRPr="006A6CE2">
        <w:rPr>
          <w:rFonts w:cstheme="minorHAnsi"/>
          <w:color w:val="000000"/>
          <w:szCs w:val="24"/>
        </w:rPr>
        <w:fldChar w:fldCharType="end"/>
      </w:r>
      <w:r w:rsidRPr="006A6CE2">
        <w:rPr>
          <w:rFonts w:cstheme="minorHAnsi"/>
          <w:color w:val="000000"/>
          <w:szCs w:val="24"/>
        </w:rPr>
        <w:t>).</w:t>
      </w:r>
    </w:p>
    <w:p w14:paraId="1B40B201" w14:textId="77777777" w:rsidR="00B83214" w:rsidRPr="006A6CE2" w:rsidRDefault="00B83214" w:rsidP="00B83214">
      <w:pPr>
        <w:spacing w:line="276" w:lineRule="auto"/>
        <w:jc w:val="center"/>
        <w:rPr>
          <w:sz w:val="22"/>
        </w:rPr>
      </w:pPr>
      <w:r w:rsidRPr="006A6CE2">
        <w:rPr>
          <w:noProof/>
          <w:sz w:val="22"/>
          <w:lang w:eastAsia="pl-PL"/>
        </w:rPr>
        <w:drawing>
          <wp:inline distT="0" distB="0" distL="0" distR="0" wp14:anchorId="3720D453" wp14:editId="017E45FA">
            <wp:extent cx="5039354" cy="6159261"/>
            <wp:effectExtent l="0" t="0" r="9525"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5_JCWP.tiff"/>
                    <pic:cNvPicPr/>
                  </pic:nvPicPr>
                  <pic:blipFill rotWithShape="1">
                    <a:blip r:embed="rId37" cstate="print">
                      <a:extLst>
                        <a:ext uri="{28A0092B-C50C-407E-A947-70E740481C1C}">
                          <a14:useLocalDpi xmlns:a14="http://schemas.microsoft.com/office/drawing/2010/main" val="0"/>
                        </a:ext>
                      </a:extLst>
                    </a:blip>
                    <a:srcRect t="8324" b="5528"/>
                    <a:stretch/>
                  </pic:blipFill>
                  <pic:spPr bwMode="auto">
                    <a:xfrm>
                      <a:off x="0" y="0"/>
                      <a:ext cx="5040000" cy="6160050"/>
                    </a:xfrm>
                    <a:prstGeom prst="rect">
                      <a:avLst/>
                    </a:prstGeom>
                    <a:ln>
                      <a:noFill/>
                    </a:ln>
                    <a:extLst>
                      <a:ext uri="{53640926-AAD7-44D8-BBD7-CCE9431645EC}">
                        <a14:shadowObscured xmlns:a14="http://schemas.microsoft.com/office/drawing/2010/main"/>
                      </a:ext>
                    </a:extLst>
                  </pic:spPr>
                </pic:pic>
              </a:graphicData>
            </a:graphic>
          </wp:inline>
        </w:drawing>
      </w:r>
    </w:p>
    <w:p w14:paraId="1BF997D9" w14:textId="77777777" w:rsidR="00B83214" w:rsidRPr="007C07ED" w:rsidRDefault="00B83214" w:rsidP="00B83214">
      <w:pPr>
        <w:pStyle w:val="Podpispodrysunkiem"/>
      </w:pPr>
      <w:bookmarkStart w:id="157" w:name="_Ref102393204"/>
      <w:bookmarkStart w:id="158" w:name="_Toc102741393"/>
      <w:bookmarkStart w:id="159" w:name="_Toc104790115"/>
      <w:r w:rsidRPr="007C07ED">
        <w:t xml:space="preserve">Rysunek </w:t>
      </w:r>
      <w:r>
        <w:fldChar w:fldCharType="begin"/>
      </w:r>
      <w:r>
        <w:instrText>SEQ Rysunek \* ARABIC</w:instrText>
      </w:r>
      <w:r>
        <w:fldChar w:fldCharType="separate"/>
      </w:r>
      <w:r w:rsidR="002B5007">
        <w:rPr>
          <w:noProof/>
        </w:rPr>
        <w:t>13</w:t>
      </w:r>
      <w:r>
        <w:fldChar w:fldCharType="end"/>
      </w:r>
      <w:bookmarkEnd w:id="157"/>
      <w:r w:rsidRPr="007C07ED">
        <w:t xml:space="preserve"> Granice zlewni JCWP na obszarze województwa zachodniopomorskiego</w:t>
      </w:r>
      <w:bookmarkEnd w:id="158"/>
      <w:bookmarkEnd w:id="159"/>
    </w:p>
    <w:p w14:paraId="51431E3F" w14:textId="77777777" w:rsidR="00B83214" w:rsidRPr="006A6CE2" w:rsidRDefault="00B83214" w:rsidP="00B83214">
      <w:pPr>
        <w:pStyle w:val="rdo"/>
      </w:pPr>
      <w:r w:rsidRPr="006A6CE2">
        <w:t>Źródło: Informatyczny System Osłony Kraju</w:t>
      </w:r>
    </w:p>
    <w:p w14:paraId="16EC3C7E" w14:textId="0C320132" w:rsidR="00B83214" w:rsidRPr="006A6CE2" w:rsidRDefault="00B83214" w:rsidP="00B83214">
      <w:pPr>
        <w:autoSpaceDE w:val="0"/>
        <w:autoSpaceDN w:val="0"/>
        <w:adjustRightInd w:val="0"/>
        <w:rPr>
          <w:rFonts w:cstheme="minorHAnsi"/>
          <w:color w:val="000000"/>
          <w:szCs w:val="24"/>
        </w:rPr>
      </w:pPr>
      <w:r w:rsidRPr="006A6CE2">
        <w:rPr>
          <w:rFonts w:cstheme="minorHAnsi"/>
          <w:color w:val="000000"/>
          <w:szCs w:val="24"/>
        </w:rPr>
        <w:t>Zgodnie z art. 3 pkt 3) ustawy z dnia 17 listopada 2021 r. o zmianie ustawy o szczególnych rozwiązaniach związanych z zapobieganiem, przeciwdziałaniem i zwalczaniem COVID-19, innych chorób zakaźnych oraz wywołanych nimi sytuacji kryzysowych oraz niektórych innych ustaw (Dz. U. 2021 poz. 2368)</w:t>
      </w:r>
      <w:r w:rsidR="00A628D2">
        <w:rPr>
          <w:rFonts w:cstheme="minorHAnsi"/>
          <w:color w:val="000000"/>
          <w:szCs w:val="24"/>
        </w:rPr>
        <w:t>,</w:t>
      </w:r>
      <w:r w:rsidRPr="006A6CE2">
        <w:rPr>
          <w:rFonts w:cstheme="minorHAnsi"/>
          <w:color w:val="000000"/>
          <w:szCs w:val="24"/>
        </w:rPr>
        <w:t xml:space="preserve"> obowiązujące plany gospodarowania wodami na obszarach dorzeczy (aPGW), opublikowane w formie rozporządzeń w 2016 roku zachowują swoją moc prawną do 22 grudnia 2022 r. Aktualnie trwa proces opracowania rozporządzeń wprowadzających drugą aktualizację planów gospodarowania wodami na obszarach dorzeczy (II aPGW), które docelowo zastąpią obowiązujące plany</w:t>
      </w:r>
      <w:r w:rsidRPr="006A6CE2">
        <w:rPr>
          <w:rFonts w:cstheme="minorHAnsi"/>
          <w:color w:val="000000"/>
          <w:szCs w:val="24"/>
          <w:vertAlign w:val="superscript"/>
        </w:rPr>
        <w:footnoteReference w:id="114"/>
      </w:r>
      <w:r w:rsidRPr="006A6CE2">
        <w:rPr>
          <w:rFonts w:cstheme="minorHAnsi"/>
          <w:color w:val="000000"/>
          <w:szCs w:val="24"/>
        </w:rPr>
        <w:t>.</w:t>
      </w:r>
    </w:p>
    <w:p w14:paraId="7FD96CEF" w14:textId="77777777" w:rsidR="00B83214" w:rsidRPr="006A6CE2" w:rsidRDefault="00B83214" w:rsidP="00B83214">
      <w:pPr>
        <w:rPr>
          <w:szCs w:val="24"/>
        </w:rPr>
      </w:pPr>
      <w:r w:rsidRPr="006A6CE2">
        <w:rPr>
          <w:szCs w:val="24"/>
        </w:rPr>
        <w:t xml:space="preserve">W ramach Państwowego Monitoringu Środowiska przeprowadzono badania wód: rzek, jezior, wód przejściowych i przybrzeżnych, w zakresie elementów biologicznych, fizykochemicznych oraz chemicznych. Badania były prowadzone przez </w:t>
      </w:r>
      <w:r w:rsidRPr="006A6CE2">
        <w:rPr>
          <w:rFonts w:cstheme="minorHAnsi"/>
          <w:szCs w:val="24"/>
        </w:rPr>
        <w:t>RWMŚ w Szczecinie.</w:t>
      </w:r>
    </w:p>
    <w:p w14:paraId="533511BF" w14:textId="73C8A26C" w:rsidR="00B83214" w:rsidRPr="006A6CE2" w:rsidRDefault="00B83214" w:rsidP="00B83214">
      <w:pPr>
        <w:rPr>
          <w:rFonts w:cstheme="minorHAnsi"/>
          <w:szCs w:val="24"/>
        </w:rPr>
      </w:pPr>
      <w:r w:rsidRPr="006A6CE2">
        <w:rPr>
          <w:szCs w:val="24"/>
        </w:rPr>
        <w:t>W 2019 roku w ramach państwowego monitoringu środowiska oceniono stan 142 JCWP rzecznych. W roku 2020 nie została dokonana klasyfikacja i ocena stanu jednolitych części wód powierzchniowych, a wyłącznie klasyfikacja wskaźników jakości wód, zgodnie z § 14 i § 15 rozporządzenia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 U. 2021 poz. 1475). W 2019 roku k</w:t>
      </w:r>
      <w:r w:rsidRPr="006A6CE2">
        <w:rPr>
          <w:rFonts w:cstheme="minorHAnsi"/>
          <w:szCs w:val="24"/>
        </w:rPr>
        <w:t>lasyfikację</w:t>
      </w:r>
      <w:r>
        <w:rPr>
          <w:rFonts w:cstheme="minorHAnsi"/>
          <w:szCs w:val="24"/>
        </w:rPr>
        <w:t xml:space="preserve"> </w:t>
      </w:r>
      <w:r w:rsidRPr="006A6CE2">
        <w:rPr>
          <w:rFonts w:cstheme="minorHAnsi"/>
          <w:szCs w:val="24"/>
        </w:rPr>
        <w:t>stanu/potencjału ekologicznego przeprowadzono dla 71 JCWP, a dla stanu chemicznego dla 70 JCWP. Ocenę stanu/potencjału ekologicznego przedstawiono poniżej (</w:t>
      </w:r>
      <w:r w:rsidRPr="006A6CE2">
        <w:rPr>
          <w:rFonts w:cstheme="minorHAnsi"/>
          <w:szCs w:val="24"/>
        </w:rPr>
        <w:fldChar w:fldCharType="begin"/>
      </w:r>
      <w:r w:rsidRPr="006A6CE2">
        <w:rPr>
          <w:rFonts w:cstheme="minorHAnsi"/>
          <w:szCs w:val="24"/>
        </w:rPr>
        <w:instrText xml:space="preserve"> REF _Ref102395881 \h  \* MERGEFORMAT </w:instrText>
      </w:r>
      <w:r w:rsidRPr="006A6CE2">
        <w:rPr>
          <w:rFonts w:cstheme="minorHAnsi"/>
          <w:szCs w:val="24"/>
        </w:rPr>
      </w:r>
      <w:r w:rsidRPr="006A6CE2">
        <w:rPr>
          <w:rFonts w:cstheme="minorHAnsi"/>
          <w:szCs w:val="24"/>
        </w:rPr>
        <w:fldChar w:fldCharType="separate"/>
      </w:r>
      <w:r w:rsidR="002B5007" w:rsidRPr="002B5007">
        <w:rPr>
          <w:szCs w:val="24"/>
        </w:rPr>
        <w:t xml:space="preserve">Tabela </w:t>
      </w:r>
      <w:r w:rsidR="002B5007" w:rsidRPr="002B5007">
        <w:rPr>
          <w:noProof/>
          <w:szCs w:val="24"/>
        </w:rPr>
        <w:t>12</w:t>
      </w:r>
      <w:r w:rsidRPr="006A6CE2">
        <w:rPr>
          <w:rFonts w:cstheme="minorHAnsi"/>
          <w:szCs w:val="24"/>
        </w:rPr>
        <w:fldChar w:fldCharType="end"/>
      </w:r>
      <w:r w:rsidRPr="006A6CE2">
        <w:rPr>
          <w:rFonts w:cstheme="minorHAnsi"/>
          <w:szCs w:val="24"/>
        </w:rPr>
        <w:t xml:space="preserve">). Dla </w:t>
      </w:r>
      <w:r w:rsidR="00BB255A">
        <w:rPr>
          <w:rFonts w:cstheme="minorHAnsi"/>
          <w:szCs w:val="24"/>
        </w:rPr>
        <w:t>2</w:t>
      </w:r>
      <w:r w:rsidRPr="006A6CE2">
        <w:rPr>
          <w:rFonts w:cstheme="minorHAnsi"/>
          <w:szCs w:val="24"/>
        </w:rPr>
        <w:t xml:space="preserve"> JCWP (Drawa do wypływu z Jez. Krosino</w:t>
      </w:r>
      <w:r w:rsidR="00BB255A">
        <w:rPr>
          <w:rFonts w:cstheme="minorHAnsi"/>
          <w:szCs w:val="24"/>
        </w:rPr>
        <w:t xml:space="preserve">, </w:t>
      </w:r>
      <w:r w:rsidR="00BB255A" w:rsidRPr="006A6CE2">
        <w:rPr>
          <w:rFonts w:cstheme="minorHAnsi"/>
          <w:szCs w:val="24"/>
        </w:rPr>
        <w:t>Wieprza od Moszczenicy do Łąkawicy</w:t>
      </w:r>
      <w:r w:rsidRPr="006A6CE2">
        <w:rPr>
          <w:rFonts w:cstheme="minorHAnsi"/>
          <w:szCs w:val="24"/>
        </w:rPr>
        <w:t xml:space="preserve">) stan </w:t>
      </w:r>
      <w:r w:rsidR="00BB255A">
        <w:rPr>
          <w:rFonts w:cstheme="minorHAnsi"/>
          <w:szCs w:val="24"/>
        </w:rPr>
        <w:t>ekologiczny</w:t>
      </w:r>
      <w:r w:rsidRPr="006A6CE2">
        <w:rPr>
          <w:rFonts w:cstheme="minorHAnsi"/>
          <w:szCs w:val="24"/>
        </w:rPr>
        <w:t xml:space="preserve"> był dobry. 1 JCWP zbadane w 2019 roku charakteryzował</w:t>
      </w:r>
      <w:r w:rsidR="00BB255A">
        <w:rPr>
          <w:rFonts w:cstheme="minorHAnsi"/>
          <w:szCs w:val="24"/>
        </w:rPr>
        <w:t>o</w:t>
      </w:r>
      <w:r w:rsidRPr="006A6CE2">
        <w:rPr>
          <w:rFonts w:cstheme="minorHAnsi"/>
          <w:szCs w:val="24"/>
        </w:rPr>
        <w:t xml:space="preserve"> się złym stanem </w:t>
      </w:r>
      <w:r w:rsidR="00525125">
        <w:rPr>
          <w:rFonts w:cstheme="minorHAnsi"/>
          <w:szCs w:val="24"/>
        </w:rPr>
        <w:t>ekologicznym</w:t>
      </w:r>
      <w:r w:rsidR="00583870">
        <w:rPr>
          <w:rFonts w:cstheme="minorHAnsi"/>
          <w:szCs w:val="24"/>
        </w:rPr>
        <w:t>.</w:t>
      </w:r>
      <w:r w:rsidRPr="006A6CE2">
        <w:rPr>
          <w:rFonts w:cstheme="minorHAnsi"/>
          <w:szCs w:val="24"/>
        </w:rPr>
        <w:t>.</w:t>
      </w:r>
      <w:r w:rsidR="00583870" w:rsidRPr="00583870">
        <w:rPr>
          <w:rFonts w:cstheme="minorHAnsi"/>
          <w:szCs w:val="24"/>
        </w:rPr>
        <w:t xml:space="preserve"> </w:t>
      </w:r>
      <w:r w:rsidR="00583870" w:rsidRPr="006A6CE2">
        <w:rPr>
          <w:rFonts w:cstheme="minorHAnsi"/>
          <w:szCs w:val="24"/>
        </w:rPr>
        <w:t>Dla 1 JCWP (Drawa do wypływu z Jez. Krosino) stan chemiczny był dobry</w:t>
      </w:r>
      <w:r w:rsidR="00583870">
        <w:rPr>
          <w:rFonts w:cstheme="minorHAnsi"/>
          <w:szCs w:val="24"/>
        </w:rPr>
        <w:t>.</w:t>
      </w:r>
    </w:p>
    <w:p w14:paraId="35F6AF11" w14:textId="77777777" w:rsidR="00B83214" w:rsidRPr="007C07ED" w:rsidRDefault="00B83214" w:rsidP="00B83214">
      <w:pPr>
        <w:pStyle w:val="Podpispodrysunkiem"/>
      </w:pPr>
      <w:bookmarkStart w:id="160" w:name="_Ref102395881"/>
      <w:bookmarkStart w:id="161" w:name="_Toc102741406"/>
      <w:bookmarkStart w:id="162" w:name="_Toc104790082"/>
      <w:r w:rsidRPr="007C07ED">
        <w:t xml:space="preserve">Tabela </w:t>
      </w:r>
      <w:r>
        <w:fldChar w:fldCharType="begin"/>
      </w:r>
      <w:r>
        <w:instrText>SEQ Tabela \* ARABIC</w:instrText>
      </w:r>
      <w:r>
        <w:fldChar w:fldCharType="separate"/>
      </w:r>
      <w:r w:rsidR="002B5007">
        <w:rPr>
          <w:noProof/>
        </w:rPr>
        <w:t>12</w:t>
      </w:r>
      <w:r>
        <w:fldChar w:fldCharType="end"/>
      </w:r>
      <w:bookmarkEnd w:id="160"/>
      <w:r w:rsidRPr="007C07ED">
        <w:t>. Ocena stanu i potencjału JCWP rzecznych w województwie zachodniopomorskim w 2019 roku</w:t>
      </w:r>
      <w:bookmarkEnd w:id="161"/>
      <w:bookmarkEnd w:id="162"/>
    </w:p>
    <w:tbl>
      <w:tblPr>
        <w:tblStyle w:val="Tabelasiatki1jasnaakcent11"/>
        <w:tblW w:w="9028" w:type="dxa"/>
        <w:jc w:val="center"/>
        <w:tblLook w:val="04A0" w:firstRow="1" w:lastRow="0" w:firstColumn="1" w:lastColumn="0" w:noHBand="0" w:noVBand="1"/>
      </w:tblPr>
      <w:tblGrid>
        <w:gridCol w:w="2981"/>
        <w:gridCol w:w="6047"/>
      </w:tblGrid>
      <w:tr w:rsidR="00B83214" w:rsidRPr="006A6CE2" w14:paraId="54D6C2A9" w14:textId="77777777" w:rsidTr="00B8321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981" w:type="dxa"/>
            <w:tcBorders>
              <w:top w:val="single" w:sz="4" w:space="0" w:color="B7DFA8" w:themeColor="accent1" w:themeTint="66"/>
              <w:left w:val="single" w:sz="4" w:space="0" w:color="B7DFA8" w:themeColor="accent1" w:themeTint="66"/>
              <w:right w:val="single" w:sz="4" w:space="0" w:color="B7DFA8" w:themeColor="accent1" w:themeTint="66"/>
            </w:tcBorders>
            <w:shd w:val="clear" w:color="auto" w:fill="auto"/>
            <w:noWrap/>
            <w:vAlign w:val="center"/>
          </w:tcPr>
          <w:p w14:paraId="53A7017B" w14:textId="77777777" w:rsidR="00B83214" w:rsidRPr="006A6CE2" w:rsidRDefault="00B83214" w:rsidP="00B83214">
            <w:pPr>
              <w:spacing w:before="0"/>
              <w:rPr>
                <w:rFonts w:ascii="Calibri" w:eastAsia="Times New Roman" w:hAnsi="Calibri" w:cs="Calibri"/>
                <w:b w:val="0"/>
                <w:bCs w:val="0"/>
                <w:color w:val="000000"/>
                <w:szCs w:val="24"/>
                <w:lang w:eastAsia="pl-PL"/>
              </w:rPr>
            </w:pPr>
          </w:p>
        </w:tc>
        <w:tc>
          <w:tcPr>
            <w:tcW w:w="6047" w:type="dxa"/>
            <w:tcBorders>
              <w:top w:val="single" w:sz="4" w:space="0" w:color="B7DFA8" w:themeColor="accent1" w:themeTint="66"/>
              <w:left w:val="single" w:sz="4" w:space="0" w:color="B7DFA8" w:themeColor="accent1" w:themeTint="66"/>
              <w:right w:val="single" w:sz="4" w:space="0" w:color="B7DFA8" w:themeColor="accent1" w:themeTint="66"/>
            </w:tcBorders>
            <w:shd w:val="clear" w:color="auto" w:fill="auto"/>
            <w:vAlign w:val="center"/>
          </w:tcPr>
          <w:p w14:paraId="48F0B183"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Cs w:val="24"/>
                <w:lang w:eastAsia="pl-PL"/>
              </w:rPr>
            </w:pPr>
            <w:r w:rsidRPr="006A6CE2">
              <w:rPr>
                <w:rFonts w:ascii="Calibri" w:eastAsia="Times New Roman" w:hAnsi="Calibri" w:cs="Calibri"/>
                <w:b w:val="0"/>
                <w:bCs w:val="0"/>
                <w:color w:val="000000"/>
                <w:szCs w:val="24"/>
                <w:lang w:eastAsia="pl-PL"/>
              </w:rPr>
              <w:t>Liczba JCWP</w:t>
            </w:r>
          </w:p>
        </w:tc>
      </w:tr>
      <w:tr w:rsidR="00B83214" w:rsidRPr="006A6CE2" w14:paraId="27AAF623"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98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noWrap/>
          </w:tcPr>
          <w:p w14:paraId="4DF69F97" w14:textId="77777777" w:rsidR="00B83214" w:rsidRPr="006A6CE2" w:rsidRDefault="00B83214" w:rsidP="00B83214">
            <w:pPr>
              <w:spacing w:before="0"/>
              <w:rPr>
                <w:rFonts w:ascii="Calibri" w:eastAsia="Times New Roman" w:hAnsi="Calibri" w:cs="Calibri"/>
                <w:bCs w:val="0"/>
                <w:color w:val="000000"/>
                <w:szCs w:val="24"/>
                <w:lang w:eastAsia="pl-PL"/>
              </w:rPr>
            </w:pPr>
            <w:r w:rsidRPr="006A6CE2">
              <w:rPr>
                <w:rFonts w:ascii="Calibri" w:eastAsia="Times New Roman" w:hAnsi="Calibri" w:cs="Calibri"/>
                <w:bCs w:val="0"/>
                <w:color w:val="000000"/>
                <w:szCs w:val="24"/>
                <w:lang w:eastAsia="pl-PL"/>
              </w:rPr>
              <w:t>Maksymalny potencjał ekologiczny</w:t>
            </w:r>
          </w:p>
        </w:tc>
        <w:tc>
          <w:tcPr>
            <w:tcW w:w="604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tcPr>
          <w:p w14:paraId="095547A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(Stara Rega od Grądka do ujścia)</w:t>
            </w:r>
          </w:p>
        </w:tc>
      </w:tr>
      <w:tr w:rsidR="00B83214" w:rsidRPr="006A6CE2" w14:paraId="3B8E2F18"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98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noWrap/>
          </w:tcPr>
          <w:p w14:paraId="64B16B17" w14:textId="77777777" w:rsidR="00B83214" w:rsidRPr="006A6CE2" w:rsidRDefault="00B83214" w:rsidP="00B83214">
            <w:pPr>
              <w:spacing w:before="0"/>
              <w:rPr>
                <w:rFonts w:ascii="Calibri" w:eastAsia="Times New Roman" w:hAnsi="Calibri" w:cs="Calibri"/>
                <w:bCs w:val="0"/>
                <w:color w:val="000000"/>
                <w:szCs w:val="24"/>
                <w:lang w:eastAsia="pl-PL"/>
              </w:rPr>
            </w:pPr>
            <w:r w:rsidRPr="006A6CE2">
              <w:rPr>
                <w:rFonts w:ascii="Calibri" w:eastAsia="Times New Roman" w:hAnsi="Calibri" w:cs="Calibri"/>
                <w:bCs w:val="0"/>
                <w:color w:val="000000"/>
                <w:szCs w:val="24"/>
                <w:lang w:eastAsia="pl-PL"/>
              </w:rPr>
              <w:t>Dobry stan ekologiczny</w:t>
            </w:r>
          </w:p>
        </w:tc>
        <w:tc>
          <w:tcPr>
            <w:tcW w:w="604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tcPr>
          <w:p w14:paraId="05662B0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xml:space="preserve">2 </w:t>
            </w:r>
            <w:r w:rsidRPr="006A6CE2">
              <w:rPr>
                <w:rFonts w:cstheme="minorHAnsi"/>
                <w:szCs w:val="24"/>
              </w:rPr>
              <w:t>(Drawa do wypływu z Jez. Krosino, Wieprza od Moszczenicy do Łąkawicy)</w:t>
            </w:r>
          </w:p>
        </w:tc>
      </w:tr>
      <w:tr w:rsidR="00B83214" w:rsidRPr="006A6CE2" w14:paraId="461D01C8"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98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noWrap/>
          </w:tcPr>
          <w:p w14:paraId="58B18D59" w14:textId="77777777" w:rsidR="00B83214" w:rsidRPr="006A6CE2" w:rsidRDefault="00B83214" w:rsidP="00B83214">
            <w:pPr>
              <w:spacing w:before="0"/>
              <w:rPr>
                <w:rFonts w:ascii="Calibri" w:eastAsia="Times New Roman" w:hAnsi="Calibri" w:cs="Calibri"/>
                <w:bCs w:val="0"/>
                <w:color w:val="000000"/>
                <w:szCs w:val="24"/>
                <w:lang w:eastAsia="pl-PL"/>
              </w:rPr>
            </w:pPr>
            <w:r w:rsidRPr="006A6CE2">
              <w:rPr>
                <w:rFonts w:ascii="Calibri" w:eastAsia="Times New Roman" w:hAnsi="Calibri" w:cs="Calibri"/>
                <w:bCs w:val="0"/>
                <w:color w:val="000000"/>
                <w:szCs w:val="24"/>
                <w:lang w:eastAsia="pl-PL"/>
              </w:rPr>
              <w:t>Dobry potencjał ekologiczny</w:t>
            </w:r>
          </w:p>
        </w:tc>
        <w:tc>
          <w:tcPr>
            <w:tcW w:w="604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tcPr>
          <w:p w14:paraId="2E88832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xml:space="preserve">8 </w:t>
            </w:r>
            <w:r w:rsidRPr="006A6CE2">
              <w:rPr>
                <w:rFonts w:cstheme="minorHAnsi"/>
                <w:szCs w:val="24"/>
              </w:rPr>
              <w:t>(Brzeźnicka Węgorza, Dębosznica, Mołstowa od Czernicy do ujścia, Parsęta od Radwi do Wielkiego Rowu, Radew od dopływu w Niedalinie do ujścia, Rekowa, Ukleja od Dobrzenicy do ujścia, Ukleja do wypływu z jeziora Okrzeja)</w:t>
            </w:r>
          </w:p>
        </w:tc>
      </w:tr>
      <w:tr w:rsidR="00B83214" w:rsidRPr="006A6CE2" w14:paraId="5786CCA9"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98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noWrap/>
          </w:tcPr>
          <w:p w14:paraId="61DA247B" w14:textId="77777777" w:rsidR="00B83214" w:rsidRPr="006A6CE2" w:rsidRDefault="00B83214" w:rsidP="00B83214">
            <w:pPr>
              <w:spacing w:before="0"/>
              <w:rPr>
                <w:rFonts w:ascii="Calibri" w:eastAsia="Times New Roman" w:hAnsi="Calibri" w:cs="Calibri"/>
                <w:bCs w:val="0"/>
                <w:color w:val="000000"/>
                <w:szCs w:val="24"/>
                <w:lang w:eastAsia="pl-PL"/>
              </w:rPr>
            </w:pPr>
            <w:r w:rsidRPr="006A6CE2">
              <w:rPr>
                <w:rFonts w:ascii="Calibri" w:eastAsia="Times New Roman" w:hAnsi="Calibri" w:cs="Calibri"/>
                <w:bCs w:val="0"/>
                <w:color w:val="000000"/>
                <w:szCs w:val="24"/>
                <w:lang w:eastAsia="pl-PL"/>
              </w:rPr>
              <w:t>Umiarkowany stan ekologiczny</w:t>
            </w:r>
          </w:p>
        </w:tc>
        <w:tc>
          <w:tcPr>
            <w:tcW w:w="604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tcPr>
          <w:p w14:paraId="08B65FD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18</w:t>
            </w:r>
          </w:p>
        </w:tc>
      </w:tr>
      <w:tr w:rsidR="00B83214" w:rsidRPr="006A6CE2" w14:paraId="23D4C656"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98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noWrap/>
          </w:tcPr>
          <w:p w14:paraId="69665346" w14:textId="77777777" w:rsidR="00B83214" w:rsidRPr="006A6CE2" w:rsidRDefault="00B83214" w:rsidP="00B83214">
            <w:pPr>
              <w:spacing w:before="0"/>
              <w:rPr>
                <w:rFonts w:ascii="Calibri" w:eastAsia="Times New Roman" w:hAnsi="Calibri" w:cs="Calibri"/>
                <w:bCs w:val="0"/>
                <w:color w:val="000000"/>
                <w:szCs w:val="24"/>
                <w:lang w:eastAsia="pl-PL"/>
              </w:rPr>
            </w:pPr>
            <w:r w:rsidRPr="006A6CE2">
              <w:rPr>
                <w:rFonts w:ascii="Calibri" w:eastAsia="Times New Roman" w:hAnsi="Calibri" w:cs="Calibri"/>
                <w:bCs w:val="0"/>
                <w:color w:val="000000"/>
                <w:szCs w:val="24"/>
                <w:lang w:eastAsia="pl-PL"/>
              </w:rPr>
              <w:t>Umiarkowany potencjał ekologiczny</w:t>
            </w:r>
          </w:p>
        </w:tc>
        <w:tc>
          <w:tcPr>
            <w:tcW w:w="604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tcPr>
          <w:p w14:paraId="1595832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21</w:t>
            </w:r>
          </w:p>
        </w:tc>
      </w:tr>
      <w:tr w:rsidR="00B83214" w:rsidRPr="006A6CE2" w14:paraId="7724D703"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98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noWrap/>
            <w:vAlign w:val="center"/>
          </w:tcPr>
          <w:p w14:paraId="34C984F2" w14:textId="77777777" w:rsidR="00B83214" w:rsidRPr="006A6CE2" w:rsidRDefault="00B83214" w:rsidP="00B83214">
            <w:pPr>
              <w:spacing w:before="0"/>
              <w:rPr>
                <w:rFonts w:ascii="Calibri" w:eastAsia="Times New Roman" w:hAnsi="Calibri" w:cs="Calibri"/>
                <w:bCs w:val="0"/>
                <w:color w:val="000000"/>
                <w:szCs w:val="24"/>
                <w:lang w:eastAsia="pl-PL"/>
              </w:rPr>
            </w:pPr>
            <w:r w:rsidRPr="006A6CE2">
              <w:rPr>
                <w:rFonts w:ascii="Calibri" w:eastAsia="Times New Roman" w:hAnsi="Calibri" w:cs="Calibri"/>
                <w:bCs w:val="0"/>
                <w:color w:val="000000"/>
                <w:szCs w:val="24"/>
                <w:lang w:eastAsia="pl-PL"/>
              </w:rPr>
              <w:t>Słaby stan ekologiczny</w:t>
            </w:r>
          </w:p>
        </w:tc>
        <w:tc>
          <w:tcPr>
            <w:tcW w:w="604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vAlign w:val="center"/>
          </w:tcPr>
          <w:p w14:paraId="31FDF82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w:t>
            </w:r>
          </w:p>
        </w:tc>
      </w:tr>
      <w:tr w:rsidR="00B83214" w:rsidRPr="006A6CE2" w14:paraId="7FA89BEF"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98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noWrap/>
            <w:vAlign w:val="center"/>
          </w:tcPr>
          <w:p w14:paraId="5B5983CD" w14:textId="77777777" w:rsidR="00B83214" w:rsidRPr="006A6CE2" w:rsidRDefault="00B83214" w:rsidP="00B83214">
            <w:pPr>
              <w:spacing w:before="0"/>
              <w:rPr>
                <w:rFonts w:ascii="Calibri" w:eastAsia="Times New Roman" w:hAnsi="Calibri" w:cs="Calibri"/>
                <w:bCs w:val="0"/>
                <w:color w:val="000000"/>
                <w:szCs w:val="24"/>
                <w:lang w:eastAsia="pl-PL"/>
              </w:rPr>
            </w:pPr>
            <w:r w:rsidRPr="006A6CE2">
              <w:rPr>
                <w:rFonts w:ascii="Calibri" w:eastAsia="Times New Roman" w:hAnsi="Calibri" w:cs="Calibri"/>
                <w:bCs w:val="0"/>
                <w:color w:val="000000"/>
                <w:szCs w:val="24"/>
                <w:lang w:eastAsia="pl-PL"/>
              </w:rPr>
              <w:t>Słaby potencjał ekologiczny</w:t>
            </w:r>
          </w:p>
        </w:tc>
        <w:tc>
          <w:tcPr>
            <w:tcW w:w="604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vAlign w:val="center"/>
          </w:tcPr>
          <w:p w14:paraId="1422371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10</w:t>
            </w:r>
          </w:p>
        </w:tc>
      </w:tr>
      <w:tr w:rsidR="00B83214" w:rsidRPr="006A6CE2" w14:paraId="6474E4C7"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98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noWrap/>
            <w:vAlign w:val="center"/>
          </w:tcPr>
          <w:p w14:paraId="02732893" w14:textId="77777777" w:rsidR="00B83214" w:rsidRPr="006A6CE2" w:rsidRDefault="00B83214" w:rsidP="00B83214">
            <w:pPr>
              <w:spacing w:before="0"/>
              <w:rPr>
                <w:rFonts w:ascii="Calibri" w:eastAsia="Times New Roman" w:hAnsi="Calibri" w:cs="Calibri"/>
                <w:bCs w:val="0"/>
                <w:color w:val="000000"/>
                <w:szCs w:val="24"/>
                <w:lang w:eastAsia="pl-PL"/>
              </w:rPr>
            </w:pPr>
            <w:r w:rsidRPr="006A6CE2">
              <w:rPr>
                <w:rFonts w:ascii="Calibri" w:eastAsia="Times New Roman" w:hAnsi="Calibri" w:cs="Calibri"/>
                <w:bCs w:val="0"/>
                <w:color w:val="000000"/>
                <w:szCs w:val="24"/>
                <w:lang w:eastAsia="pl-PL"/>
              </w:rPr>
              <w:t>Zły stan ekologiczny</w:t>
            </w:r>
          </w:p>
        </w:tc>
        <w:tc>
          <w:tcPr>
            <w:tcW w:w="604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vAlign w:val="center"/>
          </w:tcPr>
          <w:p w14:paraId="16E82F8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xml:space="preserve">1 </w:t>
            </w:r>
            <w:r w:rsidRPr="006A6CE2">
              <w:rPr>
                <w:rFonts w:cstheme="minorHAnsi"/>
                <w:szCs w:val="24"/>
              </w:rPr>
              <w:t>(Dopływ z Jez. Glinno)</w:t>
            </w:r>
          </w:p>
        </w:tc>
      </w:tr>
      <w:tr w:rsidR="00B83214" w:rsidRPr="006A6CE2" w14:paraId="3BD35EB3"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298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noWrap/>
          </w:tcPr>
          <w:p w14:paraId="73798BBE" w14:textId="77777777" w:rsidR="00B83214" w:rsidRPr="006A6CE2" w:rsidRDefault="00B83214" w:rsidP="00B83214">
            <w:pPr>
              <w:spacing w:before="0"/>
              <w:rPr>
                <w:rFonts w:ascii="Calibri" w:eastAsia="Times New Roman" w:hAnsi="Calibri" w:cs="Calibri"/>
                <w:bCs w:val="0"/>
                <w:color w:val="000000"/>
                <w:szCs w:val="24"/>
                <w:lang w:eastAsia="pl-PL"/>
              </w:rPr>
            </w:pPr>
            <w:r w:rsidRPr="006A6CE2">
              <w:rPr>
                <w:rFonts w:ascii="Calibri" w:eastAsia="Times New Roman" w:hAnsi="Calibri" w:cs="Calibri"/>
                <w:bCs w:val="0"/>
                <w:color w:val="000000"/>
                <w:szCs w:val="24"/>
                <w:lang w:eastAsia="pl-PL"/>
              </w:rPr>
              <w:t>Zły potencjał ekologiczny</w:t>
            </w:r>
          </w:p>
        </w:tc>
        <w:tc>
          <w:tcPr>
            <w:tcW w:w="604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shd w:val="clear" w:color="auto" w:fill="auto"/>
          </w:tcPr>
          <w:p w14:paraId="18F2F5F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xml:space="preserve">3 </w:t>
            </w:r>
            <w:r w:rsidRPr="006A6CE2">
              <w:rPr>
                <w:rFonts w:cstheme="minorHAnsi"/>
                <w:szCs w:val="24"/>
              </w:rPr>
              <w:t>(Myśla od wypływu z Jez. Myśliborskiego do ujścia, Odra od Parnicy do ujścia, Kurzyca)</w:t>
            </w:r>
          </w:p>
        </w:tc>
      </w:tr>
    </w:tbl>
    <w:p w14:paraId="36E4BB91" w14:textId="35F98C04" w:rsidR="00B83214" w:rsidRPr="006A6CE2" w:rsidRDefault="00B83214" w:rsidP="00B83214">
      <w:pPr>
        <w:rPr>
          <w:b/>
          <w:bCs/>
          <w:szCs w:val="24"/>
        </w:rPr>
      </w:pPr>
      <w:r w:rsidRPr="006A6CE2">
        <w:rPr>
          <w:szCs w:val="24"/>
        </w:rPr>
        <w:t>Źródło:</w:t>
      </w:r>
      <w:hyperlink r:id="rId38" w:history="1">
        <w:r w:rsidRPr="006A6CE2">
          <w:rPr>
            <w:color w:val="6B9F25" w:themeColor="hyperlink"/>
            <w:szCs w:val="24"/>
            <w:u w:val="single"/>
          </w:rPr>
          <w:t>https://www.gios.gov.pl/images/dokumenty/pms/monitoring_wod/Klasyfikacja_i_ocena_stanu_RW_2014-2019_monitoring_2.xlsx</w:t>
        </w:r>
      </w:hyperlink>
      <w:r w:rsidRPr="006A6CE2">
        <w:rPr>
          <w:szCs w:val="24"/>
        </w:rPr>
        <w:t xml:space="preserve">; </w:t>
      </w:r>
      <w:r>
        <w:rPr>
          <w:szCs w:val="24"/>
        </w:rPr>
        <w:t>(</w:t>
      </w:r>
      <w:r w:rsidRPr="006A6CE2">
        <w:rPr>
          <w:szCs w:val="24"/>
        </w:rPr>
        <w:t>dostęp z dn.</w:t>
      </w:r>
      <w:r>
        <w:rPr>
          <w:szCs w:val="24"/>
        </w:rPr>
        <w:t>:</w:t>
      </w:r>
      <w:r w:rsidRPr="006A6CE2">
        <w:rPr>
          <w:szCs w:val="24"/>
        </w:rPr>
        <w:t xml:space="preserve"> 01.05.2022</w:t>
      </w:r>
      <w:r>
        <w:rPr>
          <w:szCs w:val="24"/>
        </w:rPr>
        <w:t>)</w:t>
      </w:r>
    </w:p>
    <w:p w14:paraId="7FFC6889" w14:textId="77777777" w:rsidR="00B83214" w:rsidRPr="006A6CE2" w:rsidRDefault="00B83214" w:rsidP="00B83214">
      <w:pPr>
        <w:spacing w:after="0"/>
        <w:rPr>
          <w:rFonts w:cstheme="minorHAnsi"/>
          <w:szCs w:val="24"/>
        </w:rPr>
      </w:pPr>
      <w:r w:rsidRPr="006A6CE2">
        <w:rPr>
          <w:rFonts w:cstheme="minorHAnsi"/>
          <w:szCs w:val="24"/>
        </w:rPr>
        <w:t>Klasyfikacja stanu/potencjału ekologicznego w 2019 roku przeprowadzono łącznie dla 24 JCWP jeziornych. Wykazano, że:</w:t>
      </w:r>
    </w:p>
    <w:p w14:paraId="11435F2F" w14:textId="77777777" w:rsidR="00B83214" w:rsidRPr="006A6CE2" w:rsidRDefault="00B83214" w:rsidP="00B83214">
      <w:pPr>
        <w:numPr>
          <w:ilvl w:val="0"/>
          <w:numId w:val="11"/>
        </w:numPr>
        <w:contextualSpacing/>
        <w:rPr>
          <w:rFonts w:cstheme="minorHAnsi"/>
          <w:szCs w:val="24"/>
        </w:rPr>
      </w:pPr>
      <w:r w:rsidRPr="006A6CE2">
        <w:rPr>
          <w:rFonts w:cstheme="minorHAnsi"/>
          <w:szCs w:val="24"/>
        </w:rPr>
        <w:t>4 JCWP charakteryzowały się dobrym stanem ekologicznym (Ińsko, Komorze, Krzemno, Piaseczno) i 1 JCWP charakteryzowała się dobrym potencjałem ekologicznym(Zajezierze),</w:t>
      </w:r>
    </w:p>
    <w:p w14:paraId="60A75AE0" w14:textId="77777777" w:rsidR="00B83214" w:rsidRPr="006A6CE2" w:rsidRDefault="00B83214" w:rsidP="00B83214">
      <w:pPr>
        <w:numPr>
          <w:ilvl w:val="0"/>
          <w:numId w:val="11"/>
        </w:numPr>
        <w:contextualSpacing/>
        <w:rPr>
          <w:rFonts w:cstheme="minorHAnsi"/>
          <w:szCs w:val="24"/>
        </w:rPr>
      </w:pPr>
      <w:r w:rsidRPr="006A6CE2">
        <w:rPr>
          <w:rFonts w:cstheme="minorHAnsi"/>
          <w:szCs w:val="24"/>
          <w:shd w:val="clear" w:color="auto" w:fill="FFFFFF"/>
        </w:rPr>
        <w:t>2 JCWP</w:t>
      </w:r>
      <w:r w:rsidRPr="006A6CE2">
        <w:rPr>
          <w:rFonts w:cstheme="minorHAnsi"/>
          <w:szCs w:val="24"/>
        </w:rPr>
        <w:t xml:space="preserve"> charakteryzowały się słabym stanem ekologicznym (Remierzewo, Wąsosze) i 1 JCWP charakteryzowała się słabym potencjałem ekologicznym (Jamno),</w:t>
      </w:r>
    </w:p>
    <w:p w14:paraId="0F562430" w14:textId="77777777" w:rsidR="00B83214" w:rsidRPr="006A6CE2" w:rsidRDefault="00B83214" w:rsidP="00B83214">
      <w:pPr>
        <w:numPr>
          <w:ilvl w:val="0"/>
          <w:numId w:val="11"/>
        </w:numPr>
        <w:contextualSpacing/>
        <w:rPr>
          <w:rFonts w:cstheme="minorHAnsi"/>
          <w:szCs w:val="24"/>
        </w:rPr>
      </w:pPr>
      <w:r w:rsidRPr="006A6CE2">
        <w:rPr>
          <w:rFonts w:cstheme="minorHAnsi"/>
          <w:szCs w:val="24"/>
          <w:shd w:val="clear" w:color="auto" w:fill="FFFFFF"/>
        </w:rPr>
        <w:t>10 JCWP charakteryzowało się umiarkowanym stanem ekologicznym i 2 JCWP charakteryzowały się umiarkowanym potencjałem ekologicznym (Węgorzyńskie, Resko Przymorskie),</w:t>
      </w:r>
    </w:p>
    <w:p w14:paraId="76B6EC9F" w14:textId="77777777" w:rsidR="00B83214" w:rsidRPr="006A6CE2" w:rsidRDefault="00B83214" w:rsidP="00B83214">
      <w:pPr>
        <w:numPr>
          <w:ilvl w:val="0"/>
          <w:numId w:val="11"/>
        </w:numPr>
        <w:contextualSpacing/>
        <w:rPr>
          <w:rFonts w:cstheme="minorHAnsi"/>
          <w:szCs w:val="24"/>
        </w:rPr>
      </w:pPr>
      <w:r w:rsidRPr="006A6CE2">
        <w:rPr>
          <w:rFonts w:cstheme="minorHAnsi"/>
          <w:szCs w:val="24"/>
          <w:shd w:val="clear" w:color="auto" w:fill="FFFFFF"/>
        </w:rPr>
        <w:t>1 JCWP charakteryzowała się złym stanem ekologicznym (Kopań) i 3 JCWP charakteryzowały się złym potencjałem ekologicznym (Chociwel, Lipiańskie Północne (Wądół), Kamienny Most).</w:t>
      </w:r>
    </w:p>
    <w:p w14:paraId="62A08FE3" w14:textId="77777777" w:rsidR="00B83214" w:rsidRPr="006A6CE2" w:rsidRDefault="00B83214" w:rsidP="00B83214">
      <w:pPr>
        <w:rPr>
          <w:rFonts w:cstheme="minorHAnsi"/>
          <w:szCs w:val="24"/>
        </w:rPr>
      </w:pPr>
      <w:r w:rsidRPr="006A6CE2">
        <w:rPr>
          <w:rFonts w:cstheme="minorHAnsi"/>
          <w:szCs w:val="24"/>
        </w:rPr>
        <w:t>Stan chemiczny poniżej dobrego sklasyfikowano dla 45 JCWP jeziornych. Dla 2 JCWP jeziornych (Chłopowo, Sitno Wielkie (w zlewni Myśli)) stan chemiczny określono jako dobry.</w:t>
      </w:r>
    </w:p>
    <w:p w14:paraId="44BCE888" w14:textId="77777777" w:rsidR="00B83214" w:rsidRPr="006A6CE2" w:rsidRDefault="00B83214" w:rsidP="00B83214">
      <w:pPr>
        <w:autoSpaceDE w:val="0"/>
        <w:autoSpaceDN w:val="0"/>
        <w:adjustRightInd w:val="0"/>
        <w:rPr>
          <w:rFonts w:cstheme="minorHAnsi"/>
          <w:szCs w:val="24"/>
        </w:rPr>
      </w:pPr>
      <w:r w:rsidRPr="006A6CE2">
        <w:rPr>
          <w:rFonts w:cstheme="minorHAnsi"/>
          <w:szCs w:val="24"/>
        </w:rPr>
        <w:t>W 2019 roku monitoringiem objęto 4 jednolite części wód przybrzeżnych: Dziwna-Świna, Sarbinowo-Dziwna, Jarosławiec-Sarbinowo oraz Rowy-Jarosławiec-Zachód oraz 4 jednolite części wód przejściowych: Zalew Kamieński, Zalew Szczeciński, Ujście Dziwny oraz Ujście Świny. Zalew Szczeciński i Kamieński w całości zlokalizowane są w obrębie województwa zachodniopomorskiego, natomiast Ujście Dziwny zlokalizowane jest w 10%, zaś Ujście Świny w około 27% w obrębie województwa.</w:t>
      </w:r>
    </w:p>
    <w:p w14:paraId="1E3186EB" w14:textId="77777777" w:rsidR="00B83214" w:rsidRPr="006A6CE2" w:rsidRDefault="00B83214" w:rsidP="00B83214">
      <w:pPr>
        <w:rPr>
          <w:rFonts w:cstheme="minorHAnsi"/>
          <w:szCs w:val="24"/>
        </w:rPr>
      </w:pPr>
      <w:r w:rsidRPr="006A6CE2">
        <w:rPr>
          <w:rFonts w:cstheme="minorHAnsi"/>
          <w:szCs w:val="24"/>
        </w:rPr>
        <w:t>Zły stan ekologiczny stwierdzono w 3 JCW przybrzeżnych (Rowy-Jarosławiec-Zachód, Jarosławiec-Sarbinowo i Sarbinowo-Dziwna), natomiast w 1 (Dziwna-Świna) stwierdzono umiarkowany stan ekologiczny. Stan chemiczny w 2019 roku określono dla 3 JCW przybrzeżnych (Dziwna-Świna, Jarosławiec-Sarbinowo, Sarbinowo-Dziwna). Wszystkie oceniane JCW przybrzeżne miały stan chemiczny poniżej dobrego. Spośród badanych JCW przejściowych, 2 JCW (Ujście Świny i Ujście Dziwny) miały umiarkowany potencjał ekologiczny, 1 JCW (Zalew Szczeciński) słaby potencjał ekologiczny, natomiast słaby stan ekologiczny stwierdzono w JCW Zalew Kamieński. Stan chemiczny w 2019 roku określono dla 1 JCW przejściowej (Zalew Szczeciński). Stwierdzono stan chemiczny poniżej dobrego. Dla wszystkich badanych JCW przejściowych i przybrzeżnych stwierdzono zły stan wód. Jakość wód Zatoki Pomorskiej zależna jest od wód Zalewu Szczecińskiego, zanieczyszczanego głównie przez rzekę Odrę. Rzeki wpływające do Zalewu Szczecińskiego oraz Bałtyku niosą z wodami znaczące ilości azotu i fosforu, w konsekwencji powodując eutrofizację tych wód.</w:t>
      </w:r>
    </w:p>
    <w:p w14:paraId="6D11B338" w14:textId="33B58AE2" w:rsidR="00B83214" w:rsidRPr="006A6CE2" w:rsidRDefault="00B83214" w:rsidP="00B83214">
      <w:pPr>
        <w:rPr>
          <w:rFonts w:cstheme="minorHAnsi"/>
          <w:szCs w:val="24"/>
        </w:rPr>
      </w:pPr>
      <w:r w:rsidRPr="006A6CE2">
        <w:rPr>
          <w:rFonts w:cstheme="minorHAnsi"/>
          <w:szCs w:val="24"/>
        </w:rPr>
        <w:t xml:space="preserve">Na jakość wód ma wpływ wiele różnych czynników, takich jak </w:t>
      </w:r>
      <w:r>
        <w:rPr>
          <w:rFonts w:cstheme="minorHAnsi"/>
          <w:szCs w:val="24"/>
        </w:rPr>
        <w:t>np.</w:t>
      </w:r>
      <w:r w:rsidRPr="006A6CE2">
        <w:rPr>
          <w:rFonts w:cstheme="minorHAnsi"/>
          <w:szCs w:val="24"/>
        </w:rPr>
        <w:t xml:space="preserve">: zrzuty punktowe ścieków komunalnych, bytowych i przemysłowych, rodzaj i ilość zanieczyszczeń wprowadzanych wraz z tymi ściekami, zdolność odbiornika do samooczyszczania, podatność na degradację, depozycja sucha i mokra (opady atmosferyczne, spływy powierzchniowe, zanieczyszczenia pyłowe). Zagrożeniem dla jakości wód mogą być także </w:t>
      </w:r>
      <w:r w:rsidRPr="006A6CE2">
        <w:rPr>
          <w:szCs w:val="24"/>
        </w:rPr>
        <w:t>nawozy mineralne. Mogą one powodować presję na stan środowiska, a w szczególności</w:t>
      </w:r>
      <w:r>
        <w:rPr>
          <w:szCs w:val="24"/>
        </w:rPr>
        <w:t xml:space="preserve"> ekosystemów wodnych, wynikającą</w:t>
      </w:r>
      <w:r w:rsidRPr="006A6CE2">
        <w:rPr>
          <w:szCs w:val="24"/>
        </w:rPr>
        <w:t xml:space="preserve"> w głównej mierze ze spływu powierzchniowego i wymywania składników biogennych do cieków wodnych.</w:t>
      </w:r>
      <w:r w:rsidRPr="006A6CE2">
        <w:rPr>
          <w:rFonts w:cstheme="minorHAnsi"/>
          <w:szCs w:val="24"/>
        </w:rPr>
        <w:t xml:space="preserve"> Zagrożeniem dla wód jest również nieuregulowana gospodarka ściekowa na o</w:t>
      </w:r>
      <w:r>
        <w:rPr>
          <w:rFonts w:cstheme="minorHAnsi"/>
          <w:szCs w:val="24"/>
        </w:rPr>
        <w:t>bszarach wiejskich i prowadzenie</w:t>
      </w:r>
      <w:r w:rsidRPr="006A6CE2">
        <w:rPr>
          <w:rFonts w:cstheme="minorHAnsi"/>
          <w:szCs w:val="24"/>
        </w:rPr>
        <w:t xml:space="preserve"> intensywnej produkcji zwierzęcej.</w:t>
      </w:r>
    </w:p>
    <w:p w14:paraId="5B1560FB" w14:textId="77777777" w:rsidR="00B83214" w:rsidRPr="00B83214" w:rsidRDefault="00B83214" w:rsidP="00B83214">
      <w:pPr>
        <w:pStyle w:val="Nagwek1"/>
        <w:numPr>
          <w:ilvl w:val="1"/>
          <w:numId w:val="61"/>
        </w:numPr>
        <w:rPr>
          <w:sz w:val="24"/>
          <w:szCs w:val="20"/>
        </w:rPr>
      </w:pPr>
      <w:bookmarkStart w:id="163" w:name="_Toc104790657"/>
      <w:r w:rsidRPr="00B83214">
        <w:rPr>
          <w:sz w:val="24"/>
          <w:szCs w:val="20"/>
        </w:rPr>
        <w:t>GOSPODARKA WODNO-ŚCIEKOWA</w:t>
      </w:r>
      <w:bookmarkEnd w:id="163"/>
    </w:p>
    <w:p w14:paraId="5E365DC4" w14:textId="77777777" w:rsidR="00B83214" w:rsidRPr="006A6CE2" w:rsidRDefault="00B83214" w:rsidP="00B83214">
      <w:pPr>
        <w:rPr>
          <w:rFonts w:cs="Times New Roman"/>
          <w:szCs w:val="24"/>
        </w:rPr>
      </w:pPr>
      <w:r w:rsidRPr="006A6CE2">
        <w:rPr>
          <w:rFonts w:cs="Times New Roman"/>
          <w:szCs w:val="24"/>
        </w:rPr>
        <w:t>W województwie zachodniopomorskim infrastruktura komunalna w obszarze gospodarki wodno-ściekowej z roku na rok ulega sukcesywnej poprawie. W 2015 roku długość czynnej sieci rozdzielczej (wodociągowej) wynosiła 11 096,2 km, natomiast w 2020 roku wartość ta wzrosła do 11 452,3 km sieci rozdzielczej</w:t>
      </w:r>
      <w:r w:rsidRPr="006A6CE2">
        <w:rPr>
          <w:rFonts w:cs="Times New Roman"/>
          <w:szCs w:val="24"/>
          <w:vertAlign w:val="superscript"/>
        </w:rPr>
        <w:footnoteReference w:id="115"/>
      </w:r>
      <w:r w:rsidRPr="006A6CE2">
        <w:rPr>
          <w:rFonts w:cs="Times New Roman"/>
          <w:szCs w:val="24"/>
        </w:rPr>
        <w:t>. Na przestrzeni lat 2015-2020 długość czynnej sieci rozdzielczej (wodociągowej) na terenie województwa zwiększyła się o 356,1 km. Liczba przyłączy prowadzących do budynków mieszkalnych i zbiorowego zamieszkania w 2020 roku wynosiła 182 058 szt.</w:t>
      </w:r>
    </w:p>
    <w:p w14:paraId="66B80736" w14:textId="2DBC377E" w:rsidR="00B83214" w:rsidRPr="006A6CE2" w:rsidRDefault="00B83214" w:rsidP="00B83214">
      <w:pPr>
        <w:rPr>
          <w:rFonts w:cs="Times New Roman"/>
          <w:szCs w:val="24"/>
        </w:rPr>
      </w:pPr>
      <w:r w:rsidRPr="006A6CE2">
        <w:rPr>
          <w:rFonts w:cs="Times New Roman"/>
          <w:szCs w:val="24"/>
        </w:rPr>
        <w:t xml:space="preserve">Województwo zachodniopomorskie charakteryzuje się wysokim wskaźnikiem zwodociągowania w skali Polski. W 2020 roku wskaźnik ten dla województwa wynosił 96,2%, z kolei dla Polski 92,2%, </w:t>
      </w:r>
      <w:r w:rsidRPr="006A6CE2">
        <w:rPr>
          <w:szCs w:val="24"/>
        </w:rPr>
        <w:t>co lokuje województwo na czwartym miejscu w kraju pod względem stopnia zwodociągowania.</w:t>
      </w:r>
      <w:r>
        <w:rPr>
          <w:szCs w:val="24"/>
        </w:rPr>
        <w:t xml:space="preserve"> </w:t>
      </w:r>
      <w:r w:rsidRPr="006A6CE2">
        <w:rPr>
          <w:rFonts w:cs="Times New Roman"/>
          <w:szCs w:val="24"/>
        </w:rPr>
        <w:t>Podstawowe parametry sieci wodociągowych w województwie zachodniopomorskim przedstawiono w tabeli poniżej (</w:t>
      </w:r>
      <w:r w:rsidRPr="006A6CE2">
        <w:rPr>
          <w:rFonts w:cs="Times New Roman"/>
          <w:szCs w:val="24"/>
        </w:rPr>
        <w:fldChar w:fldCharType="begin"/>
      </w:r>
      <w:r w:rsidRPr="006A6CE2">
        <w:rPr>
          <w:rFonts w:cs="Times New Roman"/>
          <w:szCs w:val="24"/>
        </w:rPr>
        <w:instrText xml:space="preserve"> REF _Ref102327464 \h  \* MERGEFORMAT </w:instrText>
      </w:r>
      <w:r w:rsidRPr="006A6CE2">
        <w:rPr>
          <w:rFonts w:cs="Times New Roman"/>
          <w:szCs w:val="24"/>
        </w:rPr>
      </w:r>
      <w:r w:rsidRPr="006A6CE2">
        <w:rPr>
          <w:rFonts w:cs="Times New Roman"/>
          <w:szCs w:val="24"/>
        </w:rPr>
        <w:fldChar w:fldCharType="separate"/>
      </w:r>
      <w:r w:rsidR="002B5007" w:rsidRPr="002B5007">
        <w:rPr>
          <w:szCs w:val="24"/>
        </w:rPr>
        <w:t xml:space="preserve">Tabela </w:t>
      </w:r>
      <w:r w:rsidR="002B5007" w:rsidRPr="002B5007">
        <w:rPr>
          <w:noProof/>
          <w:szCs w:val="24"/>
        </w:rPr>
        <w:t>13</w:t>
      </w:r>
      <w:r w:rsidRPr="006A6CE2">
        <w:rPr>
          <w:rFonts w:cs="Times New Roman"/>
          <w:szCs w:val="24"/>
        </w:rPr>
        <w:fldChar w:fldCharType="end"/>
      </w:r>
      <w:r w:rsidRPr="006A6CE2">
        <w:rPr>
          <w:rFonts w:cs="Times New Roman"/>
          <w:szCs w:val="24"/>
        </w:rPr>
        <w:t>).</w:t>
      </w:r>
    </w:p>
    <w:p w14:paraId="3CF988BF" w14:textId="77777777" w:rsidR="00B83214" w:rsidRPr="007C07ED" w:rsidRDefault="00B83214" w:rsidP="00B83214">
      <w:pPr>
        <w:pStyle w:val="Podpispodrysunkiem"/>
      </w:pPr>
      <w:bookmarkStart w:id="164" w:name="_Ref102327464"/>
      <w:bookmarkStart w:id="165" w:name="_Toc102741407"/>
      <w:bookmarkStart w:id="166" w:name="_Toc104790083"/>
      <w:r w:rsidRPr="007C07ED">
        <w:t xml:space="preserve">Tabela </w:t>
      </w:r>
      <w:r>
        <w:fldChar w:fldCharType="begin"/>
      </w:r>
      <w:r>
        <w:instrText>SEQ Tabela \* ARABIC</w:instrText>
      </w:r>
      <w:r>
        <w:fldChar w:fldCharType="separate"/>
      </w:r>
      <w:r w:rsidR="002B5007">
        <w:rPr>
          <w:noProof/>
        </w:rPr>
        <w:t>13</w:t>
      </w:r>
      <w:r>
        <w:fldChar w:fldCharType="end"/>
      </w:r>
      <w:bookmarkEnd w:id="164"/>
      <w:r w:rsidRPr="007C07ED">
        <w:t xml:space="preserve"> Dane dotyczące sieci wodociągowej</w:t>
      </w:r>
      <w:bookmarkEnd w:id="165"/>
      <w:bookmarkEnd w:id="166"/>
    </w:p>
    <w:tbl>
      <w:tblPr>
        <w:tblStyle w:val="Tabelasiatki1jasnaakcent11"/>
        <w:tblW w:w="9092" w:type="dxa"/>
        <w:jc w:val="center"/>
        <w:tblLook w:val="04A0" w:firstRow="1" w:lastRow="0" w:firstColumn="1" w:lastColumn="0" w:noHBand="0" w:noVBand="1"/>
      </w:tblPr>
      <w:tblGrid>
        <w:gridCol w:w="817"/>
        <w:gridCol w:w="1732"/>
        <w:gridCol w:w="2488"/>
        <w:gridCol w:w="1843"/>
        <w:gridCol w:w="2212"/>
      </w:tblGrid>
      <w:tr w:rsidR="00B83214" w:rsidRPr="006A6CE2" w14:paraId="13635901" w14:textId="77777777" w:rsidTr="00B8321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hideMark/>
          </w:tcPr>
          <w:p w14:paraId="4BFFD0F7" w14:textId="77777777" w:rsidR="00B83214" w:rsidRPr="006A6CE2" w:rsidRDefault="00B83214" w:rsidP="00B83214">
            <w:pPr>
              <w:spacing w:before="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Rok</w:t>
            </w:r>
          </w:p>
        </w:tc>
        <w:tc>
          <w:tcPr>
            <w:tcW w:w="1732"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30007BCF"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Długość czynnej sieci rozdzielczej wodociągowej</w:t>
            </w:r>
          </w:p>
        </w:tc>
        <w:tc>
          <w:tcPr>
            <w:tcW w:w="2488" w:type="dxa"/>
            <w:tcBorders>
              <w:top w:val="single" w:sz="4" w:space="0" w:color="B7DFA8" w:themeColor="accent1" w:themeTint="66"/>
              <w:left w:val="single" w:sz="4" w:space="0" w:color="B7DFA8" w:themeColor="accent1" w:themeTint="66"/>
              <w:right w:val="single" w:sz="4" w:space="0" w:color="B7DFA8" w:themeColor="accent1" w:themeTint="66"/>
            </w:tcBorders>
          </w:tcPr>
          <w:p w14:paraId="1D9A7324"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Przyłącza prowadzące do budynków mieszkalnych i zbiorowego zamieszkania</w:t>
            </w:r>
          </w:p>
        </w:tc>
        <w:tc>
          <w:tcPr>
            <w:tcW w:w="1843" w:type="dxa"/>
            <w:tcBorders>
              <w:top w:val="single" w:sz="4" w:space="0" w:color="B7DFA8" w:themeColor="accent1" w:themeTint="66"/>
              <w:left w:val="single" w:sz="4" w:space="0" w:color="B7DFA8" w:themeColor="accent1" w:themeTint="66"/>
              <w:right w:val="single" w:sz="4" w:space="0" w:color="B7DFA8" w:themeColor="accent1" w:themeTint="66"/>
            </w:tcBorders>
          </w:tcPr>
          <w:p w14:paraId="493FF5BB"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Ludność korzystająca z sieci wodociągowej</w:t>
            </w:r>
          </w:p>
        </w:tc>
        <w:tc>
          <w:tcPr>
            <w:tcW w:w="2212" w:type="dxa"/>
            <w:tcBorders>
              <w:top w:val="single" w:sz="4" w:space="0" w:color="B7DFA8" w:themeColor="accent1" w:themeTint="66"/>
              <w:left w:val="single" w:sz="4" w:space="0" w:color="B7DFA8" w:themeColor="accent1" w:themeTint="66"/>
              <w:right w:val="single" w:sz="4" w:space="0" w:color="B7DFA8" w:themeColor="accent1" w:themeTint="66"/>
            </w:tcBorders>
          </w:tcPr>
          <w:p w14:paraId="35C2F5FA"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Ludność korzystająca z sieci wodociągowej ogółem</w:t>
            </w:r>
          </w:p>
        </w:tc>
      </w:tr>
      <w:tr w:rsidR="00B83214" w:rsidRPr="006A6CE2" w14:paraId="799DE0E2"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655A4564"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w:t>
            </w:r>
          </w:p>
        </w:tc>
        <w:tc>
          <w:tcPr>
            <w:tcW w:w="1732"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5324F8D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km ]</w:t>
            </w:r>
          </w:p>
        </w:tc>
        <w:tc>
          <w:tcPr>
            <w:tcW w:w="2488" w:type="dxa"/>
            <w:tcBorders>
              <w:top w:val="single" w:sz="4" w:space="0" w:color="B7DFA8" w:themeColor="accent1" w:themeTint="66"/>
              <w:left w:val="single" w:sz="4" w:space="0" w:color="B7DFA8" w:themeColor="accent1" w:themeTint="66"/>
              <w:right w:val="single" w:sz="4" w:space="0" w:color="B7DFA8" w:themeColor="accent1" w:themeTint="66"/>
            </w:tcBorders>
          </w:tcPr>
          <w:p w14:paraId="4C6B8FC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szt. ]</w:t>
            </w:r>
          </w:p>
        </w:tc>
        <w:tc>
          <w:tcPr>
            <w:tcW w:w="1843" w:type="dxa"/>
            <w:tcBorders>
              <w:top w:val="single" w:sz="4" w:space="0" w:color="B7DFA8" w:themeColor="accent1" w:themeTint="66"/>
              <w:left w:val="single" w:sz="4" w:space="0" w:color="B7DFA8" w:themeColor="accent1" w:themeTint="66"/>
              <w:right w:val="single" w:sz="4" w:space="0" w:color="B7DFA8" w:themeColor="accent1" w:themeTint="66"/>
            </w:tcBorders>
          </w:tcPr>
          <w:p w14:paraId="55776AD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osoba ]</w:t>
            </w:r>
          </w:p>
        </w:tc>
        <w:tc>
          <w:tcPr>
            <w:tcW w:w="2212" w:type="dxa"/>
            <w:tcBorders>
              <w:top w:val="single" w:sz="4" w:space="0" w:color="B7DFA8" w:themeColor="accent1" w:themeTint="66"/>
              <w:left w:val="single" w:sz="4" w:space="0" w:color="B7DFA8" w:themeColor="accent1" w:themeTint="66"/>
              <w:right w:val="single" w:sz="4" w:space="0" w:color="B7DFA8" w:themeColor="accent1" w:themeTint="66"/>
            </w:tcBorders>
          </w:tcPr>
          <w:p w14:paraId="614A474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 ]</w:t>
            </w:r>
          </w:p>
        </w:tc>
      </w:tr>
      <w:tr w:rsidR="00B83214" w:rsidRPr="006A6CE2" w14:paraId="2011F9ED"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8C939BC"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2015</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AB8AFE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11 096,2</w:t>
            </w:r>
          </w:p>
        </w:tc>
        <w:tc>
          <w:tcPr>
            <w:tcW w:w="248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3A40D2C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182 749</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63E346C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1 646 175</w:t>
            </w:r>
          </w:p>
        </w:tc>
        <w:tc>
          <w:tcPr>
            <w:tcW w:w="22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211E3CD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96,2</w:t>
            </w:r>
          </w:p>
        </w:tc>
      </w:tr>
      <w:tr w:rsidR="00B83214" w:rsidRPr="006A6CE2" w14:paraId="59086E79"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CADB47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2016</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EF0277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11 225,5</w:t>
            </w:r>
          </w:p>
        </w:tc>
        <w:tc>
          <w:tcPr>
            <w:tcW w:w="248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3E2801E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186 209</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1FDD37A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1 644 684</w:t>
            </w:r>
          </w:p>
        </w:tc>
        <w:tc>
          <w:tcPr>
            <w:tcW w:w="22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04AC175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96,3</w:t>
            </w:r>
          </w:p>
        </w:tc>
      </w:tr>
      <w:tr w:rsidR="00B83214" w:rsidRPr="006A6CE2" w14:paraId="088CE477"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382FA30"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2017</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2C4E24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11 363,5</w:t>
            </w:r>
          </w:p>
        </w:tc>
        <w:tc>
          <w:tcPr>
            <w:tcW w:w="248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162A55C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187 562</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712A6B4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1 642 860</w:t>
            </w:r>
          </w:p>
        </w:tc>
        <w:tc>
          <w:tcPr>
            <w:tcW w:w="22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0363039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96,3</w:t>
            </w:r>
          </w:p>
        </w:tc>
      </w:tr>
      <w:tr w:rsidR="00B83214" w:rsidRPr="006A6CE2" w14:paraId="7E197D85"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0255657"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2018</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36E086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11 428,9</w:t>
            </w:r>
          </w:p>
        </w:tc>
        <w:tc>
          <w:tcPr>
            <w:tcW w:w="248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3F45CF4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176 305</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742DD1E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1 636 192</w:t>
            </w:r>
          </w:p>
        </w:tc>
        <w:tc>
          <w:tcPr>
            <w:tcW w:w="22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CDA4F1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96,2</w:t>
            </w:r>
          </w:p>
        </w:tc>
      </w:tr>
      <w:tr w:rsidR="00B83214" w:rsidRPr="006A6CE2" w14:paraId="5340188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2F158CB"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2019</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FE838C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11 378,0</w:t>
            </w:r>
          </w:p>
        </w:tc>
        <w:tc>
          <w:tcPr>
            <w:tcW w:w="248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3AD77D7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178 491</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77F42CA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1 631 915</w:t>
            </w:r>
          </w:p>
        </w:tc>
        <w:tc>
          <w:tcPr>
            <w:tcW w:w="22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6D61928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96,2</w:t>
            </w:r>
          </w:p>
        </w:tc>
      </w:tr>
      <w:tr w:rsidR="00B83214" w:rsidRPr="006A6CE2" w14:paraId="7BF9F1DF"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CFA66EF"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2020</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D4BC1E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11 452,3</w:t>
            </w:r>
          </w:p>
        </w:tc>
        <w:tc>
          <w:tcPr>
            <w:tcW w:w="248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2E59B38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182 058</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4248ECE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1 624 669</w:t>
            </w:r>
          </w:p>
        </w:tc>
        <w:tc>
          <w:tcPr>
            <w:tcW w:w="22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02B52FD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96,2</w:t>
            </w:r>
          </w:p>
        </w:tc>
      </w:tr>
      <w:tr w:rsidR="00B83214" w:rsidRPr="006A6CE2" w14:paraId="247C5079"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EC0E7E2"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2021</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98C9AD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c>
          <w:tcPr>
            <w:tcW w:w="248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721D573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c>
          <w:tcPr>
            <w:tcW w:w="184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6AA6BCE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c>
          <w:tcPr>
            <w:tcW w:w="221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9A9DC7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r>
    </w:tbl>
    <w:p w14:paraId="5027FA1D" w14:textId="569DC7CF" w:rsidR="00B83214" w:rsidRPr="006A6CE2" w:rsidRDefault="00B83214" w:rsidP="00B83214">
      <w:pPr>
        <w:rPr>
          <w:szCs w:val="24"/>
        </w:rPr>
      </w:pPr>
      <w:r w:rsidRPr="006A6CE2">
        <w:rPr>
          <w:szCs w:val="24"/>
        </w:rPr>
        <w:t xml:space="preserve">Źródło: Bank Danych Lokalnych, </w:t>
      </w:r>
      <w:hyperlink r:id="rId39" w:history="1">
        <w:r w:rsidRPr="006A6CE2">
          <w:rPr>
            <w:color w:val="6B9F25" w:themeColor="hyperlink"/>
            <w:szCs w:val="24"/>
            <w:u w:val="single"/>
          </w:rPr>
          <w:t>www.bdl.stat.gov.pl</w:t>
        </w:r>
      </w:hyperlink>
      <w:r w:rsidRPr="006A6CE2">
        <w:rPr>
          <w:szCs w:val="24"/>
        </w:rPr>
        <w:t xml:space="preserve">; </w:t>
      </w:r>
      <w:r w:rsidR="00583870">
        <w:rPr>
          <w:szCs w:val="24"/>
        </w:rPr>
        <w:t>(</w:t>
      </w:r>
      <w:r w:rsidRPr="006A6CE2">
        <w:rPr>
          <w:szCs w:val="24"/>
        </w:rPr>
        <w:t>dostęp z dn. 01.05.2022</w:t>
      </w:r>
      <w:r w:rsidR="00583870">
        <w:rPr>
          <w:szCs w:val="24"/>
        </w:rPr>
        <w:t>)</w:t>
      </w:r>
    </w:p>
    <w:p w14:paraId="28B3014E" w14:textId="0CEFEED6" w:rsidR="00B83214" w:rsidRPr="006A6CE2" w:rsidRDefault="00B83214" w:rsidP="00B83214">
      <w:pPr>
        <w:rPr>
          <w:rFonts w:cs="Calibri"/>
          <w:szCs w:val="24"/>
        </w:rPr>
      </w:pPr>
      <w:r w:rsidRPr="006A6CE2">
        <w:rPr>
          <w:rFonts w:cs="Calibri"/>
          <w:szCs w:val="24"/>
        </w:rPr>
        <w:t>W 2020 roku pobór wód na potrzeby gospodarki narodowej i ludności wynosił ogółem 983 309,2 dam</w:t>
      </w:r>
      <w:r w:rsidRPr="006A6CE2">
        <w:rPr>
          <w:rFonts w:cs="Calibri"/>
          <w:szCs w:val="24"/>
          <w:vertAlign w:val="superscript"/>
        </w:rPr>
        <w:t>3</w:t>
      </w:r>
      <w:r w:rsidRPr="006A6CE2">
        <w:rPr>
          <w:rFonts w:cs="Calibri"/>
          <w:szCs w:val="24"/>
        </w:rPr>
        <w:t>. Pobór wód w największym stopniu przypadał na potrzeby przemysłu (89,1%). Na potrzeby eksploatacji sieci wodociągowej w 2020 roku pobrano 96 021,2 dam</w:t>
      </w:r>
      <w:r w:rsidRPr="006A6CE2">
        <w:rPr>
          <w:rFonts w:cs="Calibri"/>
          <w:szCs w:val="24"/>
          <w:vertAlign w:val="superscript"/>
        </w:rPr>
        <w:t>3</w:t>
      </w:r>
      <w:r w:rsidRPr="006A6CE2">
        <w:rPr>
          <w:rFonts w:cs="Calibri"/>
          <w:szCs w:val="24"/>
        </w:rPr>
        <w:t xml:space="preserve"> wody, z czego 20 971,4 dam</w:t>
      </w:r>
      <w:r w:rsidRPr="006A6CE2">
        <w:rPr>
          <w:rFonts w:cs="Calibri"/>
          <w:szCs w:val="24"/>
          <w:vertAlign w:val="superscript"/>
        </w:rPr>
        <w:t>3</w:t>
      </w:r>
      <w:r w:rsidRPr="006A6CE2">
        <w:rPr>
          <w:rFonts w:cs="Calibri"/>
          <w:szCs w:val="24"/>
        </w:rPr>
        <w:t xml:space="preserve"> (21,8%) pochodził</w:t>
      </w:r>
      <w:r w:rsidR="00A628D2">
        <w:rPr>
          <w:rFonts w:cs="Calibri"/>
          <w:szCs w:val="24"/>
        </w:rPr>
        <w:t>o</w:t>
      </w:r>
      <w:r w:rsidRPr="006A6CE2">
        <w:rPr>
          <w:rFonts w:cs="Calibri"/>
          <w:szCs w:val="24"/>
        </w:rPr>
        <w:t xml:space="preserve"> z wód powierzchniowych, natomiast 75 049,8 dam</w:t>
      </w:r>
      <w:r w:rsidRPr="006A6CE2">
        <w:rPr>
          <w:rFonts w:cs="Calibri"/>
          <w:szCs w:val="24"/>
          <w:vertAlign w:val="superscript"/>
        </w:rPr>
        <w:t>3</w:t>
      </w:r>
      <w:r w:rsidRPr="006A6CE2">
        <w:rPr>
          <w:rFonts w:cs="Calibri"/>
          <w:szCs w:val="24"/>
        </w:rPr>
        <w:t xml:space="preserve"> (78,2%) z ujęć wód podziemnych. Udział poszczególnych form poborów wód przedstawiono na rysunku poniżej (</w:t>
      </w:r>
      <w:r w:rsidRPr="006A6CE2">
        <w:rPr>
          <w:rFonts w:cs="Calibri"/>
          <w:szCs w:val="24"/>
        </w:rPr>
        <w:fldChar w:fldCharType="begin"/>
      </w:r>
      <w:r w:rsidRPr="006A6CE2">
        <w:rPr>
          <w:rFonts w:cs="Calibri"/>
          <w:szCs w:val="24"/>
        </w:rPr>
        <w:instrText xml:space="preserve"> REF _Ref102328116 \h  \* MERGEFORMAT </w:instrText>
      </w:r>
      <w:r w:rsidRPr="006A6CE2">
        <w:rPr>
          <w:rFonts w:cs="Calibri"/>
          <w:szCs w:val="24"/>
        </w:rPr>
      </w:r>
      <w:r w:rsidRPr="006A6CE2">
        <w:rPr>
          <w:rFonts w:cs="Calibri"/>
          <w:szCs w:val="24"/>
        </w:rPr>
        <w:fldChar w:fldCharType="separate"/>
      </w:r>
      <w:r w:rsidR="002B5007" w:rsidRPr="002B5007">
        <w:rPr>
          <w:szCs w:val="24"/>
        </w:rPr>
        <w:t xml:space="preserve">Rysunek </w:t>
      </w:r>
      <w:r w:rsidR="002B5007" w:rsidRPr="002B5007">
        <w:rPr>
          <w:noProof/>
          <w:szCs w:val="24"/>
        </w:rPr>
        <w:t>14</w:t>
      </w:r>
      <w:r w:rsidRPr="006A6CE2">
        <w:rPr>
          <w:rFonts w:cs="Calibri"/>
          <w:szCs w:val="24"/>
        </w:rPr>
        <w:fldChar w:fldCharType="end"/>
      </w:r>
      <w:r w:rsidRPr="006A6CE2">
        <w:rPr>
          <w:rFonts w:cs="Calibri"/>
          <w:szCs w:val="24"/>
        </w:rPr>
        <w:t>).</w:t>
      </w:r>
    </w:p>
    <w:p w14:paraId="7645CDD9" w14:textId="77777777" w:rsidR="00B83214" w:rsidRPr="006A6CE2" w:rsidRDefault="00B83214" w:rsidP="00B83214">
      <w:pPr>
        <w:jc w:val="center"/>
        <w:rPr>
          <w:rFonts w:cstheme="minorHAnsi"/>
          <w:szCs w:val="24"/>
        </w:rPr>
      </w:pPr>
      <w:r w:rsidRPr="006A6CE2">
        <w:rPr>
          <w:rFonts w:cstheme="minorHAnsi"/>
          <w:noProof/>
          <w:szCs w:val="24"/>
          <w:lang w:eastAsia="pl-PL"/>
        </w:rPr>
        <w:drawing>
          <wp:inline distT="0" distB="0" distL="0" distR="0" wp14:anchorId="644F48C8" wp14:editId="50A80D01">
            <wp:extent cx="5760720" cy="3606165"/>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3606165"/>
                    </a:xfrm>
                    <a:prstGeom prst="rect">
                      <a:avLst/>
                    </a:prstGeom>
                    <a:noFill/>
                    <a:ln>
                      <a:noFill/>
                    </a:ln>
                  </pic:spPr>
                </pic:pic>
              </a:graphicData>
            </a:graphic>
          </wp:inline>
        </w:drawing>
      </w:r>
    </w:p>
    <w:p w14:paraId="6EF6E6BB" w14:textId="77777777" w:rsidR="00B83214" w:rsidRPr="006A6CE2" w:rsidRDefault="00B83214" w:rsidP="00B83214">
      <w:pPr>
        <w:pStyle w:val="Podpispodrysunkiem"/>
      </w:pPr>
      <w:bookmarkStart w:id="167" w:name="_Ref102328116"/>
      <w:bookmarkStart w:id="168" w:name="_Toc102741394"/>
      <w:bookmarkStart w:id="169" w:name="_Toc104790116"/>
      <w:r w:rsidRPr="006A6CE2">
        <w:t xml:space="preserve">Rysunek </w:t>
      </w:r>
      <w:r>
        <w:fldChar w:fldCharType="begin"/>
      </w:r>
      <w:r>
        <w:instrText>SEQ Rysunek \* ARABIC</w:instrText>
      </w:r>
      <w:r>
        <w:fldChar w:fldCharType="separate"/>
      </w:r>
      <w:r w:rsidR="002B5007">
        <w:rPr>
          <w:noProof/>
        </w:rPr>
        <w:t>14</w:t>
      </w:r>
      <w:r>
        <w:fldChar w:fldCharType="end"/>
      </w:r>
      <w:bookmarkEnd w:id="167"/>
      <w:r w:rsidRPr="006A6CE2">
        <w:t xml:space="preserve"> Pobór wody na potrzeby gospodarki narodowej i ludności w 2020 roku</w:t>
      </w:r>
      <w:bookmarkEnd w:id="168"/>
      <w:bookmarkEnd w:id="169"/>
    </w:p>
    <w:p w14:paraId="10FE792A" w14:textId="7E072384" w:rsidR="00B83214" w:rsidRPr="006A6CE2" w:rsidRDefault="00B83214" w:rsidP="00B83214">
      <w:pPr>
        <w:spacing w:line="276" w:lineRule="auto"/>
        <w:jc w:val="both"/>
        <w:rPr>
          <w:szCs w:val="24"/>
        </w:rPr>
      </w:pPr>
      <w:r w:rsidRPr="006A6CE2">
        <w:rPr>
          <w:szCs w:val="24"/>
        </w:rPr>
        <w:t xml:space="preserve">Źródło: Bank Danych Lokalnych, </w:t>
      </w:r>
      <w:hyperlink r:id="rId41" w:history="1">
        <w:r w:rsidRPr="006A6CE2">
          <w:rPr>
            <w:color w:val="6B9F25" w:themeColor="hyperlink"/>
            <w:szCs w:val="24"/>
            <w:u w:val="single"/>
          </w:rPr>
          <w:t>www.bdl.stat.gov.pl</w:t>
        </w:r>
      </w:hyperlink>
      <w:r w:rsidRPr="006A6CE2">
        <w:rPr>
          <w:szCs w:val="24"/>
        </w:rPr>
        <w:t xml:space="preserve">; </w:t>
      </w:r>
      <w:r>
        <w:rPr>
          <w:szCs w:val="24"/>
        </w:rPr>
        <w:t>(</w:t>
      </w:r>
      <w:r w:rsidRPr="006A6CE2">
        <w:rPr>
          <w:szCs w:val="24"/>
        </w:rPr>
        <w:t>dostęp z dn.</w:t>
      </w:r>
      <w:r>
        <w:rPr>
          <w:szCs w:val="24"/>
        </w:rPr>
        <w:t>:</w:t>
      </w:r>
      <w:r w:rsidRPr="006A6CE2">
        <w:rPr>
          <w:szCs w:val="24"/>
        </w:rPr>
        <w:t xml:space="preserve"> 01.05.2022</w:t>
      </w:r>
      <w:r>
        <w:rPr>
          <w:szCs w:val="24"/>
        </w:rPr>
        <w:t>)</w:t>
      </w:r>
    </w:p>
    <w:p w14:paraId="0D7B0306" w14:textId="2905F450" w:rsidR="00B83214" w:rsidRPr="006A6CE2" w:rsidRDefault="00B83214" w:rsidP="00B83214">
      <w:pPr>
        <w:rPr>
          <w:rFonts w:cstheme="minorHAnsi"/>
          <w:szCs w:val="24"/>
        </w:rPr>
      </w:pPr>
      <w:r w:rsidRPr="006A6CE2">
        <w:rPr>
          <w:rFonts w:cstheme="minorHAnsi"/>
          <w:szCs w:val="24"/>
        </w:rPr>
        <w:t>Ze względu na jakość wód podziemnych, ujęcia wód podziemnych stanowią główne źródło zaopatrzenia województwa w wodę przeznaczoną do spożycia przez ludzi</w:t>
      </w:r>
      <w:r w:rsidRPr="006A6CE2">
        <w:rPr>
          <w:rFonts w:cstheme="minorHAnsi"/>
          <w:szCs w:val="24"/>
          <w:vertAlign w:val="superscript"/>
        </w:rPr>
        <w:footnoteReference w:id="116"/>
      </w:r>
      <w:r w:rsidRPr="006A6CE2">
        <w:rPr>
          <w:rFonts w:cstheme="minorHAnsi"/>
          <w:szCs w:val="24"/>
        </w:rPr>
        <w:t>. Nierównomiernie rozmieszczone zasoby wód podziemnych oraz zróżnicowane obszarowo wielkości zapotrzebowania na wodę spowodował</w:t>
      </w:r>
      <w:r w:rsidR="00A628D2">
        <w:rPr>
          <w:rFonts w:cstheme="minorHAnsi"/>
          <w:szCs w:val="24"/>
        </w:rPr>
        <w:t>y</w:t>
      </w:r>
      <w:r w:rsidRPr="006A6CE2">
        <w:rPr>
          <w:rFonts w:cstheme="minorHAnsi"/>
          <w:szCs w:val="24"/>
        </w:rPr>
        <w:t xml:space="preserve"> konieczność zaopatrzenia takich miast jak Szczecin, Koszalin czy Kołobrzeg w wodę o wymaganej ilości i jakości, z miejsc położonych daleko od nich. Przykładowo, m. Szczecin zaopatrywane jest w wodę z ujęć wód powierzchniowych z jeziora Miedwie oraz awaryjnego ujęcia „Kurów” na Odrze Zachodniej. Okresowo Szczecin może być zaopatrywan</w:t>
      </w:r>
      <w:r w:rsidR="00A628D2">
        <w:rPr>
          <w:rFonts w:cstheme="minorHAnsi"/>
          <w:szCs w:val="24"/>
        </w:rPr>
        <w:t>y</w:t>
      </w:r>
      <w:r w:rsidRPr="006A6CE2">
        <w:rPr>
          <w:rFonts w:cstheme="minorHAnsi"/>
          <w:szCs w:val="24"/>
        </w:rPr>
        <w:t xml:space="preserve"> w wodę z zakładów produkcji wody (ujęć wód podziemnych). Jedynie awaryjnie bądź uzupełniająco miasto Szczecin korzysta z ujęć wód podziemnych takich jak: „Pilchowo”, „Skolwin”, „Arkonka” i „Świerczewo”. Pozostałe miejscowości w regionie opierają się wyłącznie na ujęciach wód podziemnych.</w:t>
      </w:r>
      <w:r>
        <w:rPr>
          <w:rFonts w:cstheme="minorHAnsi"/>
          <w:szCs w:val="24"/>
        </w:rPr>
        <w:t xml:space="preserve"> </w:t>
      </w:r>
      <w:r w:rsidRPr="006A6CE2">
        <w:rPr>
          <w:rFonts w:cstheme="minorHAnsi"/>
          <w:szCs w:val="24"/>
        </w:rPr>
        <w:t>Na przykład system zaopatrzenia w wodę m. Koszalin składa się z 37 studni głębinowych Mostowo i 18 studni głębinowych Koszalin</w:t>
      </w:r>
      <w:r w:rsidRPr="006A6CE2">
        <w:rPr>
          <w:rFonts w:cstheme="minorHAnsi"/>
          <w:szCs w:val="24"/>
          <w:vertAlign w:val="superscript"/>
        </w:rPr>
        <w:footnoteReference w:id="117"/>
      </w:r>
      <w:r w:rsidRPr="006A6CE2">
        <w:rPr>
          <w:rFonts w:cstheme="minorHAnsi"/>
          <w:szCs w:val="24"/>
        </w:rPr>
        <w:t>. Miasto Kołobrzeg korzysta z ujęć komunalnych wód podziemnych położonych na obszarze dolinnym na południu od miasta (ujęcia Rościęcino oraz Bogucino)</w:t>
      </w:r>
      <w:r w:rsidRPr="006A6CE2">
        <w:rPr>
          <w:rFonts w:cstheme="minorHAnsi"/>
          <w:szCs w:val="24"/>
          <w:vertAlign w:val="superscript"/>
        </w:rPr>
        <w:footnoteReference w:id="118"/>
      </w:r>
      <w:r w:rsidRPr="006A6CE2">
        <w:rPr>
          <w:rFonts w:cstheme="minorHAnsi"/>
          <w:szCs w:val="24"/>
        </w:rPr>
        <w:t>. Z kolei wody powierzchniowe są źródłem ponad 99% wody używanej na cele produkcyjne</w:t>
      </w:r>
      <w:r w:rsidRPr="006A6CE2">
        <w:rPr>
          <w:rFonts w:cstheme="minorHAnsi"/>
          <w:szCs w:val="24"/>
          <w:vertAlign w:val="superscript"/>
        </w:rPr>
        <w:footnoteReference w:id="119"/>
      </w:r>
      <w:r w:rsidRPr="006A6CE2">
        <w:rPr>
          <w:rFonts w:cstheme="minorHAnsi"/>
          <w:szCs w:val="24"/>
        </w:rPr>
        <w:t>.</w:t>
      </w:r>
    </w:p>
    <w:p w14:paraId="432FAA96" w14:textId="002F7CAC" w:rsidR="00B83214" w:rsidRPr="006A6CE2" w:rsidRDefault="00B83214" w:rsidP="00B83214">
      <w:pPr>
        <w:rPr>
          <w:rFonts w:cs="Calibri"/>
          <w:szCs w:val="24"/>
        </w:rPr>
      </w:pPr>
      <w:r w:rsidRPr="006A6CE2">
        <w:rPr>
          <w:rFonts w:cs="Calibri"/>
          <w:szCs w:val="24"/>
        </w:rPr>
        <w:t>Zużycie wody na potrzeby gospodarki narodowej i ludności w 2020 roku wynosiło ogółem około 965,6 hm</w:t>
      </w:r>
      <w:r w:rsidRPr="006A6CE2">
        <w:rPr>
          <w:rFonts w:cs="Calibri"/>
          <w:szCs w:val="24"/>
          <w:vertAlign w:val="superscript"/>
        </w:rPr>
        <w:t>3</w:t>
      </w:r>
      <w:r w:rsidRPr="006A6CE2">
        <w:rPr>
          <w:rFonts w:cs="Calibri"/>
          <w:szCs w:val="24"/>
        </w:rPr>
        <w:t xml:space="preserve">. W 2020 roku największe zużycie wody ogółem wiązało się z działalnością przemysłową (90,8%). Około 8% zużycia przypadało na potrzeby eksploatacji sieci wodociągowej, natomiast 1,2% stanowiło zużycie wody </w:t>
      </w:r>
      <w:r w:rsidR="00A628D2">
        <w:rPr>
          <w:rFonts w:cs="Calibri"/>
          <w:szCs w:val="24"/>
        </w:rPr>
        <w:t>do</w:t>
      </w:r>
      <w:r w:rsidRPr="006A6CE2">
        <w:rPr>
          <w:rFonts w:cs="Calibri"/>
          <w:szCs w:val="24"/>
        </w:rPr>
        <w:t xml:space="preserve"> uzupełniania i napełniania stawów rybnych. Zużycie wody na potrzeby gospodarki narodowej i ludności przedstawiono poniżej (</w:t>
      </w:r>
      <w:r w:rsidRPr="006A6CE2">
        <w:rPr>
          <w:rFonts w:cs="Calibri"/>
          <w:szCs w:val="24"/>
        </w:rPr>
        <w:fldChar w:fldCharType="begin"/>
      </w:r>
      <w:r w:rsidRPr="006A6CE2">
        <w:rPr>
          <w:rFonts w:cs="Calibri"/>
          <w:szCs w:val="24"/>
        </w:rPr>
        <w:instrText xml:space="preserve"> REF _Ref102328835 \h  \* MERGEFORMAT </w:instrText>
      </w:r>
      <w:r w:rsidRPr="006A6CE2">
        <w:rPr>
          <w:rFonts w:cs="Calibri"/>
          <w:szCs w:val="24"/>
        </w:rPr>
      </w:r>
      <w:r w:rsidRPr="006A6CE2">
        <w:rPr>
          <w:rFonts w:cs="Calibri"/>
          <w:szCs w:val="24"/>
        </w:rPr>
        <w:fldChar w:fldCharType="separate"/>
      </w:r>
      <w:r w:rsidR="002B5007" w:rsidRPr="002B5007">
        <w:rPr>
          <w:szCs w:val="24"/>
        </w:rPr>
        <w:t xml:space="preserve">Rysunek </w:t>
      </w:r>
      <w:r w:rsidR="002B5007" w:rsidRPr="002B5007">
        <w:rPr>
          <w:noProof/>
          <w:szCs w:val="24"/>
        </w:rPr>
        <w:t>15</w:t>
      </w:r>
      <w:r w:rsidRPr="006A6CE2">
        <w:rPr>
          <w:rFonts w:cs="Calibri"/>
          <w:szCs w:val="24"/>
        </w:rPr>
        <w:fldChar w:fldCharType="end"/>
      </w:r>
      <w:r w:rsidRPr="006A6CE2">
        <w:rPr>
          <w:rFonts w:cs="Calibri"/>
          <w:szCs w:val="24"/>
        </w:rPr>
        <w:t>).</w:t>
      </w:r>
    </w:p>
    <w:p w14:paraId="16B0192E" w14:textId="77777777" w:rsidR="00B83214" w:rsidRPr="006A6CE2" w:rsidRDefault="00B83214" w:rsidP="00B83214">
      <w:pPr>
        <w:rPr>
          <w:rFonts w:cstheme="minorHAnsi"/>
          <w:szCs w:val="24"/>
        </w:rPr>
      </w:pPr>
      <w:r w:rsidRPr="006A6CE2">
        <w:rPr>
          <w:rFonts w:cstheme="minorHAnsi"/>
          <w:noProof/>
          <w:szCs w:val="24"/>
          <w:lang w:eastAsia="pl-PL"/>
        </w:rPr>
        <w:drawing>
          <wp:inline distT="0" distB="0" distL="0" distR="0" wp14:anchorId="5A07B754" wp14:editId="7510F4CB">
            <wp:extent cx="5481886" cy="2889505"/>
            <wp:effectExtent l="0" t="0" r="5080" b="635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5149" b="4252"/>
                    <a:stretch/>
                  </pic:blipFill>
                  <pic:spPr bwMode="auto">
                    <a:xfrm>
                      <a:off x="0" y="0"/>
                      <a:ext cx="5489011" cy="2893260"/>
                    </a:xfrm>
                    <a:prstGeom prst="rect">
                      <a:avLst/>
                    </a:prstGeom>
                    <a:noFill/>
                    <a:ln>
                      <a:noFill/>
                    </a:ln>
                    <a:extLst>
                      <a:ext uri="{53640926-AAD7-44D8-BBD7-CCE9431645EC}">
                        <a14:shadowObscured xmlns:a14="http://schemas.microsoft.com/office/drawing/2010/main"/>
                      </a:ext>
                    </a:extLst>
                  </pic:spPr>
                </pic:pic>
              </a:graphicData>
            </a:graphic>
          </wp:inline>
        </w:drawing>
      </w:r>
    </w:p>
    <w:p w14:paraId="7CC2C7A2" w14:textId="77777777" w:rsidR="00B83214" w:rsidRPr="006A6CE2" w:rsidRDefault="00B83214" w:rsidP="00B83214">
      <w:pPr>
        <w:pStyle w:val="Podpispodrysunkiem"/>
      </w:pPr>
      <w:bookmarkStart w:id="170" w:name="_Ref102328835"/>
      <w:bookmarkStart w:id="171" w:name="_Toc102741395"/>
      <w:bookmarkStart w:id="172" w:name="_Toc104790117"/>
      <w:r w:rsidRPr="006A6CE2">
        <w:t xml:space="preserve">Rysunek </w:t>
      </w:r>
      <w:r>
        <w:fldChar w:fldCharType="begin"/>
      </w:r>
      <w:r>
        <w:instrText>SEQ Rysunek \* ARABIC</w:instrText>
      </w:r>
      <w:r>
        <w:fldChar w:fldCharType="separate"/>
      </w:r>
      <w:r w:rsidR="002B5007">
        <w:rPr>
          <w:noProof/>
        </w:rPr>
        <w:t>15</w:t>
      </w:r>
      <w:r>
        <w:fldChar w:fldCharType="end"/>
      </w:r>
      <w:bookmarkEnd w:id="170"/>
      <w:r w:rsidRPr="006A6CE2">
        <w:t xml:space="preserve"> Zużycie wody na potrzeby gospodarki narodowej i ludności w 2020 roku</w:t>
      </w:r>
      <w:bookmarkEnd w:id="171"/>
      <w:bookmarkEnd w:id="172"/>
    </w:p>
    <w:p w14:paraId="57718E75" w14:textId="49F7BF85" w:rsidR="00B83214" w:rsidRPr="006A6CE2" w:rsidRDefault="00B83214" w:rsidP="00B83214">
      <w:pPr>
        <w:spacing w:line="276" w:lineRule="auto"/>
        <w:jc w:val="both"/>
        <w:rPr>
          <w:szCs w:val="24"/>
        </w:rPr>
      </w:pPr>
      <w:r w:rsidRPr="006A6CE2">
        <w:rPr>
          <w:szCs w:val="24"/>
        </w:rPr>
        <w:t xml:space="preserve">Źródło: Bank Danych Lokalnych, </w:t>
      </w:r>
      <w:hyperlink r:id="rId43" w:history="1">
        <w:r w:rsidRPr="006A6CE2">
          <w:rPr>
            <w:color w:val="6B9F25" w:themeColor="hyperlink"/>
            <w:szCs w:val="24"/>
            <w:u w:val="single"/>
          </w:rPr>
          <w:t>www.bdl.stat.gov.pl</w:t>
        </w:r>
      </w:hyperlink>
      <w:r w:rsidRPr="006A6CE2">
        <w:rPr>
          <w:szCs w:val="24"/>
        </w:rPr>
        <w:t xml:space="preserve">; </w:t>
      </w:r>
      <w:r w:rsidR="009474C8">
        <w:rPr>
          <w:szCs w:val="24"/>
        </w:rPr>
        <w:t>(</w:t>
      </w:r>
      <w:r w:rsidRPr="006A6CE2">
        <w:rPr>
          <w:szCs w:val="24"/>
        </w:rPr>
        <w:t>dostęp z dn. 01.05.2022</w:t>
      </w:r>
      <w:r w:rsidR="009474C8">
        <w:rPr>
          <w:szCs w:val="24"/>
        </w:rPr>
        <w:t>)</w:t>
      </w:r>
    </w:p>
    <w:p w14:paraId="3A72FB0A" w14:textId="62EDE2F5" w:rsidR="00B83214" w:rsidRPr="006A6CE2" w:rsidRDefault="00B83214" w:rsidP="00B83214">
      <w:pPr>
        <w:rPr>
          <w:rFonts w:cs="Calibri"/>
          <w:szCs w:val="24"/>
        </w:rPr>
      </w:pPr>
      <w:r w:rsidRPr="006A6CE2">
        <w:rPr>
          <w:rFonts w:cs="Calibri"/>
          <w:szCs w:val="24"/>
        </w:rPr>
        <w:t>W 2020 roku w województwie zachodniopomorskim zaobserwowano wzrost o 436,3 km w stosunku do 2015 roku długości czynnej sieci kanalizacyjnej</w:t>
      </w:r>
      <w:r w:rsidRPr="006A6CE2">
        <w:rPr>
          <w:rFonts w:cs="Calibri"/>
          <w:szCs w:val="24"/>
          <w:vertAlign w:val="superscript"/>
        </w:rPr>
        <w:footnoteReference w:id="120"/>
      </w:r>
      <w:r w:rsidRPr="006A6CE2">
        <w:rPr>
          <w:rFonts w:cs="Calibri"/>
          <w:szCs w:val="24"/>
        </w:rPr>
        <w:t xml:space="preserve"> (</w:t>
      </w:r>
      <w:r w:rsidRPr="006A6CE2">
        <w:rPr>
          <w:rFonts w:cs="Calibri"/>
          <w:szCs w:val="24"/>
        </w:rPr>
        <w:fldChar w:fldCharType="begin"/>
      </w:r>
      <w:r w:rsidRPr="006A6CE2">
        <w:rPr>
          <w:rFonts w:cs="Calibri"/>
          <w:szCs w:val="24"/>
        </w:rPr>
        <w:instrText xml:space="preserve"> REF _Ref102377981 \h  \* MERGEFORMAT </w:instrText>
      </w:r>
      <w:r w:rsidRPr="006A6CE2">
        <w:rPr>
          <w:rFonts w:cs="Calibri"/>
          <w:szCs w:val="24"/>
        </w:rPr>
      </w:r>
      <w:r w:rsidRPr="006A6CE2">
        <w:rPr>
          <w:rFonts w:cs="Calibri"/>
          <w:szCs w:val="24"/>
        </w:rPr>
        <w:fldChar w:fldCharType="separate"/>
      </w:r>
      <w:r w:rsidR="002B5007" w:rsidRPr="002B5007">
        <w:rPr>
          <w:szCs w:val="24"/>
        </w:rPr>
        <w:t xml:space="preserve">Tabela </w:t>
      </w:r>
      <w:r w:rsidR="002B5007" w:rsidRPr="002B5007">
        <w:rPr>
          <w:noProof/>
          <w:szCs w:val="24"/>
        </w:rPr>
        <w:t>14</w:t>
      </w:r>
      <w:r w:rsidRPr="006A6CE2">
        <w:rPr>
          <w:rFonts w:cs="Calibri"/>
          <w:szCs w:val="24"/>
        </w:rPr>
        <w:fldChar w:fldCharType="end"/>
      </w:r>
      <w:r w:rsidRPr="006A6CE2">
        <w:rPr>
          <w:rFonts w:cs="Calibri"/>
          <w:szCs w:val="24"/>
        </w:rPr>
        <w:t>). Wzrost długości sieci kanalizacyjnej przyczynił się prawdopodobnie do zwiększenia udziału mieszkańców korzystających z sieci kanalizacyjnej, w szczególności w odniesieniu do ludności korzystającej z sieci kanalizacyjnej na wsi. W latach 2015-2020 stwierdzono wzrost z 56,6% do 58,1% do ludności korzystającej z sieci kanalizacyjnej na wsi. Województwo zachodniopomorskie znajduje się na 2 miejscu pod względem % ludności korzystającej z sieci kanalizacyjnej ogółem. Tylko województwo pomorskie ma wyższy udział ludności korzystających z sieci kanalizacyjnej (83,9%). W 2020 roku siecią kanalizacyjną odprowadzono łącznie 59 836,4 dam</w:t>
      </w:r>
      <w:r w:rsidRPr="006A6CE2">
        <w:rPr>
          <w:rFonts w:cs="Calibri"/>
          <w:szCs w:val="24"/>
          <w:vertAlign w:val="superscript"/>
        </w:rPr>
        <w:t>3</w:t>
      </w:r>
      <w:r w:rsidRPr="006A6CE2">
        <w:rPr>
          <w:rFonts w:cs="Calibri"/>
          <w:szCs w:val="24"/>
        </w:rPr>
        <w:t xml:space="preserve"> ścieków bytowych.</w:t>
      </w:r>
    </w:p>
    <w:p w14:paraId="681594FC" w14:textId="77777777" w:rsidR="00B83214" w:rsidRPr="006A6CE2" w:rsidRDefault="00B83214" w:rsidP="00B83214">
      <w:pPr>
        <w:pStyle w:val="Podpispodrysunkiem"/>
      </w:pPr>
      <w:bookmarkStart w:id="173" w:name="_Ref102377981"/>
      <w:bookmarkStart w:id="174" w:name="_Toc102741408"/>
      <w:bookmarkStart w:id="175" w:name="_Toc104790084"/>
      <w:r w:rsidRPr="006A6CE2">
        <w:t xml:space="preserve">Tabela </w:t>
      </w:r>
      <w:r>
        <w:fldChar w:fldCharType="begin"/>
      </w:r>
      <w:r>
        <w:instrText>SEQ Tabela \* ARABIC</w:instrText>
      </w:r>
      <w:r>
        <w:fldChar w:fldCharType="separate"/>
      </w:r>
      <w:r w:rsidR="002B5007">
        <w:rPr>
          <w:noProof/>
        </w:rPr>
        <w:t>14</w:t>
      </w:r>
      <w:r>
        <w:fldChar w:fldCharType="end"/>
      </w:r>
      <w:bookmarkEnd w:id="173"/>
      <w:r w:rsidRPr="006A6CE2">
        <w:t xml:space="preserve"> Dane dotyczące użytkowania urządzeń sieciowych - kanalizacyjnych</w:t>
      </w:r>
      <w:bookmarkEnd w:id="174"/>
      <w:bookmarkEnd w:id="175"/>
    </w:p>
    <w:tbl>
      <w:tblPr>
        <w:tblStyle w:val="Tabelasiatki1jasnaakcent11"/>
        <w:tblW w:w="9288" w:type="dxa"/>
        <w:jc w:val="center"/>
        <w:tblLook w:val="04A0" w:firstRow="1" w:lastRow="0" w:firstColumn="1" w:lastColumn="0" w:noHBand="0" w:noVBand="1"/>
      </w:tblPr>
      <w:tblGrid>
        <w:gridCol w:w="818"/>
        <w:gridCol w:w="1732"/>
        <w:gridCol w:w="1793"/>
        <w:gridCol w:w="1661"/>
        <w:gridCol w:w="1646"/>
        <w:gridCol w:w="1638"/>
      </w:tblGrid>
      <w:tr w:rsidR="00B83214" w:rsidRPr="006A6CE2" w14:paraId="1D8B847E" w14:textId="77777777" w:rsidTr="00B8321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18"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hideMark/>
          </w:tcPr>
          <w:p w14:paraId="1F016609" w14:textId="77777777" w:rsidR="00B83214" w:rsidRPr="006A6CE2" w:rsidRDefault="00B83214" w:rsidP="00B83214">
            <w:pPr>
              <w:spacing w:before="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Rok</w:t>
            </w:r>
          </w:p>
        </w:tc>
        <w:tc>
          <w:tcPr>
            <w:tcW w:w="1732"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13B41C9F"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Ludność korzystająca z sieci kanalizacyjnej ogółem</w:t>
            </w:r>
          </w:p>
        </w:tc>
        <w:tc>
          <w:tcPr>
            <w:tcW w:w="1793" w:type="dxa"/>
            <w:tcBorders>
              <w:top w:val="single" w:sz="4" w:space="0" w:color="B7DFA8" w:themeColor="accent1" w:themeTint="66"/>
              <w:left w:val="single" w:sz="4" w:space="0" w:color="B7DFA8" w:themeColor="accent1" w:themeTint="66"/>
              <w:right w:val="single" w:sz="4" w:space="0" w:color="B7DFA8" w:themeColor="accent1" w:themeTint="66"/>
            </w:tcBorders>
          </w:tcPr>
          <w:p w14:paraId="7FBABFD2"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Ludność korzystająca z sieci kanalizacyjnej w miastach</w:t>
            </w:r>
          </w:p>
        </w:tc>
        <w:tc>
          <w:tcPr>
            <w:tcW w:w="1661" w:type="dxa"/>
            <w:tcBorders>
              <w:top w:val="single" w:sz="4" w:space="0" w:color="B7DFA8" w:themeColor="accent1" w:themeTint="66"/>
              <w:left w:val="single" w:sz="4" w:space="0" w:color="B7DFA8" w:themeColor="accent1" w:themeTint="66"/>
              <w:right w:val="single" w:sz="4" w:space="0" w:color="B7DFA8" w:themeColor="accent1" w:themeTint="66"/>
            </w:tcBorders>
          </w:tcPr>
          <w:p w14:paraId="3A5DE71B"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Ludność korzystająca z sieci kanalizacyjnej na wsi</w:t>
            </w:r>
          </w:p>
        </w:tc>
        <w:tc>
          <w:tcPr>
            <w:tcW w:w="1646" w:type="dxa"/>
            <w:tcBorders>
              <w:top w:val="single" w:sz="4" w:space="0" w:color="B7DFA8" w:themeColor="accent1" w:themeTint="66"/>
              <w:left w:val="single" w:sz="4" w:space="0" w:color="B7DFA8" w:themeColor="accent1" w:themeTint="66"/>
              <w:right w:val="single" w:sz="4" w:space="0" w:color="B7DFA8" w:themeColor="accent1" w:themeTint="66"/>
            </w:tcBorders>
          </w:tcPr>
          <w:p w14:paraId="3F77CE66"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Długość czynnej sieci kanalizacyjnej</w:t>
            </w:r>
          </w:p>
        </w:tc>
        <w:tc>
          <w:tcPr>
            <w:tcW w:w="1638" w:type="dxa"/>
            <w:tcBorders>
              <w:top w:val="single" w:sz="4" w:space="0" w:color="B7DFA8" w:themeColor="accent1" w:themeTint="66"/>
              <w:left w:val="single" w:sz="4" w:space="0" w:color="B7DFA8" w:themeColor="accent1" w:themeTint="66"/>
              <w:right w:val="single" w:sz="4" w:space="0" w:color="B7DFA8" w:themeColor="accent1" w:themeTint="66"/>
            </w:tcBorders>
          </w:tcPr>
          <w:p w14:paraId="723605DB"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Przyłącza prowadzące do budynków mieszkalnych i zbiorowego zamieszkania</w:t>
            </w:r>
          </w:p>
        </w:tc>
      </w:tr>
      <w:tr w:rsidR="00B83214" w:rsidRPr="006A6CE2" w14:paraId="00796F7F"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8"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0C6698D6"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w:t>
            </w:r>
          </w:p>
        </w:tc>
        <w:tc>
          <w:tcPr>
            <w:tcW w:w="1732"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5702130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 ]</w:t>
            </w:r>
          </w:p>
        </w:tc>
        <w:tc>
          <w:tcPr>
            <w:tcW w:w="1793" w:type="dxa"/>
            <w:tcBorders>
              <w:top w:val="single" w:sz="4" w:space="0" w:color="B7DFA8" w:themeColor="accent1" w:themeTint="66"/>
              <w:left w:val="single" w:sz="4" w:space="0" w:color="B7DFA8" w:themeColor="accent1" w:themeTint="66"/>
              <w:right w:val="single" w:sz="4" w:space="0" w:color="B7DFA8" w:themeColor="accent1" w:themeTint="66"/>
            </w:tcBorders>
          </w:tcPr>
          <w:p w14:paraId="05A0996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 ]</w:t>
            </w:r>
          </w:p>
        </w:tc>
        <w:tc>
          <w:tcPr>
            <w:tcW w:w="1661" w:type="dxa"/>
            <w:tcBorders>
              <w:top w:val="single" w:sz="4" w:space="0" w:color="B7DFA8" w:themeColor="accent1" w:themeTint="66"/>
              <w:left w:val="single" w:sz="4" w:space="0" w:color="B7DFA8" w:themeColor="accent1" w:themeTint="66"/>
              <w:right w:val="single" w:sz="4" w:space="0" w:color="B7DFA8" w:themeColor="accent1" w:themeTint="66"/>
            </w:tcBorders>
          </w:tcPr>
          <w:p w14:paraId="7D29140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 ]</w:t>
            </w:r>
          </w:p>
        </w:tc>
        <w:tc>
          <w:tcPr>
            <w:tcW w:w="1646" w:type="dxa"/>
            <w:tcBorders>
              <w:top w:val="single" w:sz="4" w:space="0" w:color="B7DFA8" w:themeColor="accent1" w:themeTint="66"/>
              <w:left w:val="single" w:sz="4" w:space="0" w:color="B7DFA8" w:themeColor="accent1" w:themeTint="66"/>
              <w:right w:val="single" w:sz="4" w:space="0" w:color="B7DFA8" w:themeColor="accent1" w:themeTint="66"/>
            </w:tcBorders>
          </w:tcPr>
          <w:p w14:paraId="2BF218B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km ]</w:t>
            </w:r>
          </w:p>
        </w:tc>
        <w:tc>
          <w:tcPr>
            <w:tcW w:w="1638" w:type="dxa"/>
            <w:tcBorders>
              <w:top w:val="single" w:sz="4" w:space="0" w:color="B7DFA8" w:themeColor="accent1" w:themeTint="66"/>
              <w:left w:val="single" w:sz="4" w:space="0" w:color="B7DFA8" w:themeColor="accent1" w:themeTint="66"/>
              <w:right w:val="single" w:sz="4" w:space="0" w:color="B7DFA8" w:themeColor="accent1" w:themeTint="66"/>
            </w:tcBorders>
          </w:tcPr>
          <w:p w14:paraId="01AA61E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szt. ]</w:t>
            </w:r>
          </w:p>
        </w:tc>
      </w:tr>
      <w:tr w:rsidR="00B83214" w:rsidRPr="006A6CE2" w14:paraId="5AB69462"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DB7198E"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2015</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45C32D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80,6</w:t>
            </w:r>
          </w:p>
        </w:tc>
        <w:tc>
          <w:tcPr>
            <w:tcW w:w="179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6016920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91,6</w:t>
            </w:r>
          </w:p>
        </w:tc>
        <w:tc>
          <w:tcPr>
            <w:tcW w:w="166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5CEC29E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56,6</w:t>
            </w:r>
          </w:p>
        </w:tc>
        <w:tc>
          <w:tcPr>
            <w:tcW w:w="164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6B1027D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7 761,8</w:t>
            </w:r>
          </w:p>
        </w:tc>
        <w:tc>
          <w:tcPr>
            <w:tcW w:w="163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65D5EB73"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128 808</w:t>
            </w:r>
          </w:p>
        </w:tc>
      </w:tr>
      <w:tr w:rsidR="00B83214" w:rsidRPr="006A6CE2" w14:paraId="07DAE7C4"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9676C3D"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2016</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FB0249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80,8</w:t>
            </w:r>
          </w:p>
        </w:tc>
        <w:tc>
          <w:tcPr>
            <w:tcW w:w="179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2377C8A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91,6</w:t>
            </w:r>
          </w:p>
        </w:tc>
        <w:tc>
          <w:tcPr>
            <w:tcW w:w="166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4559CA2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57,4</w:t>
            </w:r>
          </w:p>
        </w:tc>
        <w:tc>
          <w:tcPr>
            <w:tcW w:w="164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20ACC39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7 857,6</w:t>
            </w:r>
          </w:p>
        </w:tc>
        <w:tc>
          <w:tcPr>
            <w:tcW w:w="163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1ED90D2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131 435</w:t>
            </w:r>
          </w:p>
        </w:tc>
      </w:tr>
      <w:tr w:rsidR="00B83214" w:rsidRPr="006A6CE2" w14:paraId="69D43F89"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3FA0611"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2017</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9C7BF6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81,0</w:t>
            </w:r>
          </w:p>
        </w:tc>
        <w:tc>
          <w:tcPr>
            <w:tcW w:w="179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5F06843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91,8</w:t>
            </w:r>
          </w:p>
        </w:tc>
        <w:tc>
          <w:tcPr>
            <w:tcW w:w="166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180C36B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57,5</w:t>
            </w:r>
          </w:p>
        </w:tc>
        <w:tc>
          <w:tcPr>
            <w:tcW w:w="164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279BA51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7 967,4</w:t>
            </w:r>
          </w:p>
        </w:tc>
        <w:tc>
          <w:tcPr>
            <w:tcW w:w="163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1918DC9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133 734</w:t>
            </w:r>
          </w:p>
        </w:tc>
      </w:tr>
      <w:tr w:rsidR="00B83214" w:rsidRPr="006A6CE2" w14:paraId="2B2D5F78"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E965612"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2018</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870A83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80,4</w:t>
            </w:r>
          </w:p>
        </w:tc>
        <w:tc>
          <w:tcPr>
            <w:tcW w:w="179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54F1F7E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91,1</w:t>
            </w:r>
          </w:p>
        </w:tc>
        <w:tc>
          <w:tcPr>
            <w:tcW w:w="166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61BF71E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57,1</w:t>
            </w:r>
          </w:p>
        </w:tc>
        <w:tc>
          <w:tcPr>
            <w:tcW w:w="164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08811B0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7 973,5</w:t>
            </w:r>
          </w:p>
        </w:tc>
        <w:tc>
          <w:tcPr>
            <w:tcW w:w="163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5BF6EEA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124 703</w:t>
            </w:r>
          </w:p>
        </w:tc>
      </w:tr>
      <w:tr w:rsidR="00B83214" w:rsidRPr="006A6CE2" w14:paraId="0F8D549A"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6B4554A"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2019</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F38B16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80,6</w:t>
            </w:r>
          </w:p>
        </w:tc>
        <w:tc>
          <w:tcPr>
            <w:tcW w:w="179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4CFB8F9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91,2</w:t>
            </w:r>
          </w:p>
        </w:tc>
        <w:tc>
          <w:tcPr>
            <w:tcW w:w="166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69C1854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57,6</w:t>
            </w:r>
          </w:p>
        </w:tc>
        <w:tc>
          <w:tcPr>
            <w:tcW w:w="164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4021D4D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8 115,6</w:t>
            </w:r>
          </w:p>
        </w:tc>
        <w:tc>
          <w:tcPr>
            <w:tcW w:w="163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6CEE5DB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126 277</w:t>
            </w:r>
          </w:p>
        </w:tc>
      </w:tr>
      <w:tr w:rsidR="00B83214" w:rsidRPr="006A6CE2" w14:paraId="672AE413"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BF350D1"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2020</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070369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80,7</w:t>
            </w:r>
          </w:p>
        </w:tc>
        <w:tc>
          <w:tcPr>
            <w:tcW w:w="179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6BEB48C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91,2</w:t>
            </w:r>
          </w:p>
        </w:tc>
        <w:tc>
          <w:tcPr>
            <w:tcW w:w="166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3C54A34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58,1</w:t>
            </w:r>
          </w:p>
        </w:tc>
        <w:tc>
          <w:tcPr>
            <w:tcW w:w="164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1609F3F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8 198,1</w:t>
            </w:r>
          </w:p>
        </w:tc>
        <w:tc>
          <w:tcPr>
            <w:tcW w:w="163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16E1955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128 816</w:t>
            </w:r>
          </w:p>
        </w:tc>
      </w:tr>
      <w:tr w:rsidR="00B83214" w:rsidRPr="006A6CE2" w14:paraId="6E06A137"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37C92F4"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2021</w:t>
            </w:r>
          </w:p>
        </w:tc>
        <w:tc>
          <w:tcPr>
            <w:tcW w:w="1732"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0D1E839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c>
          <w:tcPr>
            <w:tcW w:w="1793"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66AC0A4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c>
          <w:tcPr>
            <w:tcW w:w="1661"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71143E3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c>
          <w:tcPr>
            <w:tcW w:w="164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30A44CD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c>
          <w:tcPr>
            <w:tcW w:w="163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2A2524E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r>
    </w:tbl>
    <w:p w14:paraId="0F63A442" w14:textId="407B357F" w:rsidR="00B83214" w:rsidRPr="006A6CE2" w:rsidRDefault="00B83214" w:rsidP="00B83214">
      <w:pPr>
        <w:rPr>
          <w:szCs w:val="24"/>
        </w:rPr>
      </w:pPr>
      <w:r w:rsidRPr="006A6CE2">
        <w:rPr>
          <w:szCs w:val="24"/>
        </w:rPr>
        <w:t xml:space="preserve">Źródło: Bank Danych Lokalnych, </w:t>
      </w:r>
      <w:hyperlink r:id="rId44" w:history="1">
        <w:r w:rsidRPr="006A6CE2">
          <w:rPr>
            <w:color w:val="6B9F25" w:themeColor="hyperlink"/>
            <w:szCs w:val="24"/>
            <w:u w:val="single"/>
          </w:rPr>
          <w:t>www.bdl.stat.gov.pl</w:t>
        </w:r>
      </w:hyperlink>
      <w:r w:rsidRPr="006A6CE2">
        <w:rPr>
          <w:szCs w:val="24"/>
        </w:rPr>
        <w:t xml:space="preserve">; </w:t>
      </w:r>
      <w:r w:rsidR="009474C8">
        <w:rPr>
          <w:szCs w:val="24"/>
        </w:rPr>
        <w:t>(</w:t>
      </w:r>
      <w:r w:rsidRPr="006A6CE2">
        <w:rPr>
          <w:szCs w:val="24"/>
        </w:rPr>
        <w:t>dostęp z dn. 01.05.2022</w:t>
      </w:r>
      <w:r w:rsidR="009474C8">
        <w:rPr>
          <w:szCs w:val="24"/>
        </w:rPr>
        <w:t>)</w:t>
      </w:r>
    </w:p>
    <w:p w14:paraId="7CA13364" w14:textId="444B59D4" w:rsidR="00B83214" w:rsidRPr="006A6CE2" w:rsidRDefault="00B83214" w:rsidP="00B83214">
      <w:pPr>
        <w:rPr>
          <w:rFonts w:cs="Times New Roman"/>
          <w:szCs w:val="24"/>
        </w:rPr>
      </w:pPr>
      <w:r w:rsidRPr="006A6CE2">
        <w:rPr>
          <w:rFonts w:cs="Times New Roman"/>
          <w:szCs w:val="24"/>
        </w:rPr>
        <w:t>W 2020 roku w województwie zachodniopomorskim udział ludności korzystającej z oczyszczalni ścieków wynosił 83,4%. Jest to wartość wyższa od średniej Polski (74,8% w 2020 roku). Systematycznie wzrasta również udział ludności korzystając</w:t>
      </w:r>
      <w:r w:rsidR="00A628D2">
        <w:rPr>
          <w:rFonts w:cs="Times New Roman"/>
          <w:szCs w:val="24"/>
        </w:rPr>
        <w:t>ej</w:t>
      </w:r>
      <w:r w:rsidRPr="006A6CE2">
        <w:rPr>
          <w:rFonts w:cs="Times New Roman"/>
          <w:szCs w:val="24"/>
        </w:rPr>
        <w:t xml:space="preserve"> z oczyszczalni ścieków z podwyższonym usuwaniem biogenów. Na przestrzeni lat 2015-2020 wartość ta wzrosła z 69,2% do 72,7%. Dane dotyczące oczyszczalni ścieków i ich użytkowania w województwie zachodniopomorskim przedstawiono w tabeli poniżej (</w:t>
      </w:r>
      <w:r w:rsidRPr="006A6CE2">
        <w:rPr>
          <w:rFonts w:cs="Times New Roman"/>
          <w:szCs w:val="24"/>
        </w:rPr>
        <w:fldChar w:fldCharType="begin"/>
      </w:r>
      <w:r w:rsidRPr="006A6CE2">
        <w:rPr>
          <w:rFonts w:cs="Times New Roman"/>
          <w:szCs w:val="24"/>
        </w:rPr>
        <w:instrText xml:space="preserve"> REF _Ref102377997 \h  \* MERGEFORMAT </w:instrText>
      </w:r>
      <w:r w:rsidRPr="006A6CE2">
        <w:rPr>
          <w:rFonts w:cs="Times New Roman"/>
          <w:szCs w:val="24"/>
        </w:rPr>
      </w:r>
      <w:r w:rsidRPr="006A6CE2">
        <w:rPr>
          <w:rFonts w:cs="Times New Roman"/>
          <w:szCs w:val="24"/>
        </w:rPr>
        <w:fldChar w:fldCharType="separate"/>
      </w:r>
      <w:r w:rsidR="002B5007" w:rsidRPr="002B5007">
        <w:rPr>
          <w:szCs w:val="24"/>
        </w:rPr>
        <w:t xml:space="preserve">Tabela </w:t>
      </w:r>
      <w:r w:rsidR="002B5007" w:rsidRPr="002B5007">
        <w:rPr>
          <w:noProof/>
          <w:szCs w:val="24"/>
        </w:rPr>
        <w:t>15</w:t>
      </w:r>
      <w:r w:rsidRPr="006A6CE2">
        <w:rPr>
          <w:rFonts w:cs="Times New Roman"/>
          <w:szCs w:val="24"/>
        </w:rPr>
        <w:fldChar w:fldCharType="end"/>
      </w:r>
      <w:r w:rsidRPr="006A6CE2">
        <w:rPr>
          <w:rFonts w:cs="Times New Roman"/>
          <w:szCs w:val="24"/>
        </w:rPr>
        <w:t>).</w:t>
      </w:r>
    </w:p>
    <w:p w14:paraId="4F3D851A" w14:textId="77777777" w:rsidR="00B83214" w:rsidRPr="006A6CE2" w:rsidRDefault="00B83214" w:rsidP="00B83214">
      <w:pPr>
        <w:pStyle w:val="Podpispodrysunkiem"/>
      </w:pPr>
      <w:bookmarkStart w:id="176" w:name="_Ref102377997"/>
      <w:bookmarkStart w:id="177" w:name="_Toc102741409"/>
      <w:bookmarkStart w:id="178" w:name="_Toc104790085"/>
      <w:r w:rsidRPr="006A6CE2">
        <w:t xml:space="preserve">Tabela </w:t>
      </w:r>
      <w:r>
        <w:fldChar w:fldCharType="begin"/>
      </w:r>
      <w:r>
        <w:instrText>SEQ Tabela \* ARABIC</w:instrText>
      </w:r>
      <w:r>
        <w:fldChar w:fldCharType="separate"/>
      </w:r>
      <w:r w:rsidR="002B5007">
        <w:rPr>
          <w:noProof/>
        </w:rPr>
        <w:t>15</w:t>
      </w:r>
      <w:r>
        <w:fldChar w:fldCharType="end"/>
      </w:r>
      <w:bookmarkEnd w:id="176"/>
      <w:r w:rsidRPr="006A6CE2">
        <w:t xml:space="preserve"> Dane dotyczące oczyszczalni ścieków i ich użytkowania</w:t>
      </w:r>
      <w:bookmarkEnd w:id="177"/>
      <w:bookmarkEnd w:id="178"/>
    </w:p>
    <w:tbl>
      <w:tblPr>
        <w:tblStyle w:val="Tabelasiatki1jasnaakcent11"/>
        <w:tblW w:w="9234" w:type="dxa"/>
        <w:jc w:val="center"/>
        <w:tblLook w:val="04A0" w:firstRow="1" w:lastRow="0" w:firstColumn="1" w:lastColumn="0" w:noHBand="0" w:noVBand="1"/>
      </w:tblPr>
      <w:tblGrid>
        <w:gridCol w:w="817"/>
        <w:gridCol w:w="2410"/>
        <w:gridCol w:w="2329"/>
        <w:gridCol w:w="1898"/>
        <w:gridCol w:w="1780"/>
      </w:tblGrid>
      <w:tr w:rsidR="00B83214" w:rsidRPr="006A6CE2" w14:paraId="320F23C6" w14:textId="77777777" w:rsidTr="00B8321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hideMark/>
          </w:tcPr>
          <w:p w14:paraId="0628275E" w14:textId="77777777" w:rsidR="00B83214" w:rsidRPr="006A6CE2" w:rsidRDefault="00B83214" w:rsidP="00B83214">
            <w:pPr>
              <w:spacing w:before="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Rok</w:t>
            </w:r>
          </w:p>
        </w:tc>
        <w:tc>
          <w:tcPr>
            <w:tcW w:w="2410" w:type="dxa"/>
            <w:tcBorders>
              <w:top w:val="single" w:sz="4" w:space="0" w:color="B7DFA8" w:themeColor="accent1" w:themeTint="66"/>
              <w:left w:val="single" w:sz="4" w:space="0" w:color="B7DFA8" w:themeColor="accent1" w:themeTint="66"/>
              <w:right w:val="single" w:sz="4" w:space="0" w:color="B7DFA8" w:themeColor="accent1" w:themeTint="66"/>
            </w:tcBorders>
            <w:noWrap/>
          </w:tcPr>
          <w:p w14:paraId="4D7AEA5C"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Ludność korzystająca z oczyszczalni ścieków w % ogólnej liczby ludności</w:t>
            </w:r>
          </w:p>
        </w:tc>
        <w:tc>
          <w:tcPr>
            <w:tcW w:w="2329" w:type="dxa"/>
            <w:tcBorders>
              <w:top w:val="single" w:sz="4" w:space="0" w:color="B7DFA8" w:themeColor="accent1" w:themeTint="66"/>
              <w:left w:val="single" w:sz="4" w:space="0" w:color="B7DFA8" w:themeColor="accent1" w:themeTint="66"/>
              <w:right w:val="single" w:sz="4" w:space="0" w:color="B7DFA8" w:themeColor="accent1" w:themeTint="66"/>
            </w:tcBorders>
          </w:tcPr>
          <w:p w14:paraId="7F7DA183"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Ludność korzystająca z oczyszczalni z podwyższonym usuwaniem biogenów w % ludności</w:t>
            </w:r>
          </w:p>
        </w:tc>
        <w:tc>
          <w:tcPr>
            <w:tcW w:w="1898" w:type="dxa"/>
            <w:tcBorders>
              <w:top w:val="single" w:sz="4" w:space="0" w:color="B7DFA8" w:themeColor="accent1" w:themeTint="66"/>
              <w:left w:val="single" w:sz="4" w:space="0" w:color="B7DFA8" w:themeColor="accent1" w:themeTint="66"/>
              <w:right w:val="single" w:sz="4" w:space="0" w:color="B7DFA8" w:themeColor="accent1" w:themeTint="66"/>
            </w:tcBorders>
          </w:tcPr>
          <w:p w14:paraId="11AA137B"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Oczyszczalnie ścieków z podwyższonym usuwaniem biogenów (ogółem)</w:t>
            </w:r>
          </w:p>
        </w:tc>
        <w:tc>
          <w:tcPr>
            <w:tcW w:w="1780" w:type="dxa"/>
            <w:tcBorders>
              <w:top w:val="single" w:sz="4" w:space="0" w:color="B7DFA8" w:themeColor="accent1" w:themeTint="66"/>
              <w:left w:val="single" w:sz="4" w:space="0" w:color="B7DFA8" w:themeColor="accent1" w:themeTint="66"/>
              <w:right w:val="single" w:sz="4" w:space="0" w:color="B7DFA8" w:themeColor="accent1" w:themeTint="66"/>
            </w:tcBorders>
          </w:tcPr>
          <w:p w14:paraId="44BA16F2"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Ścieki oczyszczane w ciągu roku odprowadzone ogółem</w:t>
            </w:r>
          </w:p>
        </w:tc>
      </w:tr>
      <w:tr w:rsidR="00B83214" w:rsidRPr="006A6CE2" w14:paraId="7ECADE9E"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09DC1EF3"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w:t>
            </w:r>
          </w:p>
        </w:tc>
        <w:tc>
          <w:tcPr>
            <w:tcW w:w="2410"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5C9C16B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 ]</w:t>
            </w:r>
          </w:p>
        </w:tc>
        <w:tc>
          <w:tcPr>
            <w:tcW w:w="2329" w:type="dxa"/>
            <w:tcBorders>
              <w:top w:val="single" w:sz="4" w:space="0" w:color="B7DFA8" w:themeColor="accent1" w:themeTint="66"/>
              <w:left w:val="single" w:sz="4" w:space="0" w:color="B7DFA8" w:themeColor="accent1" w:themeTint="66"/>
              <w:right w:val="single" w:sz="4" w:space="0" w:color="B7DFA8" w:themeColor="accent1" w:themeTint="66"/>
            </w:tcBorders>
          </w:tcPr>
          <w:p w14:paraId="6B20141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 ]</w:t>
            </w:r>
          </w:p>
        </w:tc>
        <w:tc>
          <w:tcPr>
            <w:tcW w:w="1898" w:type="dxa"/>
            <w:tcBorders>
              <w:top w:val="single" w:sz="4" w:space="0" w:color="B7DFA8" w:themeColor="accent1" w:themeTint="66"/>
              <w:left w:val="single" w:sz="4" w:space="0" w:color="B7DFA8" w:themeColor="accent1" w:themeTint="66"/>
              <w:right w:val="single" w:sz="4" w:space="0" w:color="B7DFA8" w:themeColor="accent1" w:themeTint="66"/>
            </w:tcBorders>
          </w:tcPr>
          <w:p w14:paraId="48AEA2B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szt. ]</w:t>
            </w:r>
          </w:p>
        </w:tc>
        <w:tc>
          <w:tcPr>
            <w:tcW w:w="1780" w:type="dxa"/>
            <w:tcBorders>
              <w:top w:val="single" w:sz="4" w:space="0" w:color="B7DFA8" w:themeColor="accent1" w:themeTint="66"/>
              <w:left w:val="single" w:sz="4" w:space="0" w:color="B7DFA8" w:themeColor="accent1" w:themeTint="66"/>
              <w:right w:val="single" w:sz="4" w:space="0" w:color="B7DFA8" w:themeColor="accent1" w:themeTint="66"/>
            </w:tcBorders>
          </w:tcPr>
          <w:p w14:paraId="6EA659A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 dam</w:t>
            </w:r>
            <w:r w:rsidRPr="006A6CE2">
              <w:rPr>
                <w:rFonts w:ascii="Calibri" w:eastAsia="Times New Roman" w:hAnsi="Calibri" w:cs="Calibri"/>
                <w:bCs/>
                <w:color w:val="000000"/>
                <w:szCs w:val="24"/>
                <w:vertAlign w:val="superscript"/>
                <w:lang w:eastAsia="pl-PL"/>
              </w:rPr>
              <w:t>3</w:t>
            </w:r>
            <w:r w:rsidRPr="006A6CE2">
              <w:rPr>
                <w:rFonts w:ascii="Calibri" w:eastAsia="Times New Roman" w:hAnsi="Calibri" w:cs="Calibri"/>
                <w:bCs/>
                <w:color w:val="000000"/>
                <w:szCs w:val="24"/>
                <w:lang w:eastAsia="pl-PL"/>
              </w:rPr>
              <w:t xml:space="preserve"> ]</w:t>
            </w:r>
          </w:p>
        </w:tc>
      </w:tr>
      <w:tr w:rsidR="00B83214" w:rsidRPr="006A6CE2" w14:paraId="6628D5EB"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7CB4A03"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2015</w:t>
            </w:r>
          </w:p>
        </w:tc>
        <w:tc>
          <w:tcPr>
            <w:tcW w:w="24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CE31D3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83,7</w:t>
            </w:r>
          </w:p>
        </w:tc>
        <w:tc>
          <w:tcPr>
            <w:tcW w:w="23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0FE5D0A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69,2</w:t>
            </w:r>
          </w:p>
        </w:tc>
        <w:tc>
          <w:tcPr>
            <w:tcW w:w="189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7E827D8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69</w:t>
            </w:r>
          </w:p>
        </w:tc>
        <w:tc>
          <w:tcPr>
            <w:tcW w:w="178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6F17266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117 003,1</w:t>
            </w:r>
          </w:p>
        </w:tc>
      </w:tr>
      <w:tr w:rsidR="00B83214" w:rsidRPr="006A6CE2" w14:paraId="3FBDA9E9"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7A3817F"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2016</w:t>
            </w:r>
          </w:p>
        </w:tc>
        <w:tc>
          <w:tcPr>
            <w:tcW w:w="24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6ABB8E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84,0</w:t>
            </w:r>
          </w:p>
        </w:tc>
        <w:tc>
          <w:tcPr>
            <w:tcW w:w="23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64E178F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70,1</w:t>
            </w:r>
          </w:p>
        </w:tc>
        <w:tc>
          <w:tcPr>
            <w:tcW w:w="189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38EA900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70</w:t>
            </w:r>
          </w:p>
        </w:tc>
        <w:tc>
          <w:tcPr>
            <w:tcW w:w="178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19A3E61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114 527,2</w:t>
            </w:r>
          </w:p>
        </w:tc>
      </w:tr>
      <w:tr w:rsidR="00B83214" w:rsidRPr="006A6CE2" w14:paraId="328CC3E1"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A2C2F07"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2017</w:t>
            </w:r>
          </w:p>
        </w:tc>
        <w:tc>
          <w:tcPr>
            <w:tcW w:w="24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C15022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81,4</w:t>
            </w:r>
          </w:p>
        </w:tc>
        <w:tc>
          <w:tcPr>
            <w:tcW w:w="23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0D00472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69,0</w:t>
            </w:r>
          </w:p>
        </w:tc>
        <w:tc>
          <w:tcPr>
            <w:tcW w:w="189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5EB61A0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69</w:t>
            </w:r>
          </w:p>
        </w:tc>
        <w:tc>
          <w:tcPr>
            <w:tcW w:w="178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0B11523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113 667,9</w:t>
            </w:r>
          </w:p>
        </w:tc>
      </w:tr>
      <w:tr w:rsidR="00B83214" w:rsidRPr="006A6CE2" w14:paraId="62E69183"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D4360C9"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2018</w:t>
            </w:r>
          </w:p>
        </w:tc>
        <w:tc>
          <w:tcPr>
            <w:tcW w:w="24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CE4D4E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83,1</w:t>
            </w:r>
          </w:p>
        </w:tc>
        <w:tc>
          <w:tcPr>
            <w:tcW w:w="23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71C7E87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70,7</w:t>
            </w:r>
          </w:p>
        </w:tc>
        <w:tc>
          <w:tcPr>
            <w:tcW w:w="189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1D2D517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70</w:t>
            </w:r>
          </w:p>
        </w:tc>
        <w:tc>
          <w:tcPr>
            <w:tcW w:w="178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6E9B9D1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112 212,0</w:t>
            </w:r>
          </w:p>
        </w:tc>
      </w:tr>
      <w:tr w:rsidR="00B83214" w:rsidRPr="006A6CE2" w14:paraId="1CC43678"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26928BB"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2019</w:t>
            </w:r>
          </w:p>
        </w:tc>
        <w:tc>
          <w:tcPr>
            <w:tcW w:w="24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574C551D"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83,0</w:t>
            </w:r>
          </w:p>
        </w:tc>
        <w:tc>
          <w:tcPr>
            <w:tcW w:w="23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266A28C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71,3</w:t>
            </w:r>
          </w:p>
        </w:tc>
        <w:tc>
          <w:tcPr>
            <w:tcW w:w="189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51AC368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73</w:t>
            </w:r>
          </w:p>
        </w:tc>
        <w:tc>
          <w:tcPr>
            <w:tcW w:w="178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56B5EFF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108 513,0</w:t>
            </w:r>
          </w:p>
        </w:tc>
      </w:tr>
      <w:tr w:rsidR="00B83214" w:rsidRPr="006A6CE2" w14:paraId="38193A85"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2E6A5B9B"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2020</w:t>
            </w:r>
          </w:p>
        </w:tc>
        <w:tc>
          <w:tcPr>
            <w:tcW w:w="24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149241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83,4</w:t>
            </w:r>
          </w:p>
        </w:tc>
        <w:tc>
          <w:tcPr>
            <w:tcW w:w="23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2DFB98C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72,7</w:t>
            </w:r>
          </w:p>
        </w:tc>
        <w:tc>
          <w:tcPr>
            <w:tcW w:w="189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2821944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74</w:t>
            </w:r>
          </w:p>
        </w:tc>
        <w:tc>
          <w:tcPr>
            <w:tcW w:w="178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2B42ADFB"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109 164,0</w:t>
            </w:r>
          </w:p>
        </w:tc>
      </w:tr>
      <w:tr w:rsidR="00B83214" w:rsidRPr="006A6CE2" w14:paraId="162B4C81"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817"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AE6CCF8"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2021</w:t>
            </w:r>
          </w:p>
        </w:tc>
        <w:tc>
          <w:tcPr>
            <w:tcW w:w="241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35218F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c>
          <w:tcPr>
            <w:tcW w:w="232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3F94918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c>
          <w:tcPr>
            <w:tcW w:w="1898"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419F9AB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c>
          <w:tcPr>
            <w:tcW w:w="1780"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22FE706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r>
    </w:tbl>
    <w:p w14:paraId="1622BAF8" w14:textId="52330C31" w:rsidR="00B83214" w:rsidRPr="006A6CE2" w:rsidRDefault="00B83214" w:rsidP="00B83214">
      <w:pPr>
        <w:rPr>
          <w:szCs w:val="24"/>
        </w:rPr>
      </w:pPr>
      <w:r w:rsidRPr="006A6CE2">
        <w:rPr>
          <w:szCs w:val="24"/>
        </w:rPr>
        <w:t xml:space="preserve">Źródło: Bank Danych Lokalnych, </w:t>
      </w:r>
      <w:hyperlink r:id="rId45" w:history="1">
        <w:r w:rsidRPr="006A6CE2">
          <w:rPr>
            <w:color w:val="6B9F25" w:themeColor="hyperlink"/>
            <w:szCs w:val="24"/>
            <w:u w:val="single"/>
          </w:rPr>
          <w:t>www.bdl.stat.gov.pl</w:t>
        </w:r>
      </w:hyperlink>
      <w:r w:rsidRPr="006A6CE2">
        <w:rPr>
          <w:szCs w:val="24"/>
        </w:rPr>
        <w:t xml:space="preserve">; </w:t>
      </w:r>
      <w:r>
        <w:rPr>
          <w:szCs w:val="24"/>
        </w:rPr>
        <w:t>(</w:t>
      </w:r>
      <w:r w:rsidRPr="006A6CE2">
        <w:rPr>
          <w:szCs w:val="24"/>
        </w:rPr>
        <w:t>dostęp z dn.</w:t>
      </w:r>
      <w:r>
        <w:rPr>
          <w:szCs w:val="24"/>
        </w:rPr>
        <w:t>:</w:t>
      </w:r>
      <w:r w:rsidRPr="006A6CE2">
        <w:rPr>
          <w:szCs w:val="24"/>
        </w:rPr>
        <w:t xml:space="preserve"> 01.05.2022</w:t>
      </w:r>
      <w:r>
        <w:rPr>
          <w:szCs w:val="24"/>
        </w:rPr>
        <w:t>)</w:t>
      </w:r>
    </w:p>
    <w:p w14:paraId="4D6B8838" w14:textId="0B678F5E" w:rsidR="00B83214" w:rsidRPr="006A6CE2" w:rsidRDefault="00B83214" w:rsidP="00B83214">
      <w:pPr>
        <w:rPr>
          <w:rFonts w:cs="Times New Roman"/>
          <w:szCs w:val="24"/>
        </w:rPr>
      </w:pPr>
      <w:r w:rsidRPr="006A6CE2">
        <w:rPr>
          <w:rFonts w:cs="Times New Roman"/>
          <w:szCs w:val="24"/>
        </w:rPr>
        <w:t>Wzrost udziału ludności korzystającej z oczyszczalni ścieków z podwyższonym usuwaniem biogenów wynikał z prawdopodobnie ze wzrostu liczby w/w oczyszczalni ścieków. Przykładowo, w 2015 roku liczba oczyszczalni ścieków z podwyższonym usuwaniem biogenów wynosiła 69 szt., natomiast w 2020 roku 74 szt. Wzrost liczby w/w oczyszczalni wynikał z konieczności dostosowania tych obiektów do standardów środowiskowych lub innych norm jakości.</w:t>
      </w:r>
    </w:p>
    <w:p w14:paraId="3155BB2A" w14:textId="3F8437F0" w:rsidR="00B83214" w:rsidRPr="006A6CE2" w:rsidRDefault="00B83214" w:rsidP="00B83214">
      <w:pPr>
        <w:rPr>
          <w:rFonts w:cs="Times New Roman"/>
          <w:szCs w:val="24"/>
        </w:rPr>
      </w:pPr>
      <w:r w:rsidRPr="006A6CE2">
        <w:rPr>
          <w:rFonts w:cs="Times New Roman"/>
          <w:szCs w:val="24"/>
        </w:rPr>
        <w:t>Ścieki komunalne w 2020 roku były oczyszczane głównie (68,8%) w oczyszczalniach typu biologicznego (</w:t>
      </w:r>
      <w:r w:rsidRPr="006A6CE2">
        <w:rPr>
          <w:rFonts w:cs="Times New Roman"/>
          <w:szCs w:val="24"/>
        </w:rPr>
        <w:fldChar w:fldCharType="begin"/>
      </w:r>
      <w:r w:rsidRPr="006A6CE2">
        <w:rPr>
          <w:rFonts w:cs="Times New Roman"/>
          <w:szCs w:val="24"/>
        </w:rPr>
        <w:instrText xml:space="preserve"> REF _Ref102379357 \h  \* MERGEFORMAT </w:instrText>
      </w:r>
      <w:r w:rsidRPr="006A6CE2">
        <w:rPr>
          <w:rFonts w:cs="Times New Roman"/>
          <w:szCs w:val="24"/>
        </w:rPr>
      </w:r>
      <w:r w:rsidRPr="006A6CE2">
        <w:rPr>
          <w:rFonts w:cs="Times New Roman"/>
          <w:szCs w:val="24"/>
        </w:rPr>
        <w:fldChar w:fldCharType="separate"/>
      </w:r>
      <w:r w:rsidR="002B5007" w:rsidRPr="002B5007">
        <w:rPr>
          <w:szCs w:val="24"/>
        </w:rPr>
        <w:t xml:space="preserve">Rysunek </w:t>
      </w:r>
      <w:r w:rsidR="002B5007" w:rsidRPr="002B5007">
        <w:rPr>
          <w:noProof/>
          <w:szCs w:val="24"/>
        </w:rPr>
        <w:t>16</w:t>
      </w:r>
      <w:r w:rsidRPr="006A6CE2">
        <w:rPr>
          <w:rFonts w:cs="Times New Roman"/>
          <w:szCs w:val="24"/>
        </w:rPr>
        <w:fldChar w:fldCharType="end"/>
      </w:r>
      <w:r w:rsidRPr="006A6CE2">
        <w:rPr>
          <w:rFonts w:cs="Times New Roman"/>
          <w:szCs w:val="24"/>
        </w:rPr>
        <w:t>). Pozostałą część stanowiły oczyszczalnie komunalne z podwyższonym usuwaniem biogenów (28,4%, tj. 71 szt.) oraz typu mechanicznego (2,8%, tj. 7 szt.).</w:t>
      </w:r>
    </w:p>
    <w:p w14:paraId="40FA0689" w14:textId="77777777" w:rsidR="00B83214" w:rsidRPr="006A6CE2" w:rsidRDefault="00B83214" w:rsidP="00B83214">
      <w:pPr>
        <w:rPr>
          <w:rFonts w:cstheme="minorHAnsi"/>
          <w:szCs w:val="24"/>
        </w:rPr>
      </w:pPr>
      <w:r w:rsidRPr="006A6CE2">
        <w:rPr>
          <w:rFonts w:cstheme="minorHAnsi"/>
          <w:noProof/>
          <w:szCs w:val="24"/>
          <w:lang w:eastAsia="pl-PL"/>
        </w:rPr>
        <w:drawing>
          <wp:inline distT="0" distB="0" distL="0" distR="0" wp14:anchorId="268C0370" wp14:editId="646CA48B">
            <wp:extent cx="5046453" cy="3145133"/>
            <wp:effectExtent l="0" t="0" r="1905"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60155" cy="3153673"/>
                    </a:xfrm>
                    <a:prstGeom prst="rect">
                      <a:avLst/>
                    </a:prstGeom>
                    <a:noFill/>
                    <a:ln>
                      <a:noFill/>
                    </a:ln>
                  </pic:spPr>
                </pic:pic>
              </a:graphicData>
            </a:graphic>
          </wp:inline>
        </w:drawing>
      </w:r>
    </w:p>
    <w:p w14:paraId="52D98C29" w14:textId="77777777" w:rsidR="00B83214" w:rsidRPr="006A6CE2" w:rsidRDefault="00B83214" w:rsidP="00B83214">
      <w:pPr>
        <w:pStyle w:val="Podpispodrysunkiem"/>
      </w:pPr>
      <w:bookmarkStart w:id="179" w:name="_Ref102379357"/>
      <w:bookmarkStart w:id="180" w:name="_Toc102741396"/>
      <w:bookmarkStart w:id="181" w:name="_Toc104790118"/>
      <w:r w:rsidRPr="006A6CE2">
        <w:t xml:space="preserve">Rysunek </w:t>
      </w:r>
      <w:r>
        <w:fldChar w:fldCharType="begin"/>
      </w:r>
      <w:r>
        <w:instrText>SEQ Rysunek \* ARABIC</w:instrText>
      </w:r>
      <w:r>
        <w:fldChar w:fldCharType="separate"/>
      </w:r>
      <w:r w:rsidR="002B5007">
        <w:rPr>
          <w:noProof/>
        </w:rPr>
        <w:t>16</w:t>
      </w:r>
      <w:r>
        <w:fldChar w:fldCharType="end"/>
      </w:r>
      <w:bookmarkEnd w:id="179"/>
      <w:r w:rsidRPr="006A6CE2">
        <w:t xml:space="preserve"> Liczba komunalnych oczyszczalni ścieków w podziale na charakter oczyszczania</w:t>
      </w:r>
      <w:bookmarkEnd w:id="180"/>
      <w:bookmarkEnd w:id="181"/>
    </w:p>
    <w:p w14:paraId="7EE2EB4A" w14:textId="1EF3BB47" w:rsidR="00B83214" w:rsidRPr="006A6CE2" w:rsidRDefault="00B83214" w:rsidP="00B83214">
      <w:pPr>
        <w:pStyle w:val="rdo"/>
      </w:pPr>
      <w:r w:rsidRPr="006A6CE2">
        <w:t xml:space="preserve">Źródło: Bank Danych Lokalnych, </w:t>
      </w:r>
      <w:hyperlink r:id="rId47" w:history="1">
        <w:r w:rsidRPr="006A6CE2">
          <w:rPr>
            <w:color w:val="6B9F25" w:themeColor="hyperlink"/>
            <w:u w:val="single"/>
          </w:rPr>
          <w:t>www.bdl.stat.gov.pl</w:t>
        </w:r>
      </w:hyperlink>
      <w:r w:rsidRPr="006A6CE2">
        <w:t xml:space="preserve">; </w:t>
      </w:r>
      <w:r>
        <w:t>(</w:t>
      </w:r>
      <w:r w:rsidRPr="006A6CE2">
        <w:t>dostęp z dn.</w:t>
      </w:r>
      <w:r w:rsidR="009474C8">
        <w:t>:</w:t>
      </w:r>
      <w:r w:rsidRPr="006A6CE2">
        <w:t xml:space="preserve"> 01.05.2022</w:t>
      </w:r>
      <w:r>
        <w:t>)</w:t>
      </w:r>
    </w:p>
    <w:p w14:paraId="62697363" w14:textId="4161E162" w:rsidR="00B83214" w:rsidRDefault="00B83214" w:rsidP="00B83214">
      <w:pPr>
        <w:rPr>
          <w:rFonts w:cs="Times New Roman"/>
          <w:szCs w:val="24"/>
        </w:rPr>
      </w:pPr>
      <w:r w:rsidRPr="006A6CE2">
        <w:rPr>
          <w:rFonts w:cs="Times New Roman"/>
          <w:szCs w:val="24"/>
        </w:rPr>
        <w:t>W okresie 2015-2020 odnotowano zmniejszenie ilości ścieków przemysłowych odprowadzanych ogółem o blisko 40% (</w:t>
      </w:r>
      <w:r w:rsidRPr="006A6CE2">
        <w:rPr>
          <w:rFonts w:cs="Times New Roman"/>
          <w:szCs w:val="24"/>
        </w:rPr>
        <w:fldChar w:fldCharType="begin"/>
      </w:r>
      <w:r w:rsidRPr="006A6CE2">
        <w:rPr>
          <w:rFonts w:cs="Times New Roman"/>
          <w:szCs w:val="24"/>
        </w:rPr>
        <w:instrText xml:space="preserve"> REF _Ref102380159 \h  \* MERGEFORMAT </w:instrText>
      </w:r>
      <w:r w:rsidRPr="006A6CE2">
        <w:rPr>
          <w:rFonts w:cs="Times New Roman"/>
          <w:szCs w:val="24"/>
        </w:rPr>
      </w:r>
      <w:r w:rsidRPr="006A6CE2">
        <w:rPr>
          <w:rFonts w:cs="Times New Roman"/>
          <w:szCs w:val="24"/>
        </w:rPr>
        <w:fldChar w:fldCharType="separate"/>
      </w:r>
      <w:r w:rsidR="002B5007" w:rsidRPr="002B5007">
        <w:rPr>
          <w:szCs w:val="24"/>
        </w:rPr>
        <w:t xml:space="preserve">Tabela </w:t>
      </w:r>
      <w:r w:rsidR="002B5007" w:rsidRPr="002B5007">
        <w:rPr>
          <w:noProof/>
          <w:szCs w:val="24"/>
        </w:rPr>
        <w:t>16</w:t>
      </w:r>
      <w:r w:rsidRPr="006A6CE2">
        <w:rPr>
          <w:rFonts w:cs="Times New Roman"/>
          <w:szCs w:val="24"/>
        </w:rPr>
        <w:fldChar w:fldCharType="end"/>
      </w:r>
      <w:r w:rsidRPr="006A6CE2">
        <w:rPr>
          <w:rFonts w:cs="Times New Roman"/>
          <w:szCs w:val="24"/>
        </w:rPr>
        <w:t>). W 2020 roku odprowadzano ogółem 876 863 dam</w:t>
      </w:r>
      <w:r w:rsidRPr="006A6CE2">
        <w:rPr>
          <w:rFonts w:cs="Times New Roman"/>
          <w:szCs w:val="24"/>
          <w:vertAlign w:val="superscript"/>
        </w:rPr>
        <w:t>3</w:t>
      </w:r>
      <w:r w:rsidRPr="006A6CE2">
        <w:rPr>
          <w:rFonts w:cs="Times New Roman"/>
          <w:szCs w:val="24"/>
        </w:rPr>
        <w:t xml:space="preserve"> ścieków przemysłowych. Nadal stwierdza się ścieki przemysłowe nieoczyszczane, jednak ich ilość zmniejsza się. Przykładowo, w 2016 roku ilość ścieków przemysłowych nieoczyszczanych wynosiła 1 570 dam</w:t>
      </w:r>
      <w:r w:rsidRPr="006A6CE2">
        <w:rPr>
          <w:rFonts w:cs="Times New Roman"/>
          <w:szCs w:val="24"/>
          <w:vertAlign w:val="superscript"/>
        </w:rPr>
        <w:t>3</w:t>
      </w:r>
      <w:r w:rsidRPr="006A6CE2">
        <w:rPr>
          <w:rFonts w:cs="Times New Roman"/>
          <w:szCs w:val="24"/>
        </w:rPr>
        <w:t>, natomiast w 2020 roku już tylko 361 dam</w:t>
      </w:r>
      <w:r w:rsidRPr="006A6CE2">
        <w:rPr>
          <w:rFonts w:cs="Times New Roman"/>
          <w:szCs w:val="24"/>
          <w:vertAlign w:val="superscript"/>
        </w:rPr>
        <w:t>3</w:t>
      </w:r>
      <w:r w:rsidRPr="006A6CE2">
        <w:rPr>
          <w:rFonts w:cs="Times New Roman"/>
          <w:szCs w:val="24"/>
        </w:rPr>
        <w:t>. Na uwagę zasługuje wzrost ilości ścieków przemysłowych wykorzystanych ponownie. Chociaż ilość ta w 2020 roku była około 2-krotnie niższa w porównaniu do 2017 roku, to obserwuje się wzrost ponownego wykorzystania w/w ścieków, na przykład w stosunku do 2015 roku.</w:t>
      </w:r>
    </w:p>
    <w:p w14:paraId="027C8066" w14:textId="77777777" w:rsidR="00B83214" w:rsidRPr="006A6CE2" w:rsidRDefault="00B83214" w:rsidP="00B83214">
      <w:pPr>
        <w:pStyle w:val="Podpispodrysunkiem"/>
      </w:pPr>
      <w:bookmarkStart w:id="182" w:name="_Ref102380159"/>
      <w:bookmarkStart w:id="183" w:name="_Toc102741410"/>
      <w:bookmarkStart w:id="184" w:name="_Toc104790086"/>
      <w:r w:rsidRPr="006A6CE2">
        <w:t xml:space="preserve">Tabela </w:t>
      </w:r>
      <w:r>
        <w:fldChar w:fldCharType="begin"/>
      </w:r>
      <w:r>
        <w:instrText>SEQ Tabela \* ARABIC</w:instrText>
      </w:r>
      <w:r>
        <w:fldChar w:fldCharType="separate"/>
      </w:r>
      <w:r w:rsidR="002B5007">
        <w:rPr>
          <w:noProof/>
        </w:rPr>
        <w:t>16</w:t>
      </w:r>
      <w:r>
        <w:fldChar w:fldCharType="end"/>
      </w:r>
      <w:bookmarkEnd w:id="182"/>
      <w:r>
        <w:t xml:space="preserve"> </w:t>
      </w:r>
      <w:r w:rsidRPr="006A6CE2">
        <w:t>Dane dotyczące sposobu oczyszczania i odprowadzania ścieków przemysłowych</w:t>
      </w:r>
      <w:bookmarkEnd w:id="183"/>
      <w:bookmarkEnd w:id="184"/>
    </w:p>
    <w:tbl>
      <w:tblPr>
        <w:tblStyle w:val="Tabelasiatki1jasnaakcent11"/>
        <w:tblW w:w="9288" w:type="dxa"/>
        <w:jc w:val="center"/>
        <w:tblLook w:val="04A0" w:firstRow="1" w:lastRow="0" w:firstColumn="1" w:lastColumn="0" w:noHBand="0" w:noVBand="1"/>
      </w:tblPr>
      <w:tblGrid>
        <w:gridCol w:w="704"/>
        <w:gridCol w:w="2126"/>
        <w:gridCol w:w="2544"/>
        <w:gridCol w:w="1719"/>
        <w:gridCol w:w="2195"/>
      </w:tblGrid>
      <w:tr w:rsidR="00B83214" w:rsidRPr="006A6CE2" w14:paraId="58B2AE46" w14:textId="77777777" w:rsidTr="00B8321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hideMark/>
          </w:tcPr>
          <w:p w14:paraId="7D567DF3" w14:textId="77777777" w:rsidR="00B83214" w:rsidRPr="006A6CE2" w:rsidRDefault="00B83214" w:rsidP="00B83214">
            <w:pPr>
              <w:spacing w:before="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Rok</w:t>
            </w:r>
          </w:p>
        </w:tc>
        <w:tc>
          <w:tcPr>
            <w:tcW w:w="2126" w:type="dxa"/>
            <w:tcBorders>
              <w:top w:val="single" w:sz="4" w:space="0" w:color="B7DFA8" w:themeColor="accent1" w:themeTint="66"/>
              <w:left w:val="single" w:sz="4" w:space="0" w:color="B7DFA8" w:themeColor="accent1" w:themeTint="66"/>
              <w:right w:val="single" w:sz="4" w:space="0" w:color="B7DFA8" w:themeColor="accent1" w:themeTint="66"/>
            </w:tcBorders>
            <w:noWrap/>
          </w:tcPr>
          <w:p w14:paraId="7A2ADC9F"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 xml:space="preserve">Ścieki przemysłowe odprowadzane ogółem </w:t>
            </w:r>
          </w:p>
        </w:tc>
        <w:tc>
          <w:tcPr>
            <w:tcW w:w="2544" w:type="dxa"/>
            <w:tcBorders>
              <w:top w:val="single" w:sz="4" w:space="0" w:color="B7DFA8" w:themeColor="accent1" w:themeTint="66"/>
              <w:left w:val="single" w:sz="4" w:space="0" w:color="B7DFA8" w:themeColor="accent1" w:themeTint="66"/>
              <w:right w:val="single" w:sz="4" w:space="0" w:color="B7DFA8" w:themeColor="accent1" w:themeTint="66"/>
            </w:tcBorders>
          </w:tcPr>
          <w:p w14:paraId="595EAE94"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 xml:space="preserve">Ścieki przemysłowe oczyszczane z podwyższonym usuwaniem biogenów </w:t>
            </w:r>
          </w:p>
        </w:tc>
        <w:tc>
          <w:tcPr>
            <w:tcW w:w="1719" w:type="dxa"/>
            <w:tcBorders>
              <w:top w:val="single" w:sz="4" w:space="0" w:color="B7DFA8" w:themeColor="accent1" w:themeTint="66"/>
              <w:left w:val="single" w:sz="4" w:space="0" w:color="B7DFA8" w:themeColor="accent1" w:themeTint="66"/>
              <w:right w:val="single" w:sz="4" w:space="0" w:color="B7DFA8" w:themeColor="accent1" w:themeTint="66"/>
            </w:tcBorders>
          </w:tcPr>
          <w:p w14:paraId="205C567C"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Ścieki przemysłowe nieoczyszczane</w:t>
            </w:r>
          </w:p>
        </w:tc>
        <w:tc>
          <w:tcPr>
            <w:tcW w:w="2195" w:type="dxa"/>
            <w:tcBorders>
              <w:top w:val="single" w:sz="4" w:space="0" w:color="B7DFA8" w:themeColor="accent1" w:themeTint="66"/>
              <w:left w:val="single" w:sz="4" w:space="0" w:color="B7DFA8" w:themeColor="accent1" w:themeTint="66"/>
              <w:right w:val="single" w:sz="4" w:space="0" w:color="B7DFA8" w:themeColor="accent1" w:themeTint="66"/>
            </w:tcBorders>
          </w:tcPr>
          <w:p w14:paraId="116E8A0C" w14:textId="77777777" w:rsidR="00B83214" w:rsidRPr="006A6CE2" w:rsidRDefault="00B83214" w:rsidP="00B83214">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Ścieki przemysłowe ponownie wykorzystane</w:t>
            </w:r>
          </w:p>
        </w:tc>
      </w:tr>
      <w:tr w:rsidR="00B83214" w:rsidRPr="006A6CE2" w14:paraId="64654FC8"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59D48AF2"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w:t>
            </w:r>
          </w:p>
        </w:tc>
        <w:tc>
          <w:tcPr>
            <w:tcW w:w="2126" w:type="dxa"/>
            <w:tcBorders>
              <w:top w:val="single" w:sz="4" w:space="0" w:color="B7DFA8" w:themeColor="accent1" w:themeTint="66"/>
              <w:left w:val="single" w:sz="4" w:space="0" w:color="B7DFA8" w:themeColor="accent1" w:themeTint="66"/>
              <w:right w:val="single" w:sz="4" w:space="0" w:color="B7DFA8" w:themeColor="accent1" w:themeTint="66"/>
            </w:tcBorders>
            <w:noWrap/>
            <w:vAlign w:val="center"/>
          </w:tcPr>
          <w:p w14:paraId="49E345B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color w:val="000000"/>
                <w:szCs w:val="24"/>
                <w:lang w:eastAsia="pl-PL"/>
              </w:rPr>
              <w:t>[ dam</w:t>
            </w:r>
            <w:r w:rsidRPr="006A6CE2">
              <w:rPr>
                <w:rFonts w:ascii="Calibri" w:eastAsia="Times New Roman" w:hAnsi="Calibri" w:cs="Calibri"/>
                <w:color w:val="000000"/>
                <w:szCs w:val="24"/>
                <w:vertAlign w:val="superscript"/>
                <w:lang w:eastAsia="pl-PL"/>
              </w:rPr>
              <w:t>3</w:t>
            </w:r>
            <w:r w:rsidRPr="006A6CE2">
              <w:rPr>
                <w:rFonts w:ascii="Calibri" w:eastAsia="Times New Roman" w:hAnsi="Calibri" w:cs="Calibri"/>
                <w:color w:val="000000"/>
                <w:szCs w:val="24"/>
                <w:lang w:eastAsia="pl-PL"/>
              </w:rPr>
              <w:t xml:space="preserve"> ]</w:t>
            </w:r>
          </w:p>
        </w:tc>
        <w:tc>
          <w:tcPr>
            <w:tcW w:w="2544" w:type="dxa"/>
            <w:tcBorders>
              <w:top w:val="single" w:sz="4" w:space="0" w:color="B7DFA8" w:themeColor="accent1" w:themeTint="66"/>
              <w:left w:val="single" w:sz="4" w:space="0" w:color="B7DFA8" w:themeColor="accent1" w:themeTint="66"/>
              <w:right w:val="single" w:sz="4" w:space="0" w:color="B7DFA8" w:themeColor="accent1" w:themeTint="66"/>
            </w:tcBorders>
          </w:tcPr>
          <w:p w14:paraId="2EF7967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color w:val="000000"/>
                <w:szCs w:val="24"/>
                <w:lang w:eastAsia="pl-PL"/>
              </w:rPr>
              <w:t>[ dam</w:t>
            </w:r>
            <w:r w:rsidRPr="006A6CE2">
              <w:rPr>
                <w:rFonts w:ascii="Calibri" w:eastAsia="Times New Roman" w:hAnsi="Calibri" w:cs="Calibri"/>
                <w:color w:val="000000"/>
                <w:szCs w:val="24"/>
                <w:vertAlign w:val="superscript"/>
                <w:lang w:eastAsia="pl-PL"/>
              </w:rPr>
              <w:t>3</w:t>
            </w:r>
            <w:r w:rsidRPr="006A6CE2">
              <w:rPr>
                <w:rFonts w:ascii="Calibri" w:eastAsia="Times New Roman" w:hAnsi="Calibri" w:cs="Calibri"/>
                <w:color w:val="000000"/>
                <w:szCs w:val="24"/>
                <w:lang w:eastAsia="pl-PL"/>
              </w:rPr>
              <w:t xml:space="preserve"> ]</w:t>
            </w:r>
          </w:p>
        </w:tc>
        <w:tc>
          <w:tcPr>
            <w:tcW w:w="1719" w:type="dxa"/>
            <w:tcBorders>
              <w:top w:val="single" w:sz="4" w:space="0" w:color="B7DFA8" w:themeColor="accent1" w:themeTint="66"/>
              <w:left w:val="single" w:sz="4" w:space="0" w:color="B7DFA8" w:themeColor="accent1" w:themeTint="66"/>
              <w:right w:val="single" w:sz="4" w:space="0" w:color="B7DFA8" w:themeColor="accent1" w:themeTint="66"/>
            </w:tcBorders>
          </w:tcPr>
          <w:p w14:paraId="6B532FA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color w:val="000000"/>
                <w:szCs w:val="24"/>
                <w:lang w:eastAsia="pl-PL"/>
              </w:rPr>
              <w:t>[ dam</w:t>
            </w:r>
            <w:r w:rsidRPr="006A6CE2">
              <w:rPr>
                <w:rFonts w:ascii="Calibri" w:eastAsia="Times New Roman" w:hAnsi="Calibri" w:cs="Calibri"/>
                <w:color w:val="000000"/>
                <w:szCs w:val="24"/>
                <w:vertAlign w:val="superscript"/>
                <w:lang w:eastAsia="pl-PL"/>
              </w:rPr>
              <w:t>3</w:t>
            </w:r>
            <w:r w:rsidRPr="006A6CE2">
              <w:rPr>
                <w:rFonts w:ascii="Calibri" w:eastAsia="Times New Roman" w:hAnsi="Calibri" w:cs="Calibri"/>
                <w:color w:val="000000"/>
                <w:szCs w:val="24"/>
                <w:lang w:eastAsia="pl-PL"/>
              </w:rPr>
              <w:t xml:space="preserve"> ]</w:t>
            </w:r>
          </w:p>
        </w:tc>
        <w:tc>
          <w:tcPr>
            <w:tcW w:w="2195" w:type="dxa"/>
            <w:tcBorders>
              <w:top w:val="single" w:sz="4" w:space="0" w:color="B7DFA8" w:themeColor="accent1" w:themeTint="66"/>
              <w:left w:val="single" w:sz="4" w:space="0" w:color="B7DFA8" w:themeColor="accent1" w:themeTint="66"/>
              <w:right w:val="single" w:sz="4" w:space="0" w:color="B7DFA8" w:themeColor="accent1" w:themeTint="66"/>
            </w:tcBorders>
          </w:tcPr>
          <w:p w14:paraId="7158529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pl-PL"/>
              </w:rPr>
            </w:pPr>
            <w:r w:rsidRPr="006A6CE2">
              <w:rPr>
                <w:rFonts w:ascii="Calibri" w:eastAsia="Times New Roman" w:hAnsi="Calibri" w:cs="Calibri"/>
                <w:color w:val="000000"/>
                <w:szCs w:val="24"/>
                <w:lang w:eastAsia="pl-PL"/>
              </w:rPr>
              <w:t>[ dam</w:t>
            </w:r>
            <w:r w:rsidRPr="006A6CE2">
              <w:rPr>
                <w:rFonts w:ascii="Calibri" w:eastAsia="Times New Roman" w:hAnsi="Calibri" w:cs="Calibri"/>
                <w:color w:val="000000"/>
                <w:szCs w:val="24"/>
                <w:vertAlign w:val="superscript"/>
                <w:lang w:eastAsia="pl-PL"/>
              </w:rPr>
              <w:t>3</w:t>
            </w:r>
            <w:r w:rsidRPr="006A6CE2">
              <w:rPr>
                <w:rFonts w:ascii="Calibri" w:eastAsia="Times New Roman" w:hAnsi="Calibri" w:cs="Calibri"/>
                <w:color w:val="000000"/>
                <w:szCs w:val="24"/>
                <w:lang w:eastAsia="pl-PL"/>
              </w:rPr>
              <w:t xml:space="preserve"> ]</w:t>
            </w:r>
          </w:p>
        </w:tc>
      </w:tr>
      <w:tr w:rsidR="00B83214" w:rsidRPr="006A6CE2" w14:paraId="3A66B765"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DB29F46"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2015</w:t>
            </w:r>
          </w:p>
        </w:tc>
        <w:tc>
          <w:tcPr>
            <w:tcW w:w="212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bottom"/>
          </w:tcPr>
          <w:p w14:paraId="6894FE5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1 369 474</w:t>
            </w:r>
          </w:p>
        </w:tc>
        <w:tc>
          <w:tcPr>
            <w:tcW w:w="254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36ED6AF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362</w:t>
            </w:r>
          </w:p>
        </w:tc>
        <w:tc>
          <w:tcPr>
            <w:tcW w:w="171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4D2DD4D5"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782</w:t>
            </w:r>
          </w:p>
        </w:tc>
        <w:tc>
          <w:tcPr>
            <w:tcW w:w="219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724ACB5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160</w:t>
            </w:r>
          </w:p>
        </w:tc>
      </w:tr>
      <w:tr w:rsidR="00B83214" w:rsidRPr="006A6CE2" w14:paraId="17E1E0ED"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19676C9"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2016</w:t>
            </w:r>
          </w:p>
        </w:tc>
        <w:tc>
          <w:tcPr>
            <w:tcW w:w="212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bottom"/>
          </w:tcPr>
          <w:p w14:paraId="5457AF5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1 276 472</w:t>
            </w:r>
          </w:p>
        </w:tc>
        <w:tc>
          <w:tcPr>
            <w:tcW w:w="254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42EFABC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323</w:t>
            </w:r>
          </w:p>
        </w:tc>
        <w:tc>
          <w:tcPr>
            <w:tcW w:w="171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7F9CAF3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1 570</w:t>
            </w:r>
          </w:p>
        </w:tc>
        <w:tc>
          <w:tcPr>
            <w:tcW w:w="219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38FB330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128</w:t>
            </w:r>
          </w:p>
        </w:tc>
      </w:tr>
      <w:tr w:rsidR="00B83214" w:rsidRPr="006A6CE2" w14:paraId="749DC4FC"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4F7E92DA"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2017</w:t>
            </w:r>
          </w:p>
        </w:tc>
        <w:tc>
          <w:tcPr>
            <w:tcW w:w="212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bottom"/>
          </w:tcPr>
          <w:p w14:paraId="45D49C39"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1 228 672</w:t>
            </w:r>
          </w:p>
        </w:tc>
        <w:tc>
          <w:tcPr>
            <w:tcW w:w="254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087A072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578</w:t>
            </w:r>
          </w:p>
        </w:tc>
        <w:tc>
          <w:tcPr>
            <w:tcW w:w="171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4C724CB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1 521</w:t>
            </w:r>
          </w:p>
        </w:tc>
        <w:tc>
          <w:tcPr>
            <w:tcW w:w="219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57F53276"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762</w:t>
            </w:r>
          </w:p>
        </w:tc>
      </w:tr>
      <w:tr w:rsidR="00B83214" w:rsidRPr="006A6CE2" w14:paraId="143CB19D"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639AFBDE"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2018</w:t>
            </w:r>
          </w:p>
        </w:tc>
        <w:tc>
          <w:tcPr>
            <w:tcW w:w="212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bottom"/>
          </w:tcPr>
          <w:p w14:paraId="4BBD6B4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1 070 480</w:t>
            </w:r>
          </w:p>
        </w:tc>
        <w:tc>
          <w:tcPr>
            <w:tcW w:w="254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3CCA929C"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592</w:t>
            </w:r>
          </w:p>
        </w:tc>
        <w:tc>
          <w:tcPr>
            <w:tcW w:w="171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42674D8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681</w:t>
            </w:r>
          </w:p>
        </w:tc>
        <w:tc>
          <w:tcPr>
            <w:tcW w:w="219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101517BF"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495</w:t>
            </w:r>
          </w:p>
        </w:tc>
      </w:tr>
      <w:tr w:rsidR="00B83214" w:rsidRPr="006A6CE2" w14:paraId="702E6AC0"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7776827D"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2019</w:t>
            </w:r>
          </w:p>
        </w:tc>
        <w:tc>
          <w:tcPr>
            <w:tcW w:w="212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bottom"/>
          </w:tcPr>
          <w:p w14:paraId="1878E6EE"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842 235</w:t>
            </w:r>
          </w:p>
        </w:tc>
        <w:tc>
          <w:tcPr>
            <w:tcW w:w="254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713FF321"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965</w:t>
            </w:r>
          </w:p>
        </w:tc>
        <w:tc>
          <w:tcPr>
            <w:tcW w:w="171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3D5F1B7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353</w:t>
            </w:r>
          </w:p>
        </w:tc>
        <w:tc>
          <w:tcPr>
            <w:tcW w:w="219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04ACB1D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394</w:t>
            </w:r>
          </w:p>
        </w:tc>
      </w:tr>
      <w:tr w:rsidR="00B83214" w:rsidRPr="006A6CE2" w14:paraId="6EC88DDF"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3FC2410F"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2020</w:t>
            </w:r>
          </w:p>
        </w:tc>
        <w:tc>
          <w:tcPr>
            <w:tcW w:w="212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bottom"/>
          </w:tcPr>
          <w:p w14:paraId="1A46B94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867 863</w:t>
            </w:r>
          </w:p>
        </w:tc>
        <w:tc>
          <w:tcPr>
            <w:tcW w:w="254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263F0162"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711</w:t>
            </w:r>
          </w:p>
        </w:tc>
        <w:tc>
          <w:tcPr>
            <w:tcW w:w="171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5A24DA9A"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361</w:t>
            </w:r>
          </w:p>
        </w:tc>
        <w:tc>
          <w:tcPr>
            <w:tcW w:w="219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bottom"/>
          </w:tcPr>
          <w:p w14:paraId="52E32328"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317</w:t>
            </w:r>
          </w:p>
        </w:tc>
      </w:tr>
      <w:tr w:rsidR="00B83214" w:rsidRPr="006A6CE2" w14:paraId="04A23570" w14:textId="77777777" w:rsidTr="00B83214">
        <w:trPr>
          <w:trHeight w:val="288"/>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EF783C6" w14:textId="77777777" w:rsidR="00B83214" w:rsidRPr="006A6CE2" w:rsidRDefault="00B83214" w:rsidP="00B83214">
            <w:pPr>
              <w:spacing w:before="0"/>
              <w:rPr>
                <w:rFonts w:ascii="Calibri" w:eastAsia="Times New Roman" w:hAnsi="Calibri" w:cs="Calibri"/>
                <w:b w:val="0"/>
                <w:color w:val="000000"/>
                <w:szCs w:val="24"/>
                <w:lang w:eastAsia="pl-PL"/>
              </w:rPr>
            </w:pPr>
            <w:r w:rsidRPr="006A6CE2">
              <w:rPr>
                <w:rFonts w:ascii="Calibri" w:eastAsia="Times New Roman" w:hAnsi="Calibri" w:cs="Calibri"/>
                <w:b w:val="0"/>
                <w:color w:val="000000"/>
                <w:szCs w:val="24"/>
                <w:lang w:eastAsia="pl-PL"/>
              </w:rPr>
              <w:t>2021</w:t>
            </w:r>
          </w:p>
        </w:tc>
        <w:tc>
          <w:tcPr>
            <w:tcW w:w="2126"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noWrap/>
            <w:vAlign w:val="center"/>
          </w:tcPr>
          <w:p w14:paraId="1886FBA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c>
          <w:tcPr>
            <w:tcW w:w="2544"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vAlign w:val="center"/>
          </w:tcPr>
          <w:p w14:paraId="0D70FC67"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c>
          <w:tcPr>
            <w:tcW w:w="1719"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428FC0E0"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c>
          <w:tcPr>
            <w:tcW w:w="2195" w:type="dxa"/>
            <w:tc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tcBorders>
          </w:tcPr>
          <w:p w14:paraId="1FE739D4" w14:textId="77777777" w:rsidR="00B83214" w:rsidRPr="006A6CE2" w:rsidRDefault="00B83214" w:rsidP="00B83214">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Cs w:val="24"/>
                <w:lang w:eastAsia="pl-PL"/>
              </w:rPr>
            </w:pPr>
            <w:r w:rsidRPr="006A6CE2">
              <w:rPr>
                <w:rFonts w:ascii="Calibri" w:eastAsia="Times New Roman" w:hAnsi="Calibri" w:cs="Calibri"/>
                <w:bCs/>
                <w:color w:val="000000"/>
                <w:szCs w:val="24"/>
                <w:lang w:eastAsia="pl-PL"/>
              </w:rPr>
              <w:t>Brak danych</w:t>
            </w:r>
          </w:p>
        </w:tc>
      </w:tr>
    </w:tbl>
    <w:p w14:paraId="5DE8BEBC" w14:textId="07645A21" w:rsidR="00B83214" w:rsidRPr="006A6CE2" w:rsidRDefault="00B83214" w:rsidP="00B83214">
      <w:pPr>
        <w:rPr>
          <w:szCs w:val="24"/>
        </w:rPr>
      </w:pPr>
      <w:r w:rsidRPr="006A6CE2">
        <w:rPr>
          <w:szCs w:val="24"/>
        </w:rPr>
        <w:t xml:space="preserve">Źródło: Bank Danych Lokalnych, </w:t>
      </w:r>
      <w:hyperlink r:id="rId48" w:history="1">
        <w:r w:rsidRPr="006A6CE2">
          <w:rPr>
            <w:color w:val="6B9F25" w:themeColor="hyperlink"/>
            <w:szCs w:val="24"/>
            <w:u w:val="single"/>
          </w:rPr>
          <w:t>www.bdl.stat.gov.pl</w:t>
        </w:r>
      </w:hyperlink>
      <w:r w:rsidRPr="006A6CE2">
        <w:rPr>
          <w:szCs w:val="24"/>
        </w:rPr>
        <w:t xml:space="preserve">; </w:t>
      </w:r>
      <w:r w:rsidR="009474C8">
        <w:rPr>
          <w:szCs w:val="24"/>
        </w:rPr>
        <w:t>(</w:t>
      </w:r>
      <w:r w:rsidRPr="006A6CE2">
        <w:rPr>
          <w:szCs w:val="24"/>
        </w:rPr>
        <w:t>dostęp z dn.</w:t>
      </w:r>
      <w:r w:rsidR="009474C8">
        <w:rPr>
          <w:szCs w:val="24"/>
        </w:rPr>
        <w:t>:</w:t>
      </w:r>
      <w:r w:rsidRPr="006A6CE2">
        <w:rPr>
          <w:szCs w:val="24"/>
        </w:rPr>
        <w:t xml:space="preserve"> 01.05.2022</w:t>
      </w:r>
      <w:r w:rsidR="009474C8">
        <w:rPr>
          <w:szCs w:val="24"/>
        </w:rPr>
        <w:t>)</w:t>
      </w:r>
    </w:p>
    <w:p w14:paraId="44EA2337" w14:textId="0481D6AC" w:rsidR="00B83214" w:rsidRPr="006A6CE2" w:rsidRDefault="00B83214" w:rsidP="00B83214">
      <w:pPr>
        <w:rPr>
          <w:rFonts w:cstheme="minorHAnsi"/>
          <w:szCs w:val="24"/>
        </w:rPr>
      </w:pPr>
      <w:r w:rsidRPr="006A6CE2">
        <w:rPr>
          <w:rFonts w:cstheme="minorHAnsi"/>
          <w:szCs w:val="24"/>
        </w:rPr>
        <w:t>Ścieki przemysłowe oczyszczane były głównie (69,7%) w procesach biologicznych (</w:t>
      </w:r>
      <w:r w:rsidRPr="006A6CE2">
        <w:rPr>
          <w:rFonts w:cstheme="minorHAnsi"/>
          <w:szCs w:val="24"/>
        </w:rPr>
        <w:fldChar w:fldCharType="begin"/>
      </w:r>
      <w:r w:rsidRPr="006A6CE2">
        <w:rPr>
          <w:rFonts w:cstheme="minorHAnsi"/>
          <w:szCs w:val="24"/>
        </w:rPr>
        <w:instrText xml:space="preserve"> REF _Ref102379811 \h  \* MERGEFORMAT </w:instrText>
      </w:r>
      <w:r w:rsidRPr="006A6CE2">
        <w:rPr>
          <w:rFonts w:cstheme="minorHAnsi"/>
          <w:szCs w:val="24"/>
        </w:rPr>
      </w:r>
      <w:r w:rsidRPr="006A6CE2">
        <w:rPr>
          <w:rFonts w:cstheme="minorHAnsi"/>
          <w:szCs w:val="24"/>
        </w:rPr>
        <w:fldChar w:fldCharType="separate"/>
      </w:r>
      <w:r w:rsidR="002B5007" w:rsidRPr="002B5007">
        <w:rPr>
          <w:szCs w:val="24"/>
        </w:rPr>
        <w:t xml:space="preserve">Rysunek </w:t>
      </w:r>
      <w:r w:rsidR="002B5007" w:rsidRPr="002B5007">
        <w:rPr>
          <w:noProof/>
          <w:szCs w:val="24"/>
        </w:rPr>
        <w:t>17</w:t>
      </w:r>
      <w:r w:rsidRPr="006A6CE2">
        <w:rPr>
          <w:rFonts w:cstheme="minorHAnsi"/>
          <w:szCs w:val="24"/>
        </w:rPr>
        <w:fldChar w:fldCharType="end"/>
      </w:r>
      <w:r w:rsidRPr="006A6CE2">
        <w:rPr>
          <w:rFonts w:cstheme="minorHAnsi"/>
          <w:szCs w:val="24"/>
        </w:rPr>
        <w:t>), następnie w procesach chemicznych (15,2%) i z podwyższonym usuwaniem biogenów (9,1%). Liczba oczyszczalni biologicznych zmniejszyła się z 29 szt. w 2015 roku do 23 szt. w 2020 roku. Z kolei w tym okresie przybyła 1 oczyszczalnia ścieków z podwyższonym usuwaniem biogenów. Najmniejszy udział w oczyszczaniu ścieków przemysłowych mają oczyszczalnie typu mecha</w:t>
      </w:r>
      <w:r w:rsidR="00A628D2">
        <w:rPr>
          <w:rFonts w:cstheme="minorHAnsi"/>
          <w:szCs w:val="24"/>
        </w:rPr>
        <w:t>nicznego</w:t>
      </w:r>
      <w:r w:rsidRPr="006A6CE2">
        <w:rPr>
          <w:rFonts w:cstheme="minorHAnsi"/>
          <w:szCs w:val="24"/>
        </w:rPr>
        <w:t xml:space="preserve"> (6,1%).</w:t>
      </w:r>
    </w:p>
    <w:p w14:paraId="6555C48D" w14:textId="77777777" w:rsidR="00B83214" w:rsidRPr="006A6CE2" w:rsidRDefault="00B83214" w:rsidP="00B83214">
      <w:pPr>
        <w:jc w:val="center"/>
        <w:rPr>
          <w:rFonts w:cstheme="minorHAnsi"/>
          <w:szCs w:val="24"/>
        </w:rPr>
      </w:pPr>
      <w:r w:rsidRPr="006A6CE2">
        <w:rPr>
          <w:rFonts w:cstheme="minorHAnsi"/>
          <w:noProof/>
          <w:szCs w:val="24"/>
          <w:lang w:eastAsia="pl-PL"/>
        </w:rPr>
        <w:drawing>
          <wp:inline distT="0" distB="0" distL="0" distR="0" wp14:anchorId="36F165ED" wp14:editId="65E0117B">
            <wp:extent cx="5760720" cy="3348990"/>
            <wp:effectExtent l="0" t="0" r="0" b="381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3348990"/>
                    </a:xfrm>
                    <a:prstGeom prst="rect">
                      <a:avLst/>
                    </a:prstGeom>
                    <a:noFill/>
                    <a:ln>
                      <a:noFill/>
                    </a:ln>
                  </pic:spPr>
                </pic:pic>
              </a:graphicData>
            </a:graphic>
          </wp:inline>
        </w:drawing>
      </w:r>
    </w:p>
    <w:p w14:paraId="266251AE" w14:textId="77777777" w:rsidR="00B83214" w:rsidRPr="006A6CE2" w:rsidRDefault="00B83214" w:rsidP="00B83214">
      <w:pPr>
        <w:pStyle w:val="Podpispodrysunkiem"/>
      </w:pPr>
      <w:bookmarkStart w:id="185" w:name="_Ref102379811"/>
      <w:bookmarkStart w:id="186" w:name="_Toc102741397"/>
      <w:bookmarkStart w:id="187" w:name="_Toc104790119"/>
      <w:r w:rsidRPr="006A6CE2">
        <w:t xml:space="preserve">Rysunek </w:t>
      </w:r>
      <w:r>
        <w:fldChar w:fldCharType="begin"/>
      </w:r>
      <w:r>
        <w:instrText>SEQ Rysunek \* ARABIC</w:instrText>
      </w:r>
      <w:r>
        <w:fldChar w:fldCharType="separate"/>
      </w:r>
      <w:r w:rsidR="002B5007">
        <w:rPr>
          <w:noProof/>
        </w:rPr>
        <w:t>17</w:t>
      </w:r>
      <w:r>
        <w:fldChar w:fldCharType="end"/>
      </w:r>
      <w:bookmarkEnd w:id="185"/>
      <w:r w:rsidRPr="006A6CE2">
        <w:t xml:space="preserve"> Liczba oczyszczalni ścieków przemysłowych w podziale na charakter oczyszczania</w:t>
      </w:r>
      <w:bookmarkEnd w:id="186"/>
      <w:bookmarkEnd w:id="187"/>
    </w:p>
    <w:p w14:paraId="65AD69EC" w14:textId="62E688AE" w:rsidR="00B83214" w:rsidRPr="006A6CE2" w:rsidRDefault="00B83214" w:rsidP="00D41923">
      <w:pPr>
        <w:pStyle w:val="rdo"/>
      </w:pPr>
      <w:r w:rsidRPr="006A6CE2">
        <w:t xml:space="preserve">Źródło: Bank Danych Lokalnych, </w:t>
      </w:r>
      <w:hyperlink r:id="rId50" w:history="1">
        <w:r w:rsidRPr="006A6CE2">
          <w:rPr>
            <w:color w:val="6B9F25" w:themeColor="hyperlink"/>
            <w:u w:val="single"/>
          </w:rPr>
          <w:t>www.bdl.stat.gov.pl</w:t>
        </w:r>
      </w:hyperlink>
      <w:r w:rsidRPr="006A6CE2">
        <w:t xml:space="preserve">; </w:t>
      </w:r>
      <w:r>
        <w:t>(</w:t>
      </w:r>
      <w:r w:rsidRPr="006A6CE2">
        <w:t>dostęp z dn.</w:t>
      </w:r>
      <w:r>
        <w:t>:</w:t>
      </w:r>
      <w:r w:rsidRPr="006A6CE2">
        <w:t xml:space="preserve"> 01.05.2022</w:t>
      </w:r>
      <w:r>
        <w:t>)</w:t>
      </w:r>
    </w:p>
    <w:p w14:paraId="48C56497" w14:textId="77777777" w:rsidR="00B83214" w:rsidRPr="00B83214" w:rsidRDefault="00B83214" w:rsidP="00B83214">
      <w:pPr>
        <w:pStyle w:val="Nagwek1"/>
        <w:numPr>
          <w:ilvl w:val="0"/>
          <w:numId w:val="61"/>
        </w:numPr>
        <w:rPr>
          <w:sz w:val="24"/>
          <w:szCs w:val="20"/>
        </w:rPr>
      </w:pPr>
      <w:bookmarkStart w:id="188" w:name="_Toc104790658"/>
      <w:r w:rsidRPr="00B83214">
        <w:rPr>
          <w:sz w:val="24"/>
          <w:szCs w:val="20"/>
        </w:rPr>
        <w:t>POWIETRZE</w:t>
      </w:r>
      <w:bookmarkEnd w:id="188"/>
    </w:p>
    <w:p w14:paraId="57B0D73C" w14:textId="04153844" w:rsidR="00B83214" w:rsidRPr="001062B0" w:rsidRDefault="00B83214" w:rsidP="00B83214">
      <w:pPr>
        <w:rPr>
          <w:szCs w:val="24"/>
        </w:rPr>
      </w:pPr>
      <w:r w:rsidRPr="001062B0">
        <w:rPr>
          <w:szCs w:val="24"/>
        </w:rPr>
        <w:t xml:space="preserve">Analiza danych przedstawionych w rocznych raportach w zakresie ocen jakości powietrza, dokonywanych w ramach Państwowego Monitoringu Środowiska (PMŚ), pozwala stwierdzić, że jakość powietrza atmosferycznego w województwie zachodniopomorskim na przestrzeni </w:t>
      </w:r>
      <w:r>
        <w:rPr>
          <w:szCs w:val="24"/>
        </w:rPr>
        <w:t>ostatnich lat</w:t>
      </w:r>
      <w:r w:rsidRPr="001062B0">
        <w:rPr>
          <w:szCs w:val="24"/>
        </w:rPr>
        <w:t xml:space="preserve"> ulegała niewielkiej, jednak widocznej, poprawie</w:t>
      </w:r>
      <w:r w:rsidRPr="001062B0">
        <w:rPr>
          <w:szCs w:val="24"/>
          <w:vertAlign w:val="superscript"/>
        </w:rPr>
        <w:footnoteReference w:id="121"/>
      </w:r>
      <w:r w:rsidRPr="001062B0">
        <w:rPr>
          <w:szCs w:val="24"/>
        </w:rPr>
        <w:t xml:space="preserve">. Wg najnowszej oceny jakości powietrza (raport za rok 2020) odnotowane przekroczenia dotyczyły jedynie poziomu docelowego benzo(a)pirenu w strefie zachodniopomorskiej obejmującej obszar całego województwa z wyłączeniem miasta Koszalin i aglomeracji szczecińskiej. </w:t>
      </w:r>
      <w:r>
        <w:rPr>
          <w:szCs w:val="24"/>
        </w:rPr>
        <w:t>Odnotowane przekroczenie wyniosło</w:t>
      </w:r>
      <w:r w:rsidRPr="001062B0">
        <w:rPr>
          <w:szCs w:val="24"/>
        </w:rPr>
        <w:t xml:space="preserve"> 0,8% powierzchni strefy zamieszkiwanej przez 21,6% mieszkańców województwa. Przekroczenie dotyczyło stacji pomiarowych PMŚ zlokalizowanych w Myśliborzu i w Szczecinku. W ujęciu całego województwa odnotowano również przekroczenia poziom</w:t>
      </w:r>
      <w:r>
        <w:rPr>
          <w:szCs w:val="24"/>
        </w:rPr>
        <w:t>u</w:t>
      </w:r>
      <w:r w:rsidRPr="001062B0">
        <w:rPr>
          <w:szCs w:val="24"/>
        </w:rPr>
        <w:t xml:space="preserve"> celu długoterminowego dla ozonu ze względu na ochronę zdrowia oraz roślin, niemniej jednak poziom docelowy dla ozonu, skutkujący koniecznością opracowania programu ochrony powietrza, nie został przekroczony. Na przestrzenni lat 2015 – 2020 </w:t>
      </w:r>
      <w:r>
        <w:rPr>
          <w:szCs w:val="24"/>
        </w:rPr>
        <w:t>obserwowane były również przekrocze</w:t>
      </w:r>
      <w:r w:rsidRPr="001062B0">
        <w:rPr>
          <w:szCs w:val="24"/>
        </w:rPr>
        <w:t>nia poziomu dopuszczalnego dla pyłu PM10. Jako główną przyczynę złej jakości powietrza, gł</w:t>
      </w:r>
      <w:r w:rsidR="004110A4">
        <w:rPr>
          <w:szCs w:val="24"/>
        </w:rPr>
        <w:t>ó</w:t>
      </w:r>
      <w:r w:rsidRPr="001062B0">
        <w:rPr>
          <w:szCs w:val="24"/>
        </w:rPr>
        <w:t xml:space="preserve">wnie w odniesieniu do przekroczeń poziomów docelowych benzo(a)pirenu, należy wskazać niską emisję z gospodarstw domowych, spowodowaną stosowaniem w ww. gospodarstwach systemów grzewczych opartych na paliwach tradycyjnych spalanych w kotłach o niskiej efektywności. Wg danych zawartych w </w:t>
      </w:r>
      <w:r w:rsidRPr="001062B0">
        <w:rPr>
          <w:i/>
          <w:szCs w:val="24"/>
        </w:rPr>
        <w:t>Raporcie wojewódzkim za rok 2020</w:t>
      </w:r>
      <w:r w:rsidRPr="001062B0">
        <w:rPr>
          <w:i/>
          <w:szCs w:val="24"/>
          <w:vertAlign w:val="superscript"/>
        </w:rPr>
        <w:footnoteReference w:id="122"/>
      </w:r>
      <w:r w:rsidRPr="001062B0">
        <w:rPr>
          <w:szCs w:val="24"/>
        </w:rPr>
        <w:t xml:space="preserve"> ponad 90%, w całkowitej emisji do powietrza benzo(a)pirenu ma emisja powierzchniowa (emisja z sektora komunalno-bytowego). Udział pozostałych źródeł emisji jest nieznaczny.</w:t>
      </w:r>
    </w:p>
    <w:p w14:paraId="363E0598" w14:textId="76D33847" w:rsidR="00B83214" w:rsidRPr="001062B0" w:rsidRDefault="00B83214" w:rsidP="00B83214">
      <w:pPr>
        <w:spacing w:after="0"/>
        <w:rPr>
          <w:szCs w:val="24"/>
        </w:rPr>
      </w:pPr>
      <w:r w:rsidRPr="001062B0">
        <w:rPr>
          <w:szCs w:val="24"/>
        </w:rPr>
        <w:t>Badania i ocena jakości powietrza na terenie województwa zachodniopomorskiego realizowane są w ramach PMŚ, przez Regionalny Wydział Monitoringu Środowiska (RWMŚ)</w:t>
      </w:r>
      <w:r w:rsidR="00A628D2">
        <w:rPr>
          <w:szCs w:val="24"/>
        </w:rPr>
        <w:t xml:space="preserve"> </w:t>
      </w:r>
      <w:r w:rsidRPr="001062B0">
        <w:rPr>
          <w:szCs w:val="24"/>
        </w:rPr>
        <w:t>w Szczecinie z ramienia Głównego Inspektoratu Ochrony Środowiska (GIOŚ). Na podstawie wyników pomiarów RWMŚ dokonuje corocznej oceny jakości powietrza w strefie. Zgodnie z obowiązującym rozporządzeniem</w:t>
      </w:r>
      <w:r w:rsidRPr="001062B0">
        <w:rPr>
          <w:szCs w:val="24"/>
          <w:vertAlign w:val="superscript"/>
        </w:rPr>
        <w:footnoteReference w:id="123"/>
      </w:r>
      <w:r w:rsidRPr="001062B0">
        <w:rPr>
          <w:szCs w:val="24"/>
        </w:rPr>
        <w:t xml:space="preserve">, województwo zachodniopomorskie podzielone zostało na 3 strefy: </w:t>
      </w:r>
    </w:p>
    <w:p w14:paraId="0469682C" w14:textId="77777777" w:rsidR="00B83214" w:rsidRPr="001062B0" w:rsidRDefault="00B83214" w:rsidP="00B83214">
      <w:pPr>
        <w:numPr>
          <w:ilvl w:val="0"/>
          <w:numId w:val="12"/>
        </w:numPr>
        <w:contextualSpacing/>
        <w:rPr>
          <w:szCs w:val="24"/>
        </w:rPr>
      </w:pPr>
      <w:r w:rsidRPr="001062B0">
        <w:rPr>
          <w:bCs/>
          <w:szCs w:val="24"/>
        </w:rPr>
        <w:t>aglomeracja szczecińska (kod strefy 3201)</w:t>
      </w:r>
      <w:r w:rsidRPr="001062B0">
        <w:rPr>
          <w:szCs w:val="24"/>
        </w:rPr>
        <w:t>;</w:t>
      </w:r>
    </w:p>
    <w:p w14:paraId="5ACE0C31" w14:textId="77777777" w:rsidR="00B83214" w:rsidRPr="001062B0" w:rsidRDefault="00B83214" w:rsidP="00B83214">
      <w:pPr>
        <w:numPr>
          <w:ilvl w:val="0"/>
          <w:numId w:val="12"/>
        </w:numPr>
        <w:contextualSpacing/>
        <w:rPr>
          <w:szCs w:val="24"/>
        </w:rPr>
      </w:pPr>
      <w:r w:rsidRPr="001062B0">
        <w:rPr>
          <w:bCs/>
          <w:szCs w:val="24"/>
        </w:rPr>
        <w:t>miasto Koszalin (kod strefy 3202)</w:t>
      </w:r>
      <w:r w:rsidRPr="001062B0">
        <w:rPr>
          <w:szCs w:val="24"/>
        </w:rPr>
        <w:t>;</w:t>
      </w:r>
    </w:p>
    <w:p w14:paraId="2DB69416" w14:textId="77777777" w:rsidR="00B83214" w:rsidRPr="001062B0" w:rsidRDefault="00B83214" w:rsidP="00B83214">
      <w:pPr>
        <w:numPr>
          <w:ilvl w:val="0"/>
          <w:numId w:val="12"/>
        </w:numPr>
        <w:contextualSpacing/>
        <w:rPr>
          <w:sz w:val="22"/>
          <w:szCs w:val="24"/>
        </w:rPr>
      </w:pPr>
      <w:r w:rsidRPr="001062B0">
        <w:rPr>
          <w:bCs/>
          <w:szCs w:val="24"/>
        </w:rPr>
        <w:t>strefa zachodniopomorska (kod strefy 3203)</w:t>
      </w:r>
      <w:r w:rsidRPr="001062B0">
        <w:rPr>
          <w:szCs w:val="24"/>
        </w:rPr>
        <w:t xml:space="preserve"> </w:t>
      </w:r>
    </w:p>
    <w:p w14:paraId="505BD321" w14:textId="236E5603" w:rsidR="00B83214" w:rsidRPr="00194782" w:rsidRDefault="00B83214" w:rsidP="00B83214">
      <w:pPr>
        <w:contextualSpacing/>
        <w:rPr>
          <w:szCs w:val="24"/>
        </w:rPr>
      </w:pPr>
      <w:r w:rsidRPr="001062B0">
        <w:rPr>
          <w:szCs w:val="24"/>
        </w:rPr>
        <w:t>Do oceny jakości powietrza pod kątem ochrony zdrowia wchodzą wszystkie trzy strefy woj</w:t>
      </w:r>
      <w:r>
        <w:rPr>
          <w:szCs w:val="24"/>
        </w:rPr>
        <w:t>ewództwa, natomiast ocena pod ką</w:t>
      </w:r>
      <w:r w:rsidRPr="001062B0">
        <w:rPr>
          <w:szCs w:val="24"/>
        </w:rPr>
        <w:t xml:space="preserve">tem ochrony roślin dokonywana jest jedynie w odniesieniu do strefy zachodniopomorskiej. Podział województwa zachodniopomorskiego na strefy wraz z lokalizacją stacji pomiarowych przedstawiono na rysunku </w:t>
      </w:r>
      <w:r w:rsidR="00A628D2">
        <w:rPr>
          <w:szCs w:val="24"/>
        </w:rPr>
        <w:t xml:space="preserve">poniżej </w:t>
      </w:r>
      <w:r w:rsidRPr="001062B0">
        <w:rPr>
          <w:szCs w:val="24"/>
        </w:rPr>
        <w:t>(</w:t>
      </w:r>
      <w:r w:rsidRPr="00194782">
        <w:rPr>
          <w:szCs w:val="24"/>
        </w:rPr>
        <w:fldChar w:fldCharType="begin"/>
      </w:r>
      <w:r w:rsidRPr="00194782">
        <w:rPr>
          <w:szCs w:val="24"/>
        </w:rPr>
        <w:instrText xml:space="preserve"> REF _Ref102720224 \h  \* MERGEFORMAT </w:instrText>
      </w:r>
      <w:r w:rsidRPr="00194782">
        <w:rPr>
          <w:szCs w:val="24"/>
        </w:rPr>
      </w:r>
      <w:r w:rsidRPr="00194782">
        <w:rPr>
          <w:szCs w:val="24"/>
        </w:rPr>
        <w:fldChar w:fldCharType="separate"/>
      </w:r>
      <w:r w:rsidR="002B5007" w:rsidRPr="002B5007">
        <w:rPr>
          <w:bCs/>
          <w:sz w:val="22"/>
          <w:szCs w:val="16"/>
        </w:rPr>
        <w:t xml:space="preserve">Rysunek </w:t>
      </w:r>
      <w:r w:rsidR="002B5007" w:rsidRPr="002B5007">
        <w:rPr>
          <w:bCs/>
          <w:noProof/>
          <w:sz w:val="22"/>
          <w:szCs w:val="16"/>
        </w:rPr>
        <w:t>18</w:t>
      </w:r>
      <w:r w:rsidRPr="00194782">
        <w:rPr>
          <w:szCs w:val="24"/>
        </w:rPr>
        <w:fldChar w:fldCharType="end"/>
      </w:r>
      <w:r w:rsidRPr="00194782">
        <w:rPr>
          <w:szCs w:val="24"/>
        </w:rPr>
        <w:t>) oraz w tabeli poniżej (</w:t>
      </w:r>
      <w:r w:rsidRPr="00194782">
        <w:rPr>
          <w:szCs w:val="24"/>
        </w:rPr>
        <w:fldChar w:fldCharType="begin"/>
      </w:r>
      <w:r w:rsidRPr="00194782">
        <w:rPr>
          <w:szCs w:val="24"/>
        </w:rPr>
        <w:instrText xml:space="preserve"> REF _Ref102720539 \h  \* MERGEFORMAT </w:instrText>
      </w:r>
      <w:r w:rsidRPr="00194782">
        <w:rPr>
          <w:szCs w:val="24"/>
        </w:rPr>
      </w:r>
      <w:r w:rsidRPr="00194782">
        <w:rPr>
          <w:szCs w:val="24"/>
        </w:rPr>
        <w:fldChar w:fldCharType="separate"/>
      </w:r>
      <w:r w:rsidR="002B5007" w:rsidRPr="002B5007">
        <w:rPr>
          <w:bCs/>
          <w:sz w:val="22"/>
          <w:szCs w:val="16"/>
        </w:rPr>
        <w:t xml:space="preserve">Tabela </w:t>
      </w:r>
      <w:r w:rsidR="002B5007" w:rsidRPr="002B5007">
        <w:rPr>
          <w:bCs/>
          <w:noProof/>
          <w:sz w:val="22"/>
          <w:szCs w:val="16"/>
        </w:rPr>
        <w:t>17</w:t>
      </w:r>
      <w:r w:rsidRPr="00194782">
        <w:rPr>
          <w:szCs w:val="24"/>
        </w:rPr>
        <w:fldChar w:fldCharType="end"/>
      </w:r>
      <w:r w:rsidRPr="00194782">
        <w:rPr>
          <w:szCs w:val="24"/>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Podział województwie śląskiego na strefy dla celów oceny jakości powietrza oraz lokalizacja stacji pomiarowych wykorzystanych w ocenie jakości powietrza za rok 2019"/>
        <w:tblDescription w:val="Mapy"/>
      </w:tblPr>
      <w:tblGrid>
        <w:gridCol w:w="9062"/>
      </w:tblGrid>
      <w:tr w:rsidR="00B83214" w:rsidRPr="001062B0" w14:paraId="6335113D" w14:textId="77777777" w:rsidTr="00B83214">
        <w:trPr>
          <w:trHeight w:val="5099"/>
          <w:tblHeader/>
        </w:trPr>
        <w:tc>
          <w:tcPr>
            <w:tcW w:w="9062" w:type="dxa"/>
          </w:tcPr>
          <w:p w14:paraId="6DBF693C" w14:textId="77777777" w:rsidR="00B83214" w:rsidRPr="001062B0" w:rsidRDefault="00B83214" w:rsidP="00B83214">
            <w:pPr>
              <w:spacing w:before="100" w:after="200" w:line="276" w:lineRule="auto"/>
              <w:jc w:val="center"/>
              <w:rPr>
                <w:sz w:val="20"/>
                <w:szCs w:val="18"/>
                <w:highlight w:val="yellow"/>
              </w:rPr>
            </w:pPr>
            <w:r w:rsidRPr="001062B0">
              <w:rPr>
                <w:noProof/>
                <w:sz w:val="22"/>
                <w:lang w:eastAsia="pl-PL"/>
              </w:rPr>
              <w:drawing>
                <wp:inline distT="0" distB="0" distL="0" distR="0" wp14:anchorId="600B9A76" wp14:editId="38318798">
                  <wp:extent cx="3110346" cy="3063923"/>
                  <wp:effectExtent l="0" t="0" r="0" b="317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9292" t="13861" r="34817" b="10948"/>
                          <a:stretch/>
                        </pic:blipFill>
                        <pic:spPr bwMode="auto">
                          <a:xfrm>
                            <a:off x="0" y="0"/>
                            <a:ext cx="3111467" cy="30650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05E34753" w14:textId="77777777" w:rsidR="00B83214" w:rsidRPr="001062B0" w:rsidRDefault="00B83214" w:rsidP="00B83214">
      <w:pPr>
        <w:pStyle w:val="Podpispodrysunkiem"/>
      </w:pPr>
      <w:bookmarkStart w:id="189" w:name="_Ref102720224"/>
      <w:bookmarkStart w:id="190" w:name="_Ref96683907"/>
      <w:bookmarkStart w:id="191" w:name="_Toc97537975"/>
      <w:bookmarkStart w:id="192" w:name="_Toc104790120"/>
      <w:bookmarkStart w:id="193" w:name="_Ref61441549"/>
      <w:r w:rsidRPr="001062B0">
        <w:t xml:space="preserve">Rysunek </w:t>
      </w:r>
      <w:r>
        <w:fldChar w:fldCharType="begin"/>
      </w:r>
      <w:r>
        <w:instrText>SEQ Rysunek \* ARABIC</w:instrText>
      </w:r>
      <w:r>
        <w:fldChar w:fldCharType="separate"/>
      </w:r>
      <w:r w:rsidR="002B5007">
        <w:rPr>
          <w:noProof/>
        </w:rPr>
        <w:t>18</w:t>
      </w:r>
      <w:r>
        <w:fldChar w:fldCharType="end"/>
      </w:r>
      <w:bookmarkEnd w:id="189"/>
      <w:r>
        <w:t xml:space="preserve"> Podział województwa</w:t>
      </w:r>
      <w:r w:rsidRPr="001062B0">
        <w:t xml:space="preserve"> zachodniopomorskiego na strefy dla celów oceny jakości powietrza wykorzystany w ocenie jakości powietrza za rok 2020</w:t>
      </w:r>
      <w:bookmarkEnd w:id="190"/>
      <w:bookmarkEnd w:id="191"/>
      <w:bookmarkEnd w:id="192"/>
    </w:p>
    <w:p w14:paraId="7B33FFC9" w14:textId="77777777" w:rsidR="00B83214" w:rsidRPr="001062B0" w:rsidRDefault="00B83214" w:rsidP="00B83214">
      <w:pPr>
        <w:pStyle w:val="rdo"/>
      </w:pPr>
      <w:r w:rsidRPr="001062B0">
        <w:t xml:space="preserve">Źródło: </w:t>
      </w:r>
      <w:bookmarkEnd w:id="193"/>
      <w:r w:rsidRPr="001062B0">
        <w:t>Roczna ocena jakości powietrza w województwie zachodniopomorskim - raport wojewód</w:t>
      </w:r>
      <w:r>
        <w:t xml:space="preserve">zki za rok 2020. GIOŚ, Szczecin; </w:t>
      </w:r>
      <w:hyperlink r:id="rId52" w:history="1">
        <w:r w:rsidRPr="008D2F0E">
          <w:rPr>
            <w:rStyle w:val="Hipercze"/>
          </w:rPr>
          <w:t>https://powietrze.gios.gov.pl/pjp/rwms/publications/card/1426</w:t>
        </w:r>
      </w:hyperlink>
      <w:r>
        <w:t>; (</w:t>
      </w:r>
      <w:r w:rsidRPr="001062B0">
        <w:t>dostęp</w:t>
      </w:r>
      <w:r>
        <w:t xml:space="preserve"> z dn.: 06.05.2022)</w:t>
      </w:r>
    </w:p>
    <w:p w14:paraId="14E8AA8C" w14:textId="77777777" w:rsidR="00B83214" w:rsidRPr="001062B0" w:rsidRDefault="00B83214" w:rsidP="00B83214">
      <w:pPr>
        <w:pStyle w:val="Podpispodrysunkiem"/>
        <w:keepNext/>
      </w:pPr>
      <w:bookmarkStart w:id="194" w:name="_Ref102720539"/>
      <w:bookmarkStart w:id="195" w:name="_Toc104790087"/>
      <w:r w:rsidRPr="001062B0">
        <w:t xml:space="preserve">Tabela </w:t>
      </w:r>
      <w:r>
        <w:fldChar w:fldCharType="begin"/>
      </w:r>
      <w:r>
        <w:instrText>SEQ Tabela \* ARABIC</w:instrText>
      </w:r>
      <w:r>
        <w:fldChar w:fldCharType="separate"/>
      </w:r>
      <w:r w:rsidR="002B5007">
        <w:rPr>
          <w:noProof/>
        </w:rPr>
        <w:t>17</w:t>
      </w:r>
      <w:r>
        <w:fldChar w:fldCharType="end"/>
      </w:r>
      <w:bookmarkEnd w:id="194"/>
      <w:r>
        <w:t xml:space="preserve"> Charakterystyka stref w województwie</w:t>
      </w:r>
      <w:r w:rsidRPr="001062B0">
        <w:t xml:space="preserve"> zachodniopomorskim</w:t>
      </w:r>
      <w:r>
        <w:t>,</w:t>
      </w:r>
      <w:r w:rsidRPr="001062B0">
        <w:t xml:space="preserve"> dla których prowadzo</w:t>
      </w:r>
      <w:r>
        <w:t>na jest ocena jakości powietrza</w:t>
      </w:r>
      <w:bookmarkEnd w:id="195"/>
    </w:p>
    <w:tbl>
      <w:tblPr>
        <w:tblStyle w:val="Tabelasiatki1jasnaakcent11"/>
        <w:tblW w:w="5000" w:type="pct"/>
        <w:tblLook w:val="04A0" w:firstRow="1" w:lastRow="0" w:firstColumn="1" w:lastColumn="0" w:noHBand="0" w:noVBand="1"/>
        <w:tblCaption w:val="Zestawienie stref w woj. Śląskim, dla których prowadzona jest ocena jakości powietrza"/>
        <w:tblDescription w:val="Zestawienie stref w woj. Śląskim, dla których prowadzona jest ocena jakości powietrza"/>
      </w:tblPr>
      <w:tblGrid>
        <w:gridCol w:w="480"/>
        <w:gridCol w:w="869"/>
        <w:gridCol w:w="1393"/>
        <w:gridCol w:w="1464"/>
        <w:gridCol w:w="994"/>
        <w:gridCol w:w="1412"/>
        <w:gridCol w:w="1311"/>
        <w:gridCol w:w="1365"/>
      </w:tblGrid>
      <w:tr w:rsidR="00B83214" w:rsidRPr="001062B0" w14:paraId="68BCC50E" w14:textId="77777777" w:rsidTr="00B83214">
        <w:trPr>
          <w:cnfStyle w:val="100000000000" w:firstRow="1" w:lastRow="0" w:firstColumn="0" w:lastColumn="0" w:oddVBand="0" w:evenVBand="0" w:oddHBand="0" w:evenHBand="0" w:firstRowFirstColumn="0" w:firstRowLastColumn="0" w:lastRowFirstColumn="0" w:lastRowLastColumn="0"/>
          <w:trHeight w:val="2128"/>
          <w:tblHeader/>
        </w:trPr>
        <w:tc>
          <w:tcPr>
            <w:cnfStyle w:val="001000000000" w:firstRow="0" w:lastRow="0" w:firstColumn="1" w:lastColumn="0" w:oddVBand="0" w:evenVBand="0" w:oddHBand="0" w:evenHBand="0" w:firstRowFirstColumn="0" w:firstRowLastColumn="0" w:lastRowFirstColumn="0" w:lastRowLastColumn="0"/>
            <w:tcW w:w="258" w:type="pct"/>
          </w:tcPr>
          <w:p w14:paraId="3CE37F52" w14:textId="77777777" w:rsidR="00B83214" w:rsidRPr="001062B0" w:rsidRDefault="00B83214" w:rsidP="00B83214">
            <w:pPr>
              <w:spacing w:before="0" w:after="200" w:line="276" w:lineRule="auto"/>
              <w:jc w:val="center"/>
              <w:rPr>
                <w:rFonts w:asciiTheme="majorHAnsi" w:hAnsiTheme="majorHAnsi" w:cstheme="minorHAnsi"/>
                <w:b w:val="0"/>
                <w:bCs w:val="0"/>
                <w:sz w:val="22"/>
                <w:szCs w:val="22"/>
              </w:rPr>
            </w:pPr>
            <w:r w:rsidRPr="001062B0">
              <w:rPr>
                <w:rFonts w:asciiTheme="majorHAnsi" w:hAnsiTheme="majorHAnsi" w:cstheme="minorHAnsi"/>
                <w:b w:val="0"/>
                <w:bCs w:val="0"/>
                <w:sz w:val="22"/>
                <w:szCs w:val="22"/>
              </w:rPr>
              <w:t>Lp.</w:t>
            </w:r>
          </w:p>
        </w:tc>
        <w:tc>
          <w:tcPr>
            <w:tcW w:w="468" w:type="pct"/>
          </w:tcPr>
          <w:p w14:paraId="7E984B0C" w14:textId="77777777" w:rsidR="00B83214" w:rsidRPr="001062B0" w:rsidRDefault="00B83214" w:rsidP="00B83214">
            <w:pPr>
              <w:spacing w:before="0" w:after="200"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 w:val="0"/>
                <w:bCs w:val="0"/>
                <w:sz w:val="22"/>
                <w:szCs w:val="22"/>
              </w:rPr>
            </w:pPr>
            <w:r w:rsidRPr="001062B0">
              <w:rPr>
                <w:rFonts w:asciiTheme="majorHAnsi" w:hAnsiTheme="majorHAnsi" w:cstheme="minorHAnsi"/>
                <w:b w:val="0"/>
                <w:bCs w:val="0"/>
                <w:sz w:val="22"/>
                <w:szCs w:val="22"/>
              </w:rPr>
              <w:t>Kod strefy</w:t>
            </w:r>
          </w:p>
        </w:tc>
        <w:tc>
          <w:tcPr>
            <w:tcW w:w="750" w:type="pct"/>
          </w:tcPr>
          <w:p w14:paraId="3383F888" w14:textId="77777777" w:rsidR="00B83214" w:rsidRPr="001062B0" w:rsidRDefault="00B83214" w:rsidP="00B83214">
            <w:pPr>
              <w:spacing w:before="0" w:after="200"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 w:val="0"/>
                <w:bCs w:val="0"/>
                <w:sz w:val="22"/>
                <w:szCs w:val="22"/>
              </w:rPr>
            </w:pPr>
            <w:r w:rsidRPr="001062B0">
              <w:rPr>
                <w:rFonts w:asciiTheme="majorHAnsi" w:hAnsiTheme="majorHAnsi" w:cstheme="minorHAnsi"/>
                <w:b w:val="0"/>
                <w:bCs w:val="0"/>
                <w:sz w:val="22"/>
                <w:szCs w:val="22"/>
              </w:rPr>
              <w:t>Nazwa strefy</w:t>
            </w:r>
          </w:p>
        </w:tc>
        <w:tc>
          <w:tcPr>
            <w:tcW w:w="788" w:type="pct"/>
          </w:tcPr>
          <w:p w14:paraId="68E245E8" w14:textId="77777777" w:rsidR="00B83214" w:rsidRPr="001062B0" w:rsidRDefault="00B83214" w:rsidP="00B83214">
            <w:pPr>
              <w:spacing w:before="0" w:after="200"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 w:val="0"/>
                <w:bCs w:val="0"/>
                <w:sz w:val="22"/>
                <w:szCs w:val="22"/>
              </w:rPr>
            </w:pPr>
            <w:r w:rsidRPr="001062B0">
              <w:rPr>
                <w:rFonts w:asciiTheme="majorHAnsi" w:hAnsiTheme="majorHAnsi" w:cstheme="minorHAnsi"/>
                <w:b w:val="0"/>
                <w:bCs w:val="0"/>
                <w:sz w:val="22"/>
                <w:szCs w:val="22"/>
              </w:rPr>
              <w:t>Typ strefy</w:t>
            </w:r>
          </w:p>
        </w:tc>
        <w:tc>
          <w:tcPr>
            <w:tcW w:w="535" w:type="pct"/>
          </w:tcPr>
          <w:p w14:paraId="4BA0C094" w14:textId="77777777" w:rsidR="00B83214" w:rsidRPr="001062B0" w:rsidRDefault="00B83214" w:rsidP="00B83214">
            <w:pPr>
              <w:spacing w:before="0" w:after="200"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 w:val="0"/>
                <w:bCs w:val="0"/>
                <w:sz w:val="22"/>
                <w:szCs w:val="22"/>
              </w:rPr>
            </w:pPr>
            <w:r w:rsidRPr="001062B0">
              <w:rPr>
                <w:rFonts w:asciiTheme="majorHAnsi" w:hAnsiTheme="majorHAnsi" w:cstheme="minorHAnsi"/>
                <w:b w:val="0"/>
                <w:bCs w:val="0"/>
                <w:sz w:val="22"/>
                <w:szCs w:val="22"/>
              </w:rPr>
              <w:t>Powierz-chnia strefy [km</w:t>
            </w:r>
            <w:r w:rsidRPr="001062B0">
              <w:rPr>
                <w:rFonts w:asciiTheme="majorHAnsi" w:hAnsiTheme="majorHAnsi" w:cstheme="minorHAnsi"/>
                <w:b w:val="0"/>
                <w:bCs w:val="0"/>
                <w:sz w:val="22"/>
                <w:szCs w:val="22"/>
                <w:vertAlign w:val="superscript"/>
              </w:rPr>
              <w:t>2</w:t>
            </w:r>
            <w:r w:rsidRPr="001062B0">
              <w:rPr>
                <w:rFonts w:asciiTheme="majorHAnsi" w:hAnsiTheme="majorHAnsi" w:cstheme="minorHAnsi"/>
                <w:b w:val="0"/>
                <w:bCs w:val="0"/>
                <w:sz w:val="22"/>
                <w:szCs w:val="22"/>
              </w:rPr>
              <w:t>]</w:t>
            </w:r>
          </w:p>
        </w:tc>
        <w:tc>
          <w:tcPr>
            <w:tcW w:w="760" w:type="pct"/>
          </w:tcPr>
          <w:p w14:paraId="7108CBCC" w14:textId="77777777" w:rsidR="00B83214" w:rsidRPr="001062B0" w:rsidRDefault="00B83214" w:rsidP="00B83214">
            <w:pPr>
              <w:spacing w:before="0" w:after="200"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 w:val="0"/>
                <w:bCs w:val="0"/>
                <w:sz w:val="22"/>
                <w:szCs w:val="22"/>
              </w:rPr>
            </w:pPr>
            <w:r w:rsidRPr="001062B0">
              <w:rPr>
                <w:rFonts w:asciiTheme="majorHAnsi" w:hAnsiTheme="majorHAnsi" w:cstheme="minorHAnsi"/>
                <w:b w:val="0"/>
                <w:bCs w:val="0"/>
                <w:sz w:val="22"/>
                <w:szCs w:val="22"/>
              </w:rPr>
              <w:t>Liczba mieszkańców w strefie</w:t>
            </w:r>
          </w:p>
        </w:tc>
        <w:tc>
          <w:tcPr>
            <w:tcW w:w="706" w:type="pct"/>
          </w:tcPr>
          <w:p w14:paraId="797F4FBC" w14:textId="77777777" w:rsidR="00B83214" w:rsidRPr="001062B0" w:rsidRDefault="00B83214" w:rsidP="00B83214">
            <w:pPr>
              <w:spacing w:before="0" w:after="200"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 w:val="0"/>
                <w:bCs w:val="0"/>
                <w:sz w:val="22"/>
                <w:szCs w:val="22"/>
              </w:rPr>
            </w:pPr>
            <w:r w:rsidRPr="001062B0">
              <w:rPr>
                <w:rFonts w:asciiTheme="majorHAnsi" w:hAnsiTheme="majorHAnsi" w:cstheme="minorHAnsi"/>
                <w:b w:val="0"/>
                <w:bCs w:val="0"/>
                <w:sz w:val="22"/>
                <w:szCs w:val="22"/>
              </w:rPr>
              <w:t>Klasyfikacja wg kryteriów dot. ochrony zdrowia [tak/nie]</w:t>
            </w:r>
          </w:p>
        </w:tc>
        <w:tc>
          <w:tcPr>
            <w:tcW w:w="735" w:type="pct"/>
          </w:tcPr>
          <w:p w14:paraId="2422DE74" w14:textId="77777777" w:rsidR="00B83214" w:rsidRPr="001062B0" w:rsidRDefault="00B83214" w:rsidP="00B83214">
            <w:pPr>
              <w:spacing w:before="0" w:after="200"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 w:val="0"/>
                <w:bCs w:val="0"/>
                <w:sz w:val="22"/>
                <w:szCs w:val="22"/>
              </w:rPr>
            </w:pPr>
            <w:r w:rsidRPr="001062B0">
              <w:rPr>
                <w:rFonts w:asciiTheme="majorHAnsi" w:hAnsiTheme="majorHAnsi" w:cstheme="minorHAnsi"/>
                <w:b w:val="0"/>
                <w:bCs w:val="0"/>
                <w:sz w:val="22"/>
                <w:szCs w:val="22"/>
              </w:rPr>
              <w:t>Klasyfikacja wg. kryteriów dot. ochrony roślin [tak/nie]</w:t>
            </w:r>
          </w:p>
        </w:tc>
      </w:tr>
      <w:tr w:rsidR="00B83214" w:rsidRPr="001062B0" w14:paraId="02C53C19" w14:textId="77777777" w:rsidTr="00B83214">
        <w:tc>
          <w:tcPr>
            <w:cnfStyle w:val="001000000000" w:firstRow="0" w:lastRow="0" w:firstColumn="1" w:lastColumn="0" w:oddVBand="0" w:evenVBand="0" w:oddHBand="0" w:evenHBand="0" w:firstRowFirstColumn="0" w:firstRowLastColumn="0" w:lastRowFirstColumn="0" w:lastRowLastColumn="0"/>
            <w:tcW w:w="258" w:type="pct"/>
          </w:tcPr>
          <w:p w14:paraId="2CE09DC7" w14:textId="77777777" w:rsidR="00B83214" w:rsidRPr="001062B0" w:rsidRDefault="00B83214" w:rsidP="00B83214">
            <w:pPr>
              <w:spacing w:before="0" w:after="200" w:line="276" w:lineRule="auto"/>
              <w:rPr>
                <w:rFonts w:asciiTheme="majorHAnsi" w:hAnsiTheme="majorHAnsi" w:cstheme="minorHAnsi"/>
                <w:b w:val="0"/>
                <w:bCs w:val="0"/>
                <w:sz w:val="22"/>
                <w:szCs w:val="22"/>
              </w:rPr>
            </w:pPr>
            <w:r w:rsidRPr="001062B0">
              <w:rPr>
                <w:rFonts w:asciiTheme="majorHAnsi" w:hAnsiTheme="majorHAnsi" w:cstheme="minorHAnsi"/>
                <w:b w:val="0"/>
                <w:bCs w:val="0"/>
                <w:sz w:val="22"/>
                <w:szCs w:val="22"/>
              </w:rPr>
              <w:t>1</w:t>
            </w:r>
          </w:p>
        </w:tc>
        <w:tc>
          <w:tcPr>
            <w:tcW w:w="468" w:type="pct"/>
            <w:vAlign w:val="center"/>
          </w:tcPr>
          <w:p w14:paraId="4011A027" w14:textId="77777777" w:rsidR="00B83214" w:rsidRPr="001062B0" w:rsidRDefault="00B83214" w:rsidP="00B83214">
            <w:pPr>
              <w:spacing w:before="0" w:after="200"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PL3201</w:t>
            </w:r>
          </w:p>
        </w:tc>
        <w:tc>
          <w:tcPr>
            <w:tcW w:w="750" w:type="pct"/>
            <w:vAlign w:val="center"/>
          </w:tcPr>
          <w:p w14:paraId="7F39CF3B"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aglomeracja szczecińska</w:t>
            </w:r>
          </w:p>
        </w:tc>
        <w:tc>
          <w:tcPr>
            <w:tcW w:w="788" w:type="pct"/>
            <w:vAlign w:val="center"/>
          </w:tcPr>
          <w:p w14:paraId="67D00D2E"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aglomeracja</w:t>
            </w:r>
          </w:p>
        </w:tc>
        <w:tc>
          <w:tcPr>
            <w:tcW w:w="535" w:type="pct"/>
            <w:vAlign w:val="center"/>
          </w:tcPr>
          <w:p w14:paraId="33969C91"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301</w:t>
            </w:r>
          </w:p>
        </w:tc>
        <w:tc>
          <w:tcPr>
            <w:tcW w:w="760" w:type="pct"/>
            <w:vAlign w:val="center"/>
          </w:tcPr>
          <w:p w14:paraId="34012E02"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401 907</w:t>
            </w:r>
          </w:p>
        </w:tc>
        <w:tc>
          <w:tcPr>
            <w:tcW w:w="706" w:type="pct"/>
            <w:vAlign w:val="center"/>
          </w:tcPr>
          <w:p w14:paraId="2C4ED992"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 xml:space="preserve">Tak </w:t>
            </w:r>
          </w:p>
        </w:tc>
        <w:tc>
          <w:tcPr>
            <w:tcW w:w="735" w:type="pct"/>
            <w:vAlign w:val="center"/>
          </w:tcPr>
          <w:p w14:paraId="67FD7D85"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Nie</w:t>
            </w:r>
          </w:p>
        </w:tc>
      </w:tr>
      <w:tr w:rsidR="00B83214" w:rsidRPr="001062B0" w14:paraId="55F264F1" w14:textId="77777777" w:rsidTr="00B83214">
        <w:tc>
          <w:tcPr>
            <w:cnfStyle w:val="001000000000" w:firstRow="0" w:lastRow="0" w:firstColumn="1" w:lastColumn="0" w:oddVBand="0" w:evenVBand="0" w:oddHBand="0" w:evenHBand="0" w:firstRowFirstColumn="0" w:firstRowLastColumn="0" w:lastRowFirstColumn="0" w:lastRowLastColumn="0"/>
            <w:tcW w:w="258" w:type="pct"/>
          </w:tcPr>
          <w:p w14:paraId="639F4A52" w14:textId="77777777" w:rsidR="00B83214" w:rsidRPr="001062B0" w:rsidRDefault="00B83214" w:rsidP="00B83214">
            <w:pPr>
              <w:spacing w:before="0" w:after="200" w:line="276" w:lineRule="auto"/>
              <w:rPr>
                <w:rFonts w:asciiTheme="majorHAnsi" w:hAnsiTheme="majorHAnsi" w:cstheme="minorHAnsi"/>
                <w:b w:val="0"/>
                <w:bCs w:val="0"/>
                <w:sz w:val="22"/>
                <w:szCs w:val="22"/>
              </w:rPr>
            </w:pPr>
            <w:r w:rsidRPr="001062B0">
              <w:rPr>
                <w:rFonts w:asciiTheme="majorHAnsi" w:hAnsiTheme="majorHAnsi" w:cstheme="minorHAnsi"/>
                <w:b w:val="0"/>
                <w:bCs w:val="0"/>
                <w:sz w:val="22"/>
                <w:szCs w:val="22"/>
              </w:rPr>
              <w:t>2</w:t>
            </w:r>
          </w:p>
        </w:tc>
        <w:tc>
          <w:tcPr>
            <w:tcW w:w="468" w:type="pct"/>
            <w:vAlign w:val="center"/>
          </w:tcPr>
          <w:p w14:paraId="70F31151" w14:textId="77777777" w:rsidR="00B83214" w:rsidRPr="001062B0" w:rsidRDefault="00B83214" w:rsidP="00B83214">
            <w:pPr>
              <w:spacing w:before="0" w:after="200"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PL3202</w:t>
            </w:r>
          </w:p>
        </w:tc>
        <w:tc>
          <w:tcPr>
            <w:tcW w:w="750" w:type="pct"/>
            <w:vAlign w:val="center"/>
          </w:tcPr>
          <w:p w14:paraId="37EC45FD"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miasto Koszalin</w:t>
            </w:r>
          </w:p>
        </w:tc>
        <w:tc>
          <w:tcPr>
            <w:tcW w:w="788" w:type="pct"/>
            <w:vAlign w:val="center"/>
          </w:tcPr>
          <w:p w14:paraId="7E45D499"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miasto &gt;100 000 mieszkańców</w:t>
            </w:r>
          </w:p>
        </w:tc>
        <w:tc>
          <w:tcPr>
            <w:tcW w:w="535" w:type="pct"/>
            <w:vAlign w:val="center"/>
          </w:tcPr>
          <w:p w14:paraId="57F9DBAE"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98</w:t>
            </w:r>
          </w:p>
        </w:tc>
        <w:tc>
          <w:tcPr>
            <w:tcW w:w="760" w:type="pct"/>
            <w:vAlign w:val="center"/>
          </w:tcPr>
          <w:p w14:paraId="276D83D8"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107 048</w:t>
            </w:r>
          </w:p>
        </w:tc>
        <w:tc>
          <w:tcPr>
            <w:tcW w:w="706" w:type="pct"/>
            <w:vAlign w:val="center"/>
          </w:tcPr>
          <w:p w14:paraId="2F67C2F2"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Tak</w:t>
            </w:r>
          </w:p>
        </w:tc>
        <w:tc>
          <w:tcPr>
            <w:tcW w:w="735" w:type="pct"/>
            <w:vAlign w:val="center"/>
          </w:tcPr>
          <w:p w14:paraId="3AAE90B6"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Nie</w:t>
            </w:r>
          </w:p>
        </w:tc>
      </w:tr>
      <w:tr w:rsidR="00B83214" w:rsidRPr="001062B0" w14:paraId="58555D9F" w14:textId="77777777" w:rsidTr="00B83214">
        <w:tc>
          <w:tcPr>
            <w:cnfStyle w:val="001000000000" w:firstRow="0" w:lastRow="0" w:firstColumn="1" w:lastColumn="0" w:oddVBand="0" w:evenVBand="0" w:oddHBand="0" w:evenHBand="0" w:firstRowFirstColumn="0" w:firstRowLastColumn="0" w:lastRowFirstColumn="0" w:lastRowLastColumn="0"/>
            <w:tcW w:w="258" w:type="pct"/>
          </w:tcPr>
          <w:p w14:paraId="4F174EB0" w14:textId="77777777" w:rsidR="00B83214" w:rsidRPr="001062B0" w:rsidRDefault="00B83214" w:rsidP="00B83214">
            <w:pPr>
              <w:spacing w:before="0" w:after="200" w:line="276" w:lineRule="auto"/>
              <w:rPr>
                <w:rFonts w:asciiTheme="majorHAnsi" w:hAnsiTheme="majorHAnsi" w:cstheme="minorHAnsi"/>
                <w:b w:val="0"/>
                <w:bCs w:val="0"/>
                <w:sz w:val="22"/>
                <w:szCs w:val="22"/>
              </w:rPr>
            </w:pPr>
            <w:r w:rsidRPr="001062B0">
              <w:rPr>
                <w:rFonts w:asciiTheme="majorHAnsi" w:hAnsiTheme="majorHAnsi" w:cstheme="minorHAnsi"/>
                <w:b w:val="0"/>
                <w:bCs w:val="0"/>
                <w:sz w:val="22"/>
                <w:szCs w:val="22"/>
              </w:rPr>
              <w:t>5</w:t>
            </w:r>
          </w:p>
        </w:tc>
        <w:tc>
          <w:tcPr>
            <w:tcW w:w="468" w:type="pct"/>
            <w:vAlign w:val="center"/>
          </w:tcPr>
          <w:p w14:paraId="4C32874F" w14:textId="77777777" w:rsidR="00B83214" w:rsidRPr="001062B0" w:rsidRDefault="00B83214" w:rsidP="00B83214">
            <w:pPr>
              <w:spacing w:before="0" w:after="200"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PL3203</w:t>
            </w:r>
          </w:p>
        </w:tc>
        <w:tc>
          <w:tcPr>
            <w:tcW w:w="750" w:type="pct"/>
            <w:vAlign w:val="center"/>
          </w:tcPr>
          <w:p w14:paraId="497DC594"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Strefa zachodnio-pomorska</w:t>
            </w:r>
          </w:p>
        </w:tc>
        <w:tc>
          <w:tcPr>
            <w:tcW w:w="788" w:type="pct"/>
            <w:vAlign w:val="center"/>
          </w:tcPr>
          <w:p w14:paraId="79119D79"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reszta województwa</w:t>
            </w:r>
          </w:p>
        </w:tc>
        <w:tc>
          <w:tcPr>
            <w:tcW w:w="535" w:type="pct"/>
            <w:vAlign w:val="center"/>
          </w:tcPr>
          <w:p w14:paraId="33D31B93"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22506</w:t>
            </w:r>
          </w:p>
        </w:tc>
        <w:tc>
          <w:tcPr>
            <w:tcW w:w="760" w:type="pct"/>
            <w:vAlign w:val="center"/>
          </w:tcPr>
          <w:p w14:paraId="44D5B08B"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1 187 238</w:t>
            </w:r>
          </w:p>
        </w:tc>
        <w:tc>
          <w:tcPr>
            <w:tcW w:w="706" w:type="pct"/>
            <w:vAlign w:val="center"/>
          </w:tcPr>
          <w:p w14:paraId="54E28BAD"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Tak</w:t>
            </w:r>
          </w:p>
        </w:tc>
        <w:tc>
          <w:tcPr>
            <w:tcW w:w="735" w:type="pct"/>
            <w:vAlign w:val="center"/>
          </w:tcPr>
          <w:p w14:paraId="12155B1F" w14:textId="77777777" w:rsidR="00B83214" w:rsidRPr="001062B0" w:rsidRDefault="00B83214" w:rsidP="00B83214">
            <w:pPr>
              <w:spacing w:before="0"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2"/>
                <w:szCs w:val="22"/>
              </w:rPr>
            </w:pPr>
            <w:r w:rsidRPr="001062B0">
              <w:rPr>
                <w:rFonts w:asciiTheme="majorHAnsi" w:hAnsiTheme="majorHAnsi" w:cstheme="minorHAnsi"/>
                <w:sz w:val="22"/>
                <w:szCs w:val="22"/>
              </w:rPr>
              <w:t>Tak</w:t>
            </w:r>
          </w:p>
        </w:tc>
      </w:tr>
    </w:tbl>
    <w:p w14:paraId="5DF580CA" w14:textId="77777777" w:rsidR="00B83214" w:rsidRPr="001062B0" w:rsidRDefault="00B83214" w:rsidP="00B83214">
      <w:pPr>
        <w:pStyle w:val="rdo"/>
        <w:sectPr w:rsidR="00B83214" w:rsidRPr="001062B0" w:rsidSect="006E38B9">
          <w:pgSz w:w="11906" w:h="16838"/>
          <w:pgMar w:top="1417" w:right="1417" w:bottom="1417" w:left="1417" w:header="708" w:footer="708" w:gutter="0"/>
          <w:pgNumType w:fmt="lowerRoman"/>
          <w:cols w:space="708"/>
          <w:titlePg/>
          <w:docGrid w:linePitch="360"/>
        </w:sectPr>
      </w:pPr>
      <w:r w:rsidRPr="001062B0">
        <w:t>Źródło:</w:t>
      </w:r>
      <w:r w:rsidRPr="001062B0">
        <w:tab/>
      </w:r>
      <w:r>
        <w:t xml:space="preserve"> </w:t>
      </w:r>
      <w:r w:rsidRPr="001062B0">
        <w:t>Roczna ocena jakości powietrza w województwie zachodniopomorskim - raport wojewód</w:t>
      </w:r>
      <w:r>
        <w:t xml:space="preserve">zki za rok 2020. GIOŚ, Szczecin; </w:t>
      </w:r>
      <w:hyperlink r:id="rId53" w:history="1">
        <w:r w:rsidRPr="008D2F0E">
          <w:rPr>
            <w:rStyle w:val="Hipercze"/>
          </w:rPr>
          <w:t>https://powietrze.gios.gov.pl/pjp/rwms/publications/card/1426</w:t>
        </w:r>
      </w:hyperlink>
      <w:r>
        <w:t>: (</w:t>
      </w:r>
      <w:r w:rsidRPr="001062B0">
        <w:t>dostęp</w:t>
      </w:r>
      <w:r>
        <w:t xml:space="preserve"> z dn.</w:t>
      </w:r>
      <w:r w:rsidRPr="001062B0">
        <w:t>: 06.05.2022</w:t>
      </w:r>
      <w:r>
        <w:t>)</w:t>
      </w:r>
    </w:p>
    <w:p w14:paraId="2E5AB208" w14:textId="7B35E9B1" w:rsidR="00B83214" w:rsidRPr="001062B0" w:rsidRDefault="00B83214" w:rsidP="00B83214">
      <w:pPr>
        <w:spacing w:after="0"/>
        <w:rPr>
          <w:szCs w:val="24"/>
        </w:rPr>
      </w:pPr>
      <w:r w:rsidRPr="001062B0">
        <w:rPr>
          <w:szCs w:val="24"/>
        </w:rPr>
        <w:t>Celem przeprowadzenia rocznej oceny jakości powietrza w woj. zachodniopomorskim wykorzystano wyniki pozyskane na stanowiskach pomiarowych spełniających kryteria dotyczące kompletności danych, określone w rozporządzeniu Ministra Klimatu i Środowiska z dnia 11 grudnia 2020 r.</w:t>
      </w:r>
      <w:r w:rsidRPr="001062B0">
        <w:rPr>
          <w:szCs w:val="24"/>
          <w:vertAlign w:val="superscript"/>
        </w:rPr>
        <w:footnoteReference w:id="124"/>
      </w:r>
      <w:r w:rsidRPr="001062B0">
        <w:rPr>
          <w:szCs w:val="24"/>
        </w:rPr>
        <w:t xml:space="preserve">. </w:t>
      </w:r>
      <w:r w:rsidR="00A628D2">
        <w:rPr>
          <w:szCs w:val="24"/>
        </w:rPr>
        <w:t>Ł</w:t>
      </w:r>
      <w:r w:rsidRPr="001062B0">
        <w:rPr>
          <w:szCs w:val="24"/>
        </w:rPr>
        <w:t>ącznie w</w:t>
      </w:r>
      <w:r w:rsidR="00A628D2">
        <w:rPr>
          <w:szCs w:val="24"/>
        </w:rPr>
        <w:t xml:space="preserve"> celu dokonania</w:t>
      </w:r>
      <w:r w:rsidRPr="001062B0">
        <w:rPr>
          <w:szCs w:val="24"/>
        </w:rPr>
        <w:t xml:space="preserve"> ocen</w:t>
      </w:r>
      <w:r w:rsidR="00A628D2">
        <w:rPr>
          <w:szCs w:val="24"/>
        </w:rPr>
        <w:t>y</w:t>
      </w:r>
      <w:r w:rsidRPr="001062B0">
        <w:rPr>
          <w:szCs w:val="24"/>
        </w:rPr>
        <w:t xml:space="preserve"> jakości powietrza za rok 2020 wykorzystano wyniku pozyskane </w:t>
      </w:r>
      <w:r w:rsidR="00A628D2">
        <w:rPr>
          <w:szCs w:val="24"/>
        </w:rPr>
        <w:t>ze</w:t>
      </w:r>
      <w:r w:rsidRPr="001062B0">
        <w:rPr>
          <w:szCs w:val="24"/>
        </w:rPr>
        <w:t xml:space="preserve"> stacj</w:t>
      </w:r>
      <w:r w:rsidR="00A628D2">
        <w:rPr>
          <w:szCs w:val="24"/>
        </w:rPr>
        <w:t>i</w:t>
      </w:r>
      <w:r w:rsidRPr="001062B0">
        <w:rPr>
          <w:szCs w:val="24"/>
        </w:rPr>
        <w:t xml:space="preserve"> i stanowisk pomiarowych</w:t>
      </w:r>
      <w:r w:rsidR="00A628D2">
        <w:rPr>
          <w:szCs w:val="24"/>
        </w:rPr>
        <w:t>:</w:t>
      </w:r>
      <w:r w:rsidRPr="001062B0">
        <w:rPr>
          <w:szCs w:val="24"/>
        </w:rPr>
        <w:t xml:space="preserve"> 7 z 11 automatycznych stacji pomiarowych zlokalizowana jest w Szczecinie, 2 stacje usytuowane są w obrębie aglomeracji szczecińskiej (ul. Andrzejewskiego, ul. Piłsudskiego), dwie stacje znajdują się w strefie miasto Koszalin (ul. Armii Krajowej, ul. Chopina) oraz trzy stacje zlokalizowane są w strefie zachodniopomorskiej, odpowiednio w miejscowości Widuchowa (powiat gryfiński), w obrębie strefy uzdrowiskowej A w Połczynie-Zdroju (powiat świdwiński) i w Szczecinku przy ul. Przemysłowej (powiat szczecinecki)</w:t>
      </w:r>
      <w:r w:rsidRPr="001062B0">
        <w:rPr>
          <w:szCs w:val="24"/>
          <w:vertAlign w:val="superscript"/>
        </w:rPr>
        <w:footnoteReference w:id="125"/>
      </w:r>
      <w:r w:rsidRPr="001062B0">
        <w:rPr>
          <w:szCs w:val="24"/>
        </w:rPr>
        <w:t>.</w:t>
      </w:r>
      <w:r w:rsidRPr="001062B0">
        <w:rPr>
          <w:sz w:val="22"/>
        </w:rPr>
        <w:t xml:space="preserve"> </w:t>
      </w:r>
      <w:r w:rsidRPr="001062B0">
        <w:rPr>
          <w:szCs w:val="24"/>
        </w:rPr>
        <w:t xml:space="preserve">W 2020 roku manualne pomiary pyłu (PM10 i PM2,5) prowadzono łącznie na 13 stanowiskach pomiarowych. Na 8 stanowiskach pomiarowych oznaczano stężenia benzo(a)pirenu w pyle PM10, a na stacji tła miejskiego w Szczecinie, pozostałe WWA [(benzo(a)antracen, benzo(b)fluoranten, benzo(j)fluoranten, benzo(k)fluoranten, indeno(1,2,3-cd)piren, dibenzo(a,h)antracen)]. Pomiary stężeń metali ciężkich (Cd, As, Ni, Pb) w pyle PM10 prowadzono na trzech stanowiskach pomiarowych (Szczecin, Koszalin, Szczecinek). Pomiary zawartości formaldehydu w powietrzu atmosferycznym (poza klasyfikacją) prowadzone były na stacji w Szczecinku, przy ul. Przemysłowej. Z danych przedstawionych w </w:t>
      </w:r>
      <w:r w:rsidRPr="001062B0">
        <w:rPr>
          <w:i/>
          <w:szCs w:val="24"/>
        </w:rPr>
        <w:t>Raporcie wojewódzkim za rok 2020</w:t>
      </w:r>
      <w:r w:rsidRPr="001062B0">
        <w:rPr>
          <w:i/>
          <w:szCs w:val="24"/>
          <w:vertAlign w:val="superscript"/>
        </w:rPr>
        <w:footnoteReference w:id="126"/>
      </w:r>
      <w:r w:rsidRPr="001062B0">
        <w:rPr>
          <w:szCs w:val="24"/>
        </w:rPr>
        <w:t xml:space="preserve"> wynika, że w zakresie oceny jakości powietrza za rok 2020 z uwzględnieniem kryteriów przyjętych ze względu na ochronę zdrowia ludzi, klasę C uzyskała jedynie strefa zachodniopomorska (zanieczyszczenie powietrza benzo(a)pirenem w pyle PM10). W zakresie zawartości w powietrzu dopuszczalnych stężeń pozostałych zanieczyszczeń, wszystkie strefy województwa zostały sklasyfikowane jako A (A1 pod kątem pyłu PM2,5 faza II). Dane szczegółowe przedstawiono w tabeli </w:t>
      </w:r>
      <w:r w:rsidRPr="00194782">
        <w:rPr>
          <w:szCs w:val="24"/>
        </w:rPr>
        <w:t>poniżej (</w:t>
      </w:r>
      <w:r w:rsidRPr="00194782">
        <w:rPr>
          <w:szCs w:val="24"/>
        </w:rPr>
        <w:fldChar w:fldCharType="begin"/>
      </w:r>
      <w:r w:rsidRPr="00194782">
        <w:rPr>
          <w:szCs w:val="24"/>
        </w:rPr>
        <w:instrText xml:space="preserve"> REF _Ref96936326 \h  \* MERGEFORMAT </w:instrText>
      </w:r>
      <w:r w:rsidRPr="00194782">
        <w:rPr>
          <w:szCs w:val="24"/>
        </w:rPr>
      </w:r>
      <w:r w:rsidRPr="00194782">
        <w:rPr>
          <w:szCs w:val="24"/>
        </w:rPr>
        <w:fldChar w:fldCharType="separate"/>
      </w:r>
      <w:r w:rsidR="002B5007" w:rsidRPr="002B5007">
        <w:rPr>
          <w:bCs/>
          <w:szCs w:val="24"/>
        </w:rPr>
        <w:t xml:space="preserve">Tabela </w:t>
      </w:r>
      <w:r w:rsidR="002B5007" w:rsidRPr="002B5007">
        <w:rPr>
          <w:bCs/>
          <w:noProof/>
          <w:szCs w:val="24"/>
        </w:rPr>
        <w:t>18</w:t>
      </w:r>
      <w:r w:rsidRPr="00194782">
        <w:rPr>
          <w:szCs w:val="24"/>
        </w:rPr>
        <w:fldChar w:fldCharType="end"/>
      </w:r>
      <w:r w:rsidRPr="00194782">
        <w:rPr>
          <w:szCs w:val="24"/>
        </w:rPr>
        <w:t xml:space="preserve">). </w:t>
      </w:r>
      <w:r w:rsidRPr="001062B0">
        <w:rPr>
          <w:szCs w:val="24"/>
        </w:rPr>
        <w:t>Ocenia jakości powietrza ze względu na ochronę roślin przeprowadzona została jedynie dla strefy zachodniopomorskiej (PL3203). Jak wynika z danych RWMŚ w</w:t>
      </w:r>
      <w:r>
        <w:rPr>
          <w:szCs w:val="24"/>
        </w:rPr>
        <w:t xml:space="preserve"> Szczecinie, w roku 2021</w:t>
      </w:r>
      <w:r w:rsidRPr="001062B0">
        <w:rPr>
          <w:szCs w:val="24"/>
        </w:rPr>
        <w:t xml:space="preserve"> nie odnotowano przekroczeń w zakresie dopuszczalnych poziomów zanieczyszczeń powietrza NO</w:t>
      </w:r>
      <w:r w:rsidRPr="001062B0">
        <w:rPr>
          <w:szCs w:val="24"/>
          <w:vertAlign w:val="subscript"/>
        </w:rPr>
        <w:t>x</w:t>
      </w:r>
      <w:r w:rsidRPr="001062B0">
        <w:rPr>
          <w:szCs w:val="24"/>
        </w:rPr>
        <w:t xml:space="preserve"> i SO</w:t>
      </w:r>
      <w:r w:rsidRPr="001062B0">
        <w:rPr>
          <w:szCs w:val="24"/>
          <w:vertAlign w:val="subscript"/>
        </w:rPr>
        <w:t>2</w:t>
      </w:r>
      <w:r w:rsidRPr="001062B0">
        <w:rPr>
          <w:szCs w:val="24"/>
        </w:rPr>
        <w:t>.</w:t>
      </w:r>
      <w:r>
        <w:rPr>
          <w:szCs w:val="24"/>
        </w:rPr>
        <w:t xml:space="preserve"> </w:t>
      </w:r>
      <w:r w:rsidRPr="001062B0">
        <w:rPr>
          <w:szCs w:val="24"/>
        </w:rPr>
        <w:t>Nie odnotowano również przekroczeń wartości wskaźnika AOT40, obowiązującego dla poziomu docelowego ozonu. Ze względu na ochronę roślin strefa zachodniopomorska została sklasyfikowana w klasie A.</w:t>
      </w:r>
      <w:r>
        <w:rPr>
          <w:szCs w:val="24"/>
        </w:rPr>
        <w:t xml:space="preserve"> </w:t>
      </w:r>
      <w:r w:rsidRPr="001062B0">
        <w:rPr>
          <w:szCs w:val="24"/>
        </w:rPr>
        <w:t>W</w:t>
      </w:r>
      <w:r>
        <w:rPr>
          <w:szCs w:val="24"/>
        </w:rPr>
        <w:t xml:space="preserve"> </w:t>
      </w:r>
      <w:r w:rsidRPr="001062B0">
        <w:rPr>
          <w:szCs w:val="24"/>
        </w:rPr>
        <w:t>roku 2020 w strefie zachodniopomorskiej odnotowano przekroczenie ozonu dla poziomu celu długoterminowego ze względu na ochronę roślin (klasa D2)</w:t>
      </w:r>
      <w:r w:rsidRPr="001062B0">
        <w:rPr>
          <w:szCs w:val="24"/>
          <w:vertAlign w:val="superscript"/>
        </w:rPr>
        <w:footnoteReference w:id="127"/>
      </w:r>
      <w:r w:rsidRPr="001062B0">
        <w:rPr>
          <w:szCs w:val="24"/>
        </w:rPr>
        <w:t>. Dane szczegółowe oceny jakości powietrza atmosferycznego woj. zachodniopomorskiego z uwzględnieniem kryterium ochrony roślin przedstawiono w tabeli poniżej (</w:t>
      </w:r>
      <w:r w:rsidRPr="00194782">
        <w:rPr>
          <w:szCs w:val="24"/>
        </w:rPr>
        <w:fldChar w:fldCharType="begin"/>
      </w:r>
      <w:r w:rsidRPr="00194782">
        <w:rPr>
          <w:szCs w:val="24"/>
        </w:rPr>
        <w:instrText xml:space="preserve"> REF _Ref96936218 \h  \* MERGEFORMAT </w:instrText>
      </w:r>
      <w:r w:rsidRPr="00194782">
        <w:rPr>
          <w:szCs w:val="24"/>
        </w:rPr>
      </w:r>
      <w:r w:rsidRPr="00194782">
        <w:rPr>
          <w:szCs w:val="24"/>
        </w:rPr>
        <w:fldChar w:fldCharType="separate"/>
      </w:r>
      <w:r w:rsidR="002B5007" w:rsidRPr="002B5007">
        <w:rPr>
          <w:bCs/>
          <w:szCs w:val="24"/>
        </w:rPr>
        <w:t xml:space="preserve">Tabela </w:t>
      </w:r>
      <w:r w:rsidR="002B5007" w:rsidRPr="002B5007">
        <w:rPr>
          <w:bCs/>
          <w:noProof/>
          <w:szCs w:val="24"/>
        </w:rPr>
        <w:t>19</w:t>
      </w:r>
      <w:r w:rsidRPr="00194782">
        <w:rPr>
          <w:szCs w:val="24"/>
        </w:rPr>
        <w:fldChar w:fldCharType="end"/>
      </w:r>
      <w:r w:rsidRPr="00194782">
        <w:rPr>
          <w:szCs w:val="24"/>
        </w:rPr>
        <w:t>).</w:t>
      </w:r>
    </w:p>
    <w:p w14:paraId="686C9EEA" w14:textId="77777777" w:rsidR="00B83214" w:rsidRPr="001062B0" w:rsidRDefault="00B83214" w:rsidP="00B83214">
      <w:pPr>
        <w:spacing w:before="0" w:after="0"/>
        <w:jc w:val="both"/>
        <w:rPr>
          <w:sz w:val="22"/>
          <w:szCs w:val="24"/>
        </w:rPr>
      </w:pPr>
    </w:p>
    <w:p w14:paraId="2A197830" w14:textId="77777777" w:rsidR="00B83214" w:rsidRPr="001062B0" w:rsidRDefault="00B83214" w:rsidP="00B83214">
      <w:pPr>
        <w:spacing w:before="0" w:after="0" w:line="276" w:lineRule="auto"/>
        <w:jc w:val="both"/>
        <w:rPr>
          <w:sz w:val="22"/>
          <w:szCs w:val="24"/>
        </w:rPr>
        <w:sectPr w:rsidR="00B83214" w:rsidRPr="001062B0" w:rsidSect="006E38B9">
          <w:pgSz w:w="11906" w:h="16838"/>
          <w:pgMar w:top="1417" w:right="1417" w:bottom="1417" w:left="1417" w:header="708" w:footer="708" w:gutter="0"/>
          <w:pgNumType w:fmt="lowerRoman"/>
          <w:cols w:space="708"/>
          <w:titlePg/>
          <w:docGrid w:linePitch="360"/>
        </w:sectPr>
      </w:pPr>
    </w:p>
    <w:p w14:paraId="2E24829C" w14:textId="77777777" w:rsidR="00B83214" w:rsidRPr="001062B0" w:rsidRDefault="00B83214" w:rsidP="00B83214">
      <w:pPr>
        <w:pStyle w:val="Podpispodrysunkiem"/>
      </w:pPr>
      <w:bookmarkStart w:id="196" w:name="_Ref96936326"/>
      <w:bookmarkStart w:id="197" w:name="_Toc97537944"/>
      <w:bookmarkStart w:id="198" w:name="_Toc104790088"/>
      <w:r w:rsidRPr="001062B0">
        <w:t xml:space="preserve">Tabela </w:t>
      </w:r>
      <w:r w:rsidRPr="001062B0">
        <w:fldChar w:fldCharType="begin"/>
      </w:r>
      <w:r w:rsidRPr="001062B0">
        <w:instrText>SEQ Tabela \* ARABIC</w:instrText>
      </w:r>
      <w:r w:rsidRPr="001062B0">
        <w:fldChar w:fldCharType="separate"/>
      </w:r>
      <w:r w:rsidR="002B5007">
        <w:rPr>
          <w:noProof/>
        </w:rPr>
        <w:t>18</w:t>
      </w:r>
      <w:r w:rsidRPr="001062B0">
        <w:fldChar w:fldCharType="end"/>
      </w:r>
      <w:bookmarkEnd w:id="196"/>
      <w:r w:rsidRPr="001062B0">
        <w:t xml:space="preserve"> Klasy stref dla poszczególnych zanieczyszczeń, uzyskane w o</w:t>
      </w:r>
      <w:r>
        <w:t>cenie rocznej dokonanej dla województwa</w:t>
      </w:r>
      <w:r w:rsidRPr="001062B0">
        <w:t xml:space="preserve"> zachodniopomorskiego w roku 2020 z uwzględnieniem kryteriów ustanowionych w celu ochrony zdrowia </w:t>
      </w:r>
      <w:r w:rsidRPr="007C07ED">
        <w:t>ludzi</w:t>
      </w:r>
      <w:r w:rsidRPr="001062B0">
        <w:t xml:space="preserve"> - klasyfikacja podstawowa (klasy: A, C oraz A1, C1 dla pyłu PM2,5)</w:t>
      </w:r>
      <w:bookmarkEnd w:id="197"/>
      <w:bookmarkEnd w:id="198"/>
    </w:p>
    <w:tbl>
      <w:tblPr>
        <w:tblStyle w:val="Tabelasiatki1jasnaakcent11"/>
        <w:tblW w:w="4962" w:type="pct"/>
        <w:tblInd w:w="108" w:type="dxa"/>
        <w:tblLook w:val="04A0" w:firstRow="1" w:lastRow="0" w:firstColumn="1" w:lastColumn="0" w:noHBand="0" w:noVBand="1"/>
      </w:tblPr>
      <w:tblGrid>
        <w:gridCol w:w="511"/>
        <w:gridCol w:w="3966"/>
        <w:gridCol w:w="1381"/>
        <w:gridCol w:w="647"/>
        <w:gridCol w:w="698"/>
        <w:gridCol w:w="749"/>
        <w:gridCol w:w="574"/>
        <w:gridCol w:w="670"/>
        <w:gridCol w:w="901"/>
        <w:gridCol w:w="534"/>
        <w:gridCol w:w="512"/>
        <w:gridCol w:w="537"/>
        <w:gridCol w:w="487"/>
        <w:gridCol w:w="837"/>
        <w:gridCol w:w="1108"/>
      </w:tblGrid>
      <w:tr w:rsidR="00B83214" w:rsidRPr="001062B0" w14:paraId="24837E9C" w14:textId="77777777" w:rsidTr="00B832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 w:type="pct"/>
          </w:tcPr>
          <w:p w14:paraId="49B364DA" w14:textId="77777777" w:rsidR="00B83214" w:rsidRPr="001062B0" w:rsidRDefault="00B83214" w:rsidP="00B83214">
            <w:pPr>
              <w:spacing w:after="200" w:line="240" w:lineRule="auto"/>
              <w:rPr>
                <w:rFonts w:cstheme="minorHAnsi"/>
                <w:bCs w:val="0"/>
                <w:szCs w:val="24"/>
              </w:rPr>
            </w:pPr>
            <w:r w:rsidRPr="001062B0">
              <w:rPr>
                <w:rFonts w:cstheme="minorHAnsi"/>
                <w:bCs w:val="0"/>
                <w:szCs w:val="24"/>
              </w:rPr>
              <w:t>Lp.</w:t>
            </w:r>
          </w:p>
        </w:tc>
        <w:tc>
          <w:tcPr>
            <w:tcW w:w="1406" w:type="pct"/>
          </w:tcPr>
          <w:p w14:paraId="0230D24B"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rPr>
            </w:pPr>
            <w:r w:rsidRPr="001062B0">
              <w:rPr>
                <w:rFonts w:cstheme="minorHAnsi"/>
                <w:bCs w:val="0"/>
                <w:szCs w:val="24"/>
              </w:rPr>
              <w:t>Nazwa strefy</w:t>
            </w:r>
          </w:p>
        </w:tc>
        <w:tc>
          <w:tcPr>
            <w:tcW w:w="490" w:type="pct"/>
          </w:tcPr>
          <w:p w14:paraId="26004B95"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rPr>
            </w:pPr>
            <w:r w:rsidRPr="001062B0">
              <w:rPr>
                <w:rFonts w:cstheme="minorHAnsi"/>
                <w:bCs w:val="0"/>
                <w:szCs w:val="24"/>
              </w:rPr>
              <w:t>Kod strefy</w:t>
            </w:r>
          </w:p>
        </w:tc>
        <w:tc>
          <w:tcPr>
            <w:tcW w:w="230" w:type="pct"/>
          </w:tcPr>
          <w:p w14:paraId="74605FC8"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rPr>
            </w:pPr>
            <w:r w:rsidRPr="001062B0">
              <w:rPr>
                <w:rFonts w:cstheme="minorHAnsi"/>
                <w:bCs w:val="0"/>
                <w:szCs w:val="24"/>
              </w:rPr>
              <w:t>SO</w:t>
            </w:r>
            <w:r w:rsidRPr="001062B0">
              <w:rPr>
                <w:rFonts w:cstheme="minorHAnsi"/>
                <w:bCs w:val="0"/>
                <w:szCs w:val="24"/>
                <w:vertAlign w:val="subscript"/>
              </w:rPr>
              <w:t>2</w:t>
            </w:r>
          </w:p>
        </w:tc>
        <w:tc>
          <w:tcPr>
            <w:tcW w:w="248" w:type="pct"/>
          </w:tcPr>
          <w:p w14:paraId="30476588"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rPr>
            </w:pPr>
            <w:r w:rsidRPr="001062B0">
              <w:rPr>
                <w:rFonts w:cstheme="minorHAnsi"/>
                <w:bCs w:val="0"/>
                <w:szCs w:val="24"/>
              </w:rPr>
              <w:t>NO</w:t>
            </w:r>
            <w:r w:rsidRPr="001062B0">
              <w:rPr>
                <w:rFonts w:cstheme="minorHAnsi"/>
                <w:bCs w:val="0"/>
                <w:szCs w:val="24"/>
                <w:vertAlign w:val="subscript"/>
              </w:rPr>
              <w:t>2</w:t>
            </w:r>
          </w:p>
        </w:tc>
        <w:tc>
          <w:tcPr>
            <w:tcW w:w="266" w:type="pct"/>
          </w:tcPr>
          <w:p w14:paraId="3E0EDF35"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rPr>
            </w:pPr>
            <w:r w:rsidRPr="001062B0">
              <w:rPr>
                <w:rFonts w:cstheme="minorHAnsi"/>
                <w:bCs w:val="0"/>
                <w:szCs w:val="24"/>
              </w:rPr>
              <w:t>C</w:t>
            </w:r>
            <w:r w:rsidRPr="001062B0">
              <w:rPr>
                <w:rFonts w:cstheme="minorHAnsi"/>
                <w:bCs w:val="0"/>
                <w:szCs w:val="24"/>
                <w:vertAlign w:val="subscript"/>
              </w:rPr>
              <w:t>6</w:t>
            </w:r>
            <w:r w:rsidRPr="001062B0">
              <w:rPr>
                <w:rFonts w:cstheme="minorHAnsi"/>
                <w:bCs w:val="0"/>
                <w:szCs w:val="24"/>
              </w:rPr>
              <w:t>H</w:t>
            </w:r>
            <w:r w:rsidRPr="001062B0">
              <w:rPr>
                <w:rFonts w:cstheme="minorHAnsi"/>
                <w:bCs w:val="0"/>
                <w:szCs w:val="24"/>
                <w:vertAlign w:val="subscript"/>
              </w:rPr>
              <w:t>6</w:t>
            </w:r>
          </w:p>
        </w:tc>
        <w:tc>
          <w:tcPr>
            <w:tcW w:w="204" w:type="pct"/>
          </w:tcPr>
          <w:p w14:paraId="5B95D50F"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rPr>
            </w:pPr>
            <w:r w:rsidRPr="001062B0">
              <w:rPr>
                <w:rFonts w:cstheme="minorHAnsi"/>
                <w:bCs w:val="0"/>
                <w:szCs w:val="24"/>
              </w:rPr>
              <w:t>CO</w:t>
            </w:r>
          </w:p>
        </w:tc>
        <w:tc>
          <w:tcPr>
            <w:tcW w:w="238" w:type="pct"/>
          </w:tcPr>
          <w:p w14:paraId="1E1B945E"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vertAlign w:val="superscript"/>
              </w:rPr>
            </w:pPr>
            <w:r w:rsidRPr="001062B0">
              <w:rPr>
                <w:rFonts w:cstheme="minorHAnsi"/>
                <w:bCs w:val="0"/>
                <w:szCs w:val="24"/>
              </w:rPr>
              <w:t>O</w:t>
            </w:r>
            <w:r w:rsidRPr="001062B0">
              <w:rPr>
                <w:rFonts w:cstheme="minorHAnsi"/>
                <w:bCs w:val="0"/>
                <w:szCs w:val="24"/>
                <w:vertAlign w:val="subscript"/>
              </w:rPr>
              <w:t>3</w:t>
            </w:r>
            <w:r w:rsidRPr="001062B0">
              <w:rPr>
                <w:rFonts w:cstheme="minorHAnsi"/>
                <w:bCs w:val="0"/>
                <w:szCs w:val="24"/>
                <w:vertAlign w:val="superscript"/>
              </w:rPr>
              <w:t>1)</w:t>
            </w:r>
          </w:p>
        </w:tc>
        <w:tc>
          <w:tcPr>
            <w:tcW w:w="320" w:type="pct"/>
          </w:tcPr>
          <w:p w14:paraId="23178D8D"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rPr>
            </w:pPr>
            <w:r w:rsidRPr="001062B0">
              <w:rPr>
                <w:rFonts w:cstheme="minorHAnsi"/>
                <w:bCs w:val="0"/>
                <w:szCs w:val="24"/>
              </w:rPr>
              <w:t>PM10</w:t>
            </w:r>
          </w:p>
        </w:tc>
        <w:tc>
          <w:tcPr>
            <w:tcW w:w="190" w:type="pct"/>
          </w:tcPr>
          <w:p w14:paraId="599E24ED"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rPr>
            </w:pPr>
            <w:r w:rsidRPr="001062B0">
              <w:rPr>
                <w:rFonts w:cstheme="minorHAnsi"/>
                <w:bCs w:val="0"/>
                <w:szCs w:val="24"/>
              </w:rPr>
              <w:t>Pb</w:t>
            </w:r>
          </w:p>
        </w:tc>
        <w:tc>
          <w:tcPr>
            <w:tcW w:w="182" w:type="pct"/>
          </w:tcPr>
          <w:p w14:paraId="22FB759C"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rPr>
            </w:pPr>
            <w:r w:rsidRPr="001062B0">
              <w:rPr>
                <w:rFonts w:cstheme="minorHAnsi"/>
                <w:bCs w:val="0"/>
                <w:szCs w:val="24"/>
              </w:rPr>
              <w:t>As</w:t>
            </w:r>
          </w:p>
        </w:tc>
        <w:tc>
          <w:tcPr>
            <w:tcW w:w="191" w:type="pct"/>
          </w:tcPr>
          <w:p w14:paraId="23DBAF86"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rPr>
            </w:pPr>
            <w:r w:rsidRPr="001062B0">
              <w:rPr>
                <w:rFonts w:cstheme="minorHAnsi"/>
                <w:bCs w:val="0"/>
                <w:szCs w:val="24"/>
              </w:rPr>
              <w:t>Cd</w:t>
            </w:r>
          </w:p>
        </w:tc>
        <w:tc>
          <w:tcPr>
            <w:tcW w:w="173" w:type="pct"/>
          </w:tcPr>
          <w:p w14:paraId="3DE976F4"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rPr>
            </w:pPr>
            <w:r w:rsidRPr="001062B0">
              <w:rPr>
                <w:rFonts w:cstheme="minorHAnsi"/>
                <w:bCs w:val="0"/>
                <w:szCs w:val="24"/>
              </w:rPr>
              <w:t>Ni</w:t>
            </w:r>
          </w:p>
        </w:tc>
        <w:tc>
          <w:tcPr>
            <w:tcW w:w="297" w:type="pct"/>
          </w:tcPr>
          <w:p w14:paraId="40854F39"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rPr>
            </w:pPr>
            <w:r w:rsidRPr="001062B0">
              <w:rPr>
                <w:rFonts w:cstheme="minorHAnsi"/>
                <w:bCs w:val="0"/>
                <w:szCs w:val="24"/>
              </w:rPr>
              <w:t>B(a)P</w:t>
            </w:r>
          </w:p>
        </w:tc>
        <w:tc>
          <w:tcPr>
            <w:tcW w:w="397" w:type="pct"/>
          </w:tcPr>
          <w:p w14:paraId="553D1CB7"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rFonts w:cstheme="minorHAnsi"/>
                <w:bCs w:val="0"/>
                <w:szCs w:val="24"/>
                <w:vertAlign w:val="superscript"/>
              </w:rPr>
            </w:pPr>
            <w:r w:rsidRPr="001062B0">
              <w:rPr>
                <w:rFonts w:cstheme="minorHAnsi"/>
                <w:bCs w:val="0"/>
                <w:szCs w:val="24"/>
              </w:rPr>
              <w:t>PM2,5</w:t>
            </w:r>
            <w:r w:rsidRPr="001062B0">
              <w:rPr>
                <w:rFonts w:cstheme="minorHAnsi"/>
                <w:bCs w:val="0"/>
                <w:szCs w:val="24"/>
                <w:vertAlign w:val="superscript"/>
              </w:rPr>
              <w:t>2)</w:t>
            </w:r>
          </w:p>
        </w:tc>
      </w:tr>
      <w:tr w:rsidR="00B83214" w:rsidRPr="001062B0" w14:paraId="782E6B16" w14:textId="77777777" w:rsidTr="00B83214">
        <w:tc>
          <w:tcPr>
            <w:cnfStyle w:val="001000000000" w:firstRow="0" w:lastRow="0" w:firstColumn="1" w:lastColumn="0" w:oddVBand="0" w:evenVBand="0" w:oddHBand="0" w:evenHBand="0" w:firstRowFirstColumn="0" w:firstRowLastColumn="0" w:lastRowFirstColumn="0" w:lastRowLastColumn="0"/>
            <w:tcW w:w="172" w:type="pct"/>
          </w:tcPr>
          <w:p w14:paraId="639CF040" w14:textId="77777777" w:rsidR="00B83214" w:rsidRPr="001062B0" w:rsidRDefault="00B83214" w:rsidP="00B83214">
            <w:pPr>
              <w:spacing w:after="200" w:line="240" w:lineRule="auto"/>
              <w:rPr>
                <w:rFonts w:cstheme="minorHAnsi"/>
                <w:b w:val="0"/>
                <w:bCs w:val="0"/>
                <w:szCs w:val="24"/>
              </w:rPr>
            </w:pPr>
            <w:r w:rsidRPr="001062B0">
              <w:rPr>
                <w:rFonts w:cstheme="minorHAnsi"/>
                <w:b w:val="0"/>
                <w:bCs w:val="0"/>
                <w:szCs w:val="24"/>
              </w:rPr>
              <w:t>1</w:t>
            </w:r>
          </w:p>
        </w:tc>
        <w:tc>
          <w:tcPr>
            <w:tcW w:w="1406" w:type="pct"/>
          </w:tcPr>
          <w:p w14:paraId="16B9AF54" w14:textId="77777777" w:rsidR="00B83214" w:rsidRPr="001062B0" w:rsidRDefault="00B83214" w:rsidP="00B83214">
            <w:pPr>
              <w:spacing w:after="20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aglomeracja szczecińska</w:t>
            </w:r>
          </w:p>
        </w:tc>
        <w:tc>
          <w:tcPr>
            <w:tcW w:w="490" w:type="pct"/>
          </w:tcPr>
          <w:p w14:paraId="6C87E874" w14:textId="77777777" w:rsidR="00B83214" w:rsidRPr="001062B0" w:rsidRDefault="00B83214" w:rsidP="00B83214">
            <w:pPr>
              <w:spacing w:after="20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PL3201</w:t>
            </w:r>
          </w:p>
        </w:tc>
        <w:tc>
          <w:tcPr>
            <w:tcW w:w="230" w:type="pct"/>
            <w:shd w:val="clear" w:color="auto" w:fill="auto"/>
          </w:tcPr>
          <w:p w14:paraId="34ED9A29"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48" w:type="pct"/>
            <w:shd w:val="clear" w:color="auto" w:fill="auto"/>
          </w:tcPr>
          <w:p w14:paraId="1A3FDFA7"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66" w:type="pct"/>
            <w:shd w:val="clear" w:color="auto" w:fill="auto"/>
          </w:tcPr>
          <w:p w14:paraId="1F73CB75"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04" w:type="pct"/>
            <w:shd w:val="clear" w:color="auto" w:fill="auto"/>
          </w:tcPr>
          <w:p w14:paraId="38510D6A"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38" w:type="pct"/>
            <w:shd w:val="clear" w:color="auto" w:fill="auto"/>
          </w:tcPr>
          <w:p w14:paraId="187C610B"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vertAlign w:val="superscript"/>
              </w:rPr>
            </w:pPr>
            <w:r w:rsidRPr="001062B0">
              <w:rPr>
                <w:rFonts w:cstheme="minorHAnsi"/>
                <w:szCs w:val="24"/>
              </w:rPr>
              <w:t>A</w:t>
            </w:r>
            <w:r w:rsidRPr="001062B0">
              <w:rPr>
                <w:rFonts w:cstheme="minorHAnsi"/>
                <w:szCs w:val="24"/>
                <w:vertAlign w:val="superscript"/>
              </w:rPr>
              <w:t>1</w:t>
            </w:r>
          </w:p>
        </w:tc>
        <w:tc>
          <w:tcPr>
            <w:tcW w:w="320" w:type="pct"/>
            <w:shd w:val="clear" w:color="auto" w:fill="auto"/>
          </w:tcPr>
          <w:p w14:paraId="76A3AC0C"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190" w:type="pct"/>
            <w:shd w:val="clear" w:color="auto" w:fill="auto"/>
          </w:tcPr>
          <w:p w14:paraId="000C4C63"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182" w:type="pct"/>
            <w:shd w:val="clear" w:color="auto" w:fill="auto"/>
          </w:tcPr>
          <w:p w14:paraId="72DB2763"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191" w:type="pct"/>
            <w:shd w:val="clear" w:color="auto" w:fill="auto"/>
          </w:tcPr>
          <w:p w14:paraId="5C82EE5C"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173" w:type="pct"/>
            <w:shd w:val="clear" w:color="auto" w:fill="auto"/>
          </w:tcPr>
          <w:p w14:paraId="25FF2E65"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97" w:type="pct"/>
            <w:shd w:val="clear" w:color="auto" w:fill="auto"/>
          </w:tcPr>
          <w:p w14:paraId="49A38C8B"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397" w:type="pct"/>
            <w:shd w:val="clear" w:color="auto" w:fill="auto"/>
          </w:tcPr>
          <w:p w14:paraId="22537EA6"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A1</w:t>
            </w:r>
          </w:p>
        </w:tc>
      </w:tr>
      <w:tr w:rsidR="00B83214" w:rsidRPr="001062B0" w14:paraId="66513ADC" w14:textId="77777777" w:rsidTr="00B83214">
        <w:tc>
          <w:tcPr>
            <w:cnfStyle w:val="001000000000" w:firstRow="0" w:lastRow="0" w:firstColumn="1" w:lastColumn="0" w:oddVBand="0" w:evenVBand="0" w:oddHBand="0" w:evenHBand="0" w:firstRowFirstColumn="0" w:firstRowLastColumn="0" w:lastRowFirstColumn="0" w:lastRowLastColumn="0"/>
            <w:tcW w:w="172" w:type="pct"/>
          </w:tcPr>
          <w:p w14:paraId="27CF2175" w14:textId="77777777" w:rsidR="00B83214" w:rsidRPr="001062B0" w:rsidRDefault="00B83214" w:rsidP="00B83214">
            <w:pPr>
              <w:spacing w:after="200" w:line="240" w:lineRule="auto"/>
              <w:rPr>
                <w:rFonts w:cstheme="minorHAnsi"/>
                <w:b w:val="0"/>
                <w:bCs w:val="0"/>
                <w:szCs w:val="24"/>
              </w:rPr>
            </w:pPr>
            <w:r w:rsidRPr="001062B0">
              <w:rPr>
                <w:rFonts w:cstheme="minorHAnsi"/>
                <w:b w:val="0"/>
                <w:bCs w:val="0"/>
                <w:szCs w:val="24"/>
              </w:rPr>
              <w:t>2</w:t>
            </w:r>
          </w:p>
        </w:tc>
        <w:tc>
          <w:tcPr>
            <w:tcW w:w="1406" w:type="pct"/>
          </w:tcPr>
          <w:p w14:paraId="50433FB9" w14:textId="77777777" w:rsidR="00B83214" w:rsidRPr="001062B0" w:rsidRDefault="00B83214" w:rsidP="00B83214">
            <w:pPr>
              <w:spacing w:after="20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miasto Koszalin</w:t>
            </w:r>
          </w:p>
        </w:tc>
        <w:tc>
          <w:tcPr>
            <w:tcW w:w="490" w:type="pct"/>
          </w:tcPr>
          <w:p w14:paraId="3EF07B37" w14:textId="77777777" w:rsidR="00B83214" w:rsidRPr="001062B0" w:rsidRDefault="00B83214" w:rsidP="00B83214">
            <w:pPr>
              <w:spacing w:after="20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PL3202</w:t>
            </w:r>
          </w:p>
        </w:tc>
        <w:tc>
          <w:tcPr>
            <w:tcW w:w="230" w:type="pct"/>
            <w:shd w:val="clear" w:color="auto" w:fill="auto"/>
          </w:tcPr>
          <w:p w14:paraId="2AB3D31C"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48" w:type="pct"/>
            <w:shd w:val="clear" w:color="auto" w:fill="auto"/>
          </w:tcPr>
          <w:p w14:paraId="4FB6A2C0"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66" w:type="pct"/>
            <w:shd w:val="clear" w:color="auto" w:fill="auto"/>
          </w:tcPr>
          <w:p w14:paraId="2C8E87D4"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04" w:type="pct"/>
            <w:shd w:val="clear" w:color="auto" w:fill="auto"/>
          </w:tcPr>
          <w:p w14:paraId="72FD8EF4"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38" w:type="pct"/>
            <w:shd w:val="clear" w:color="auto" w:fill="auto"/>
          </w:tcPr>
          <w:p w14:paraId="046216AA"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vertAlign w:val="superscript"/>
              </w:rPr>
            </w:pPr>
            <w:r w:rsidRPr="001062B0">
              <w:rPr>
                <w:rFonts w:cstheme="minorHAnsi"/>
                <w:szCs w:val="24"/>
              </w:rPr>
              <w:t>A</w:t>
            </w:r>
            <w:r w:rsidRPr="001062B0">
              <w:rPr>
                <w:rFonts w:cstheme="minorHAnsi"/>
                <w:szCs w:val="24"/>
                <w:vertAlign w:val="superscript"/>
              </w:rPr>
              <w:t>1</w:t>
            </w:r>
          </w:p>
        </w:tc>
        <w:tc>
          <w:tcPr>
            <w:tcW w:w="320" w:type="pct"/>
            <w:shd w:val="clear" w:color="auto" w:fill="auto"/>
          </w:tcPr>
          <w:p w14:paraId="420C1A26"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190" w:type="pct"/>
            <w:shd w:val="clear" w:color="auto" w:fill="auto"/>
          </w:tcPr>
          <w:p w14:paraId="65540BF4"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182" w:type="pct"/>
            <w:shd w:val="clear" w:color="auto" w:fill="auto"/>
          </w:tcPr>
          <w:p w14:paraId="645B7BE9"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191" w:type="pct"/>
            <w:shd w:val="clear" w:color="auto" w:fill="auto"/>
          </w:tcPr>
          <w:p w14:paraId="24AD858B"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173" w:type="pct"/>
            <w:shd w:val="clear" w:color="auto" w:fill="auto"/>
          </w:tcPr>
          <w:p w14:paraId="2FE8EE8D"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97" w:type="pct"/>
            <w:shd w:val="clear" w:color="auto" w:fill="auto"/>
          </w:tcPr>
          <w:p w14:paraId="161474E3"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397" w:type="pct"/>
            <w:shd w:val="clear" w:color="auto" w:fill="auto"/>
          </w:tcPr>
          <w:p w14:paraId="29D4DDE4"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A1</w:t>
            </w:r>
          </w:p>
        </w:tc>
      </w:tr>
      <w:tr w:rsidR="00B83214" w:rsidRPr="001062B0" w14:paraId="2E6B2894" w14:textId="77777777" w:rsidTr="00B83214">
        <w:tc>
          <w:tcPr>
            <w:cnfStyle w:val="001000000000" w:firstRow="0" w:lastRow="0" w:firstColumn="1" w:lastColumn="0" w:oddVBand="0" w:evenVBand="0" w:oddHBand="0" w:evenHBand="0" w:firstRowFirstColumn="0" w:firstRowLastColumn="0" w:lastRowFirstColumn="0" w:lastRowLastColumn="0"/>
            <w:tcW w:w="172" w:type="pct"/>
          </w:tcPr>
          <w:p w14:paraId="554BEB41" w14:textId="77777777" w:rsidR="00B83214" w:rsidRPr="001062B0" w:rsidRDefault="00B83214" w:rsidP="00B83214">
            <w:pPr>
              <w:spacing w:after="200" w:line="240" w:lineRule="auto"/>
              <w:rPr>
                <w:rFonts w:cstheme="minorHAnsi"/>
                <w:b w:val="0"/>
                <w:bCs w:val="0"/>
                <w:szCs w:val="24"/>
              </w:rPr>
            </w:pPr>
            <w:r w:rsidRPr="001062B0">
              <w:rPr>
                <w:rFonts w:cstheme="minorHAnsi"/>
                <w:b w:val="0"/>
                <w:bCs w:val="0"/>
                <w:szCs w:val="24"/>
              </w:rPr>
              <w:t>3</w:t>
            </w:r>
          </w:p>
        </w:tc>
        <w:tc>
          <w:tcPr>
            <w:tcW w:w="1406" w:type="pct"/>
          </w:tcPr>
          <w:p w14:paraId="5C8CF494" w14:textId="77777777" w:rsidR="00B83214" w:rsidRPr="001062B0" w:rsidRDefault="00B83214" w:rsidP="00B83214">
            <w:pPr>
              <w:spacing w:after="20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 xml:space="preserve">strefa zachodniopomorska </w:t>
            </w:r>
          </w:p>
        </w:tc>
        <w:tc>
          <w:tcPr>
            <w:tcW w:w="490" w:type="pct"/>
          </w:tcPr>
          <w:p w14:paraId="268FB50C" w14:textId="77777777" w:rsidR="00B83214" w:rsidRPr="001062B0" w:rsidRDefault="00B83214" w:rsidP="00B83214">
            <w:pPr>
              <w:spacing w:after="20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PL3203</w:t>
            </w:r>
          </w:p>
        </w:tc>
        <w:tc>
          <w:tcPr>
            <w:tcW w:w="230" w:type="pct"/>
            <w:shd w:val="clear" w:color="auto" w:fill="auto"/>
          </w:tcPr>
          <w:p w14:paraId="72215AAF"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48" w:type="pct"/>
            <w:shd w:val="clear" w:color="auto" w:fill="auto"/>
          </w:tcPr>
          <w:p w14:paraId="04A0D6CD"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66" w:type="pct"/>
            <w:shd w:val="clear" w:color="auto" w:fill="auto"/>
          </w:tcPr>
          <w:p w14:paraId="295D2741"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04" w:type="pct"/>
            <w:shd w:val="clear" w:color="auto" w:fill="auto"/>
          </w:tcPr>
          <w:p w14:paraId="75B7A59A"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38" w:type="pct"/>
            <w:shd w:val="clear" w:color="auto" w:fill="auto"/>
          </w:tcPr>
          <w:p w14:paraId="2158FF9B"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vertAlign w:val="subscript"/>
              </w:rPr>
            </w:pPr>
            <w:r w:rsidRPr="001062B0">
              <w:rPr>
                <w:rFonts w:cstheme="minorHAnsi"/>
                <w:szCs w:val="24"/>
              </w:rPr>
              <w:t>A</w:t>
            </w:r>
            <w:r w:rsidRPr="001062B0">
              <w:rPr>
                <w:rFonts w:cstheme="minorHAnsi"/>
                <w:szCs w:val="24"/>
                <w:vertAlign w:val="subscript"/>
              </w:rPr>
              <w:t>1</w:t>
            </w:r>
          </w:p>
        </w:tc>
        <w:tc>
          <w:tcPr>
            <w:tcW w:w="320" w:type="pct"/>
            <w:shd w:val="clear" w:color="auto" w:fill="auto"/>
          </w:tcPr>
          <w:p w14:paraId="6E529E1E"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190" w:type="pct"/>
            <w:shd w:val="clear" w:color="auto" w:fill="auto"/>
          </w:tcPr>
          <w:p w14:paraId="7288E9AB"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182" w:type="pct"/>
            <w:shd w:val="clear" w:color="auto" w:fill="auto"/>
          </w:tcPr>
          <w:p w14:paraId="0979403B"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191" w:type="pct"/>
            <w:shd w:val="clear" w:color="auto" w:fill="auto"/>
          </w:tcPr>
          <w:p w14:paraId="0BA1DBB2"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173" w:type="pct"/>
            <w:shd w:val="clear" w:color="auto" w:fill="auto"/>
          </w:tcPr>
          <w:p w14:paraId="5B760159"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w:t>
            </w:r>
          </w:p>
        </w:tc>
        <w:tc>
          <w:tcPr>
            <w:tcW w:w="297" w:type="pct"/>
            <w:shd w:val="clear" w:color="auto" w:fill="FF0000"/>
          </w:tcPr>
          <w:p w14:paraId="591E8A53"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c</w:t>
            </w:r>
          </w:p>
        </w:tc>
        <w:tc>
          <w:tcPr>
            <w:tcW w:w="397" w:type="pct"/>
            <w:shd w:val="clear" w:color="auto" w:fill="auto"/>
          </w:tcPr>
          <w:p w14:paraId="03AD6793"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Cs w:val="24"/>
              </w:rPr>
            </w:pPr>
            <w:r w:rsidRPr="001062B0">
              <w:rPr>
                <w:rFonts w:cstheme="minorHAnsi"/>
                <w:szCs w:val="24"/>
              </w:rPr>
              <w:t>A1</w:t>
            </w:r>
          </w:p>
        </w:tc>
      </w:tr>
    </w:tbl>
    <w:p w14:paraId="600075C1" w14:textId="77777777" w:rsidR="00B83214" w:rsidRPr="001062B0" w:rsidRDefault="00B83214" w:rsidP="00B83214">
      <w:pPr>
        <w:spacing w:before="0" w:after="0" w:line="276" w:lineRule="auto"/>
        <w:rPr>
          <w:i/>
          <w:iCs/>
          <w:szCs w:val="24"/>
        </w:rPr>
      </w:pPr>
      <w:r w:rsidRPr="001062B0">
        <w:rPr>
          <w:i/>
          <w:iCs/>
          <w:szCs w:val="24"/>
          <w:vertAlign w:val="superscript"/>
        </w:rPr>
        <w:t>1</w:t>
      </w:r>
      <w:r w:rsidRPr="001062B0">
        <w:rPr>
          <w:i/>
          <w:iCs/>
          <w:szCs w:val="24"/>
        </w:rPr>
        <w:t xml:space="preserve"> Dla ozonu – poziom celu długoterminowego, strefy uzyskały klasę D2</w:t>
      </w:r>
    </w:p>
    <w:p w14:paraId="0CB24B9A" w14:textId="77777777" w:rsidR="00B83214" w:rsidRPr="001062B0" w:rsidRDefault="00B83214" w:rsidP="00B83214">
      <w:pPr>
        <w:pStyle w:val="rdo"/>
      </w:pPr>
      <w:r w:rsidRPr="001062B0">
        <w:t>Źródło:</w:t>
      </w:r>
      <w:r w:rsidRPr="001062B0">
        <w:tab/>
        <w:t xml:space="preserve"> Roczna ocena jakości powietrza w województwie zachodniopomorskim - raport wojewódzki za rok 2020. GIOŚ, Szczecin</w:t>
      </w:r>
      <w:r>
        <w:t xml:space="preserve">; </w:t>
      </w:r>
      <w:hyperlink r:id="rId54" w:history="1">
        <w:r w:rsidRPr="008D2F0E">
          <w:rPr>
            <w:rStyle w:val="Hipercze"/>
          </w:rPr>
          <w:t>https://powietrze.gios.gov.pl/pjp/rwms/publications/card/1426</w:t>
        </w:r>
      </w:hyperlink>
      <w:r>
        <w:t>; (</w:t>
      </w:r>
      <w:r w:rsidRPr="001062B0">
        <w:t>dostęp</w:t>
      </w:r>
      <w:r>
        <w:t xml:space="preserve"> z dn.: 06.05.2022)</w:t>
      </w:r>
    </w:p>
    <w:p w14:paraId="2F0B084C" w14:textId="77777777" w:rsidR="00B83214" w:rsidRPr="001062B0" w:rsidRDefault="00B83214" w:rsidP="00B83214">
      <w:pPr>
        <w:pStyle w:val="Podpispodrysunkiem"/>
      </w:pPr>
      <w:bookmarkStart w:id="199" w:name="_Ref96936218"/>
      <w:bookmarkStart w:id="200" w:name="_Toc97537945"/>
      <w:bookmarkStart w:id="201" w:name="_Toc104790089"/>
      <w:r w:rsidRPr="001062B0">
        <w:t xml:space="preserve">Tabela </w:t>
      </w:r>
      <w:r w:rsidRPr="001062B0">
        <w:fldChar w:fldCharType="begin"/>
      </w:r>
      <w:r w:rsidRPr="001062B0">
        <w:instrText>SEQ Tabela \* ARABIC</w:instrText>
      </w:r>
      <w:r w:rsidRPr="001062B0">
        <w:fldChar w:fldCharType="separate"/>
      </w:r>
      <w:r w:rsidR="002B5007">
        <w:rPr>
          <w:noProof/>
        </w:rPr>
        <w:t>19</w:t>
      </w:r>
      <w:r w:rsidRPr="001062B0">
        <w:fldChar w:fldCharType="end"/>
      </w:r>
      <w:bookmarkEnd w:id="199"/>
      <w:r w:rsidRPr="001062B0">
        <w:t xml:space="preserve"> Klasy stref dla poszczególnych zanieczyszczeń, uzyskane w ocenie r</w:t>
      </w:r>
      <w:r>
        <w:t>ocznej dokonanej w strefach województwa</w:t>
      </w:r>
      <w:r w:rsidRPr="001062B0">
        <w:t xml:space="preserve"> zachodniopomorskiego w roku 2020 z uwzględnieniem kryteriów ustanowionych w celu ochrony roślin - klasyfikacja podstawowa (klasy: A, C)</w:t>
      </w:r>
      <w:bookmarkEnd w:id="200"/>
      <w:bookmarkEnd w:id="201"/>
    </w:p>
    <w:tbl>
      <w:tblPr>
        <w:tblStyle w:val="Tabelasiatki1jasnaakcent11"/>
        <w:tblW w:w="4962" w:type="pct"/>
        <w:tblInd w:w="108" w:type="dxa"/>
        <w:tblLook w:val="04A0" w:firstRow="1" w:lastRow="0" w:firstColumn="1" w:lastColumn="0" w:noHBand="0" w:noVBand="1"/>
      </w:tblPr>
      <w:tblGrid>
        <w:gridCol w:w="1344"/>
        <w:gridCol w:w="4257"/>
        <w:gridCol w:w="3433"/>
        <w:gridCol w:w="1612"/>
        <w:gridCol w:w="1823"/>
        <w:gridCol w:w="1643"/>
      </w:tblGrid>
      <w:tr w:rsidR="00B83214" w:rsidRPr="001062B0" w14:paraId="735AEB57" w14:textId="77777777" w:rsidTr="00B832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 w:type="pct"/>
          </w:tcPr>
          <w:p w14:paraId="554A0BAC" w14:textId="77777777" w:rsidR="00B83214" w:rsidRPr="001062B0" w:rsidRDefault="00B83214" w:rsidP="00B83214">
            <w:pPr>
              <w:spacing w:after="200" w:line="240" w:lineRule="auto"/>
              <w:rPr>
                <w:bCs w:val="0"/>
                <w:szCs w:val="24"/>
              </w:rPr>
            </w:pPr>
            <w:r w:rsidRPr="001062B0">
              <w:rPr>
                <w:bCs w:val="0"/>
                <w:szCs w:val="24"/>
              </w:rPr>
              <w:t>Lp.</w:t>
            </w:r>
          </w:p>
        </w:tc>
        <w:tc>
          <w:tcPr>
            <w:tcW w:w="1508" w:type="pct"/>
          </w:tcPr>
          <w:p w14:paraId="14AEAAF1"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bCs w:val="0"/>
                <w:szCs w:val="24"/>
              </w:rPr>
            </w:pPr>
            <w:r w:rsidRPr="001062B0">
              <w:rPr>
                <w:bCs w:val="0"/>
                <w:szCs w:val="24"/>
              </w:rPr>
              <w:t>Nazwa stresy</w:t>
            </w:r>
          </w:p>
        </w:tc>
        <w:tc>
          <w:tcPr>
            <w:tcW w:w="1216" w:type="pct"/>
          </w:tcPr>
          <w:p w14:paraId="0BE090C8"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bCs w:val="0"/>
                <w:szCs w:val="24"/>
              </w:rPr>
            </w:pPr>
            <w:r w:rsidRPr="001062B0">
              <w:rPr>
                <w:bCs w:val="0"/>
                <w:szCs w:val="24"/>
              </w:rPr>
              <w:t>Kod strefy</w:t>
            </w:r>
          </w:p>
        </w:tc>
        <w:tc>
          <w:tcPr>
            <w:tcW w:w="571" w:type="pct"/>
          </w:tcPr>
          <w:p w14:paraId="411F0918"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bCs w:val="0"/>
                <w:szCs w:val="24"/>
                <w:vertAlign w:val="subscript"/>
              </w:rPr>
            </w:pPr>
            <w:r w:rsidRPr="001062B0">
              <w:rPr>
                <w:bCs w:val="0"/>
                <w:szCs w:val="24"/>
              </w:rPr>
              <w:t>SO</w:t>
            </w:r>
            <w:r w:rsidRPr="001062B0">
              <w:rPr>
                <w:bCs w:val="0"/>
                <w:szCs w:val="24"/>
                <w:vertAlign w:val="subscript"/>
              </w:rPr>
              <w:t>2</w:t>
            </w:r>
          </w:p>
        </w:tc>
        <w:tc>
          <w:tcPr>
            <w:tcW w:w="646" w:type="pct"/>
          </w:tcPr>
          <w:p w14:paraId="5EACBFA6"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bCs w:val="0"/>
                <w:szCs w:val="24"/>
              </w:rPr>
            </w:pPr>
            <w:r w:rsidRPr="001062B0">
              <w:rPr>
                <w:bCs w:val="0"/>
                <w:szCs w:val="24"/>
              </w:rPr>
              <w:t>NOx</w:t>
            </w:r>
          </w:p>
        </w:tc>
        <w:tc>
          <w:tcPr>
            <w:tcW w:w="582" w:type="pct"/>
          </w:tcPr>
          <w:p w14:paraId="24412CA8" w14:textId="77777777" w:rsidR="00B83214" w:rsidRPr="001062B0" w:rsidRDefault="00B83214" w:rsidP="00B83214">
            <w:pPr>
              <w:spacing w:after="200" w:line="240" w:lineRule="auto"/>
              <w:cnfStyle w:val="100000000000" w:firstRow="1" w:lastRow="0" w:firstColumn="0" w:lastColumn="0" w:oddVBand="0" w:evenVBand="0" w:oddHBand="0" w:evenHBand="0" w:firstRowFirstColumn="0" w:firstRowLastColumn="0" w:lastRowFirstColumn="0" w:lastRowLastColumn="0"/>
              <w:rPr>
                <w:bCs w:val="0"/>
                <w:szCs w:val="24"/>
                <w:vertAlign w:val="superscript"/>
              </w:rPr>
            </w:pPr>
            <w:r w:rsidRPr="001062B0">
              <w:rPr>
                <w:bCs w:val="0"/>
                <w:szCs w:val="24"/>
              </w:rPr>
              <w:t>O</w:t>
            </w:r>
            <w:r w:rsidRPr="001062B0">
              <w:rPr>
                <w:bCs w:val="0"/>
                <w:szCs w:val="24"/>
                <w:vertAlign w:val="subscript"/>
              </w:rPr>
              <w:t>3</w:t>
            </w:r>
            <w:r w:rsidRPr="001062B0">
              <w:rPr>
                <w:bCs w:val="0"/>
                <w:szCs w:val="24"/>
                <w:vertAlign w:val="superscript"/>
              </w:rPr>
              <w:t>1</w:t>
            </w:r>
          </w:p>
        </w:tc>
      </w:tr>
      <w:tr w:rsidR="00B83214" w:rsidRPr="001062B0" w14:paraId="70172EF6" w14:textId="77777777" w:rsidTr="00B83214">
        <w:tc>
          <w:tcPr>
            <w:cnfStyle w:val="001000000000" w:firstRow="0" w:lastRow="0" w:firstColumn="1" w:lastColumn="0" w:oddVBand="0" w:evenVBand="0" w:oddHBand="0" w:evenHBand="0" w:firstRowFirstColumn="0" w:firstRowLastColumn="0" w:lastRowFirstColumn="0" w:lastRowLastColumn="0"/>
            <w:tcW w:w="476" w:type="pct"/>
          </w:tcPr>
          <w:p w14:paraId="02035F4C" w14:textId="77777777" w:rsidR="00B83214" w:rsidRPr="001062B0" w:rsidRDefault="00B83214" w:rsidP="00B83214">
            <w:pPr>
              <w:spacing w:after="200" w:line="240" w:lineRule="auto"/>
              <w:rPr>
                <w:b w:val="0"/>
                <w:bCs w:val="0"/>
                <w:szCs w:val="24"/>
              </w:rPr>
            </w:pPr>
            <w:r w:rsidRPr="001062B0">
              <w:rPr>
                <w:b w:val="0"/>
                <w:bCs w:val="0"/>
                <w:szCs w:val="24"/>
              </w:rPr>
              <w:t>1.</w:t>
            </w:r>
          </w:p>
        </w:tc>
        <w:tc>
          <w:tcPr>
            <w:tcW w:w="1508" w:type="pct"/>
          </w:tcPr>
          <w:p w14:paraId="566B8F4B" w14:textId="77777777" w:rsidR="00B83214" w:rsidRPr="001062B0" w:rsidRDefault="00B83214" w:rsidP="00B83214">
            <w:pPr>
              <w:spacing w:after="200" w:line="240" w:lineRule="auto"/>
              <w:cnfStyle w:val="000000000000" w:firstRow="0" w:lastRow="0" w:firstColumn="0" w:lastColumn="0" w:oddVBand="0" w:evenVBand="0" w:oddHBand="0" w:evenHBand="0" w:firstRowFirstColumn="0" w:firstRowLastColumn="0" w:lastRowFirstColumn="0" w:lastRowLastColumn="0"/>
              <w:rPr>
                <w:szCs w:val="24"/>
              </w:rPr>
            </w:pPr>
            <w:r w:rsidRPr="001062B0">
              <w:rPr>
                <w:szCs w:val="24"/>
              </w:rPr>
              <w:t>Strefa zachodniopomorska</w:t>
            </w:r>
          </w:p>
        </w:tc>
        <w:tc>
          <w:tcPr>
            <w:tcW w:w="1216" w:type="pct"/>
          </w:tcPr>
          <w:p w14:paraId="77652249" w14:textId="77777777" w:rsidR="00B83214" w:rsidRPr="001062B0" w:rsidRDefault="00B83214" w:rsidP="00B83214">
            <w:pPr>
              <w:spacing w:after="200" w:line="240" w:lineRule="auto"/>
              <w:cnfStyle w:val="000000000000" w:firstRow="0" w:lastRow="0" w:firstColumn="0" w:lastColumn="0" w:oddVBand="0" w:evenVBand="0" w:oddHBand="0" w:evenHBand="0" w:firstRowFirstColumn="0" w:firstRowLastColumn="0" w:lastRowFirstColumn="0" w:lastRowLastColumn="0"/>
              <w:rPr>
                <w:szCs w:val="24"/>
              </w:rPr>
            </w:pPr>
            <w:r w:rsidRPr="001062B0">
              <w:rPr>
                <w:szCs w:val="24"/>
              </w:rPr>
              <w:t>PL3203</w:t>
            </w:r>
          </w:p>
        </w:tc>
        <w:tc>
          <w:tcPr>
            <w:tcW w:w="571" w:type="pct"/>
          </w:tcPr>
          <w:p w14:paraId="7DE14CE4"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1062B0">
              <w:rPr>
                <w:szCs w:val="24"/>
              </w:rPr>
              <w:t>A</w:t>
            </w:r>
          </w:p>
        </w:tc>
        <w:tc>
          <w:tcPr>
            <w:tcW w:w="646" w:type="pct"/>
          </w:tcPr>
          <w:p w14:paraId="474FC921"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1062B0">
              <w:rPr>
                <w:szCs w:val="24"/>
              </w:rPr>
              <w:t>A</w:t>
            </w:r>
          </w:p>
        </w:tc>
        <w:tc>
          <w:tcPr>
            <w:tcW w:w="582" w:type="pct"/>
          </w:tcPr>
          <w:p w14:paraId="5AE3CC08" w14:textId="77777777" w:rsidR="00B83214" w:rsidRPr="001062B0" w:rsidRDefault="00B83214" w:rsidP="00B83214">
            <w:pPr>
              <w:spacing w:after="20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1062B0">
              <w:rPr>
                <w:szCs w:val="24"/>
              </w:rPr>
              <w:t>A</w:t>
            </w:r>
          </w:p>
        </w:tc>
      </w:tr>
    </w:tbl>
    <w:p w14:paraId="44718E53" w14:textId="77777777" w:rsidR="00B83214" w:rsidRPr="001062B0" w:rsidRDefault="00B83214" w:rsidP="00B83214">
      <w:pPr>
        <w:keepNext/>
        <w:spacing w:line="276" w:lineRule="auto"/>
        <w:rPr>
          <w:i/>
          <w:iCs/>
          <w:szCs w:val="24"/>
        </w:rPr>
      </w:pPr>
      <w:r w:rsidRPr="001062B0">
        <w:rPr>
          <w:i/>
          <w:iCs/>
          <w:szCs w:val="24"/>
          <w:vertAlign w:val="superscript"/>
        </w:rPr>
        <w:t>1</w:t>
      </w:r>
      <w:r w:rsidRPr="001062B0">
        <w:rPr>
          <w:i/>
          <w:iCs/>
          <w:szCs w:val="24"/>
        </w:rPr>
        <w:t xml:space="preserve"> Dla ozonu – poziom celu długoterminowego strefa </w:t>
      </w:r>
      <w:r>
        <w:rPr>
          <w:i/>
          <w:iCs/>
          <w:szCs w:val="24"/>
        </w:rPr>
        <w:t>zachodniopomorska</w:t>
      </w:r>
      <w:r w:rsidRPr="001062B0">
        <w:rPr>
          <w:i/>
          <w:iCs/>
          <w:szCs w:val="24"/>
        </w:rPr>
        <w:t xml:space="preserve"> uzyskała klasę D2</w:t>
      </w:r>
    </w:p>
    <w:p w14:paraId="536DE2D6" w14:textId="77777777" w:rsidR="00B83214" w:rsidRPr="001062B0" w:rsidRDefault="00B83214" w:rsidP="00B83214">
      <w:pPr>
        <w:pStyle w:val="rdo"/>
      </w:pPr>
      <w:r w:rsidRPr="001062B0">
        <w:t>Źródło:</w:t>
      </w:r>
      <w:r w:rsidRPr="001062B0">
        <w:tab/>
        <w:t xml:space="preserve"> Roczna ocena jakości powietrza w województwie zachodniopomorskim - raport wojewódzki za rok 2020. GIOŚ, Szczecin</w:t>
      </w:r>
      <w:r>
        <w:t xml:space="preserve">; </w:t>
      </w:r>
      <w:hyperlink r:id="rId55" w:history="1">
        <w:r w:rsidRPr="008D2F0E">
          <w:rPr>
            <w:rStyle w:val="Hipercze"/>
          </w:rPr>
          <w:t>https://powietrze.gios.gov.pl/pjp/rwms/publications/card/1426</w:t>
        </w:r>
      </w:hyperlink>
      <w:r>
        <w:t>; (</w:t>
      </w:r>
      <w:r w:rsidRPr="001062B0">
        <w:t>dostęp</w:t>
      </w:r>
      <w:r>
        <w:t xml:space="preserve"> z dn.: 06.05.2022)</w:t>
      </w:r>
    </w:p>
    <w:p w14:paraId="39A42008" w14:textId="46D373F5" w:rsidR="00B83214" w:rsidRPr="001062B0" w:rsidRDefault="00B83214" w:rsidP="00B83214">
      <w:pPr>
        <w:spacing w:before="0"/>
        <w:jc w:val="both"/>
        <w:rPr>
          <w:szCs w:val="24"/>
        </w:rPr>
      </w:pPr>
      <w:r w:rsidRPr="001062B0">
        <w:rPr>
          <w:szCs w:val="24"/>
        </w:rPr>
        <w:t>Prowadzona przez KOBiZE baza emisji pozwoliła na ustalenie wielkości ładunku analizowanych zanieczyszczeń wprowadzanych do powietrza z terenu poszczególnych stref woj. zachodniopomorskiego. Dane szczegółowe przedstawiono w tabelach poniżej (</w:t>
      </w:r>
      <w:r w:rsidRPr="001062B0">
        <w:rPr>
          <w:szCs w:val="24"/>
        </w:rPr>
        <w:fldChar w:fldCharType="begin"/>
      </w:r>
      <w:r w:rsidRPr="001062B0">
        <w:rPr>
          <w:szCs w:val="24"/>
        </w:rPr>
        <w:instrText xml:space="preserve"> REF _Ref102733072 \h  \* MERGEFORMAT </w:instrText>
      </w:r>
      <w:r w:rsidRPr="001062B0">
        <w:rPr>
          <w:szCs w:val="24"/>
        </w:rPr>
      </w:r>
      <w:r w:rsidRPr="001062B0">
        <w:rPr>
          <w:szCs w:val="24"/>
        </w:rPr>
        <w:fldChar w:fldCharType="separate"/>
      </w:r>
      <w:r w:rsidR="002B5007" w:rsidRPr="002B5007">
        <w:rPr>
          <w:rFonts w:asciiTheme="majorHAnsi" w:hAnsiTheme="majorHAnsi"/>
          <w:szCs w:val="24"/>
        </w:rPr>
        <w:t xml:space="preserve">Tabela </w:t>
      </w:r>
      <w:r w:rsidR="002B5007" w:rsidRPr="002B5007">
        <w:rPr>
          <w:rFonts w:asciiTheme="majorHAnsi" w:hAnsiTheme="majorHAnsi"/>
          <w:noProof/>
          <w:szCs w:val="24"/>
        </w:rPr>
        <w:t>20</w:t>
      </w:r>
      <w:r w:rsidRPr="001062B0">
        <w:rPr>
          <w:szCs w:val="24"/>
        </w:rPr>
        <w:fldChar w:fldCharType="end"/>
      </w:r>
      <w:r w:rsidRPr="001062B0">
        <w:rPr>
          <w:szCs w:val="24"/>
        </w:rPr>
        <w:t xml:space="preserve">, </w:t>
      </w:r>
      <w:r w:rsidRPr="001062B0">
        <w:rPr>
          <w:szCs w:val="24"/>
        </w:rPr>
        <w:fldChar w:fldCharType="begin"/>
      </w:r>
      <w:r w:rsidRPr="001062B0">
        <w:rPr>
          <w:szCs w:val="24"/>
        </w:rPr>
        <w:instrText xml:space="preserve"> REF _Ref102733074 \h  \* MERGEFORMAT </w:instrText>
      </w:r>
      <w:r w:rsidRPr="001062B0">
        <w:rPr>
          <w:szCs w:val="24"/>
        </w:rPr>
      </w:r>
      <w:r w:rsidRPr="001062B0">
        <w:rPr>
          <w:szCs w:val="24"/>
        </w:rPr>
        <w:fldChar w:fldCharType="separate"/>
      </w:r>
      <w:r w:rsidR="002B5007" w:rsidRPr="002B5007">
        <w:rPr>
          <w:rFonts w:asciiTheme="majorHAnsi" w:hAnsiTheme="majorHAnsi"/>
          <w:szCs w:val="24"/>
        </w:rPr>
        <w:t xml:space="preserve">Tabela </w:t>
      </w:r>
      <w:r w:rsidR="002B5007" w:rsidRPr="002B5007">
        <w:rPr>
          <w:rFonts w:asciiTheme="majorHAnsi" w:hAnsiTheme="majorHAnsi"/>
          <w:noProof/>
          <w:szCs w:val="24"/>
        </w:rPr>
        <w:t>21</w:t>
      </w:r>
      <w:r w:rsidRPr="001062B0">
        <w:rPr>
          <w:szCs w:val="24"/>
        </w:rPr>
        <w:fldChar w:fldCharType="end"/>
      </w:r>
      <w:r w:rsidRPr="001062B0">
        <w:rPr>
          <w:szCs w:val="24"/>
        </w:rPr>
        <w:t xml:space="preserve">, </w:t>
      </w:r>
      <w:r w:rsidRPr="001062B0">
        <w:rPr>
          <w:szCs w:val="24"/>
        </w:rPr>
        <w:fldChar w:fldCharType="begin"/>
      </w:r>
      <w:r w:rsidRPr="001062B0">
        <w:rPr>
          <w:szCs w:val="24"/>
        </w:rPr>
        <w:instrText xml:space="preserve"> REF _Ref102733076 \h  \* MERGEFORMAT </w:instrText>
      </w:r>
      <w:r w:rsidRPr="001062B0">
        <w:rPr>
          <w:szCs w:val="24"/>
        </w:rPr>
      </w:r>
      <w:r w:rsidRPr="001062B0">
        <w:rPr>
          <w:szCs w:val="24"/>
        </w:rPr>
        <w:fldChar w:fldCharType="separate"/>
      </w:r>
      <w:r w:rsidR="002B5007" w:rsidRPr="002B5007">
        <w:rPr>
          <w:rFonts w:asciiTheme="majorHAnsi" w:hAnsiTheme="majorHAnsi"/>
          <w:szCs w:val="24"/>
        </w:rPr>
        <w:t xml:space="preserve">Tabela </w:t>
      </w:r>
      <w:r w:rsidR="002B5007" w:rsidRPr="002B5007">
        <w:rPr>
          <w:rFonts w:asciiTheme="majorHAnsi" w:hAnsiTheme="majorHAnsi"/>
          <w:noProof/>
          <w:szCs w:val="24"/>
        </w:rPr>
        <w:t>22</w:t>
      </w:r>
      <w:r w:rsidRPr="001062B0">
        <w:rPr>
          <w:szCs w:val="24"/>
        </w:rPr>
        <w:fldChar w:fldCharType="end"/>
      </w:r>
      <w:r>
        <w:rPr>
          <w:szCs w:val="24"/>
        </w:rPr>
        <w:t>,</w:t>
      </w:r>
      <w:r w:rsidRPr="0003605F">
        <w:rPr>
          <w:rFonts w:asciiTheme="majorHAnsi" w:hAnsiTheme="majorHAnsi"/>
          <w:szCs w:val="24"/>
        </w:rPr>
        <w:fldChar w:fldCharType="begin"/>
      </w:r>
      <w:r w:rsidRPr="0003605F">
        <w:rPr>
          <w:rFonts w:asciiTheme="majorHAnsi" w:hAnsiTheme="majorHAnsi"/>
          <w:szCs w:val="24"/>
        </w:rPr>
        <w:instrText xml:space="preserve"> REF _Ref103255113 \h </w:instrText>
      </w:r>
      <w:r>
        <w:rPr>
          <w:rFonts w:asciiTheme="majorHAnsi" w:hAnsiTheme="majorHAnsi"/>
          <w:szCs w:val="24"/>
        </w:rPr>
        <w:instrText xml:space="preserve"> \* MERGEFORMAT </w:instrText>
      </w:r>
      <w:r w:rsidRPr="0003605F">
        <w:rPr>
          <w:rFonts w:asciiTheme="majorHAnsi" w:hAnsiTheme="majorHAnsi"/>
          <w:szCs w:val="24"/>
        </w:rPr>
      </w:r>
      <w:r w:rsidRPr="0003605F">
        <w:rPr>
          <w:rFonts w:asciiTheme="majorHAnsi" w:hAnsiTheme="majorHAnsi"/>
          <w:szCs w:val="24"/>
        </w:rPr>
        <w:fldChar w:fldCharType="separate"/>
      </w:r>
      <w:r w:rsidR="002B5007" w:rsidRPr="002B5007">
        <w:rPr>
          <w:rFonts w:asciiTheme="majorHAnsi" w:hAnsiTheme="majorHAnsi"/>
          <w:szCs w:val="24"/>
        </w:rPr>
        <w:t>Tabela 23</w:t>
      </w:r>
      <w:r w:rsidRPr="0003605F">
        <w:rPr>
          <w:rFonts w:asciiTheme="majorHAnsi" w:hAnsiTheme="majorHAnsi"/>
          <w:szCs w:val="24"/>
        </w:rPr>
        <w:fldChar w:fldCharType="end"/>
      </w:r>
      <w:r w:rsidR="00155EFF">
        <w:rPr>
          <w:rFonts w:asciiTheme="majorHAnsi" w:hAnsiTheme="majorHAnsi"/>
          <w:szCs w:val="24"/>
        </w:rPr>
        <w:t xml:space="preserve">, </w:t>
      </w:r>
      <w:r w:rsidR="00155EFF">
        <w:rPr>
          <w:rFonts w:asciiTheme="majorHAnsi" w:hAnsiTheme="majorHAnsi"/>
          <w:szCs w:val="24"/>
        </w:rPr>
        <w:fldChar w:fldCharType="begin"/>
      </w:r>
      <w:r w:rsidR="00155EFF">
        <w:rPr>
          <w:rFonts w:asciiTheme="majorHAnsi" w:hAnsiTheme="majorHAnsi"/>
          <w:szCs w:val="24"/>
        </w:rPr>
        <w:instrText xml:space="preserve"> REF _Ref105176371 \h </w:instrText>
      </w:r>
      <w:r w:rsidR="00155EFF">
        <w:rPr>
          <w:rFonts w:asciiTheme="majorHAnsi" w:hAnsiTheme="majorHAnsi"/>
          <w:szCs w:val="24"/>
        </w:rPr>
      </w:r>
      <w:r w:rsidR="00155EFF">
        <w:rPr>
          <w:rFonts w:asciiTheme="majorHAnsi" w:hAnsiTheme="majorHAnsi"/>
          <w:szCs w:val="24"/>
        </w:rPr>
        <w:fldChar w:fldCharType="separate"/>
      </w:r>
      <w:r w:rsidR="002B5007" w:rsidRPr="001062B0">
        <w:t xml:space="preserve">Tabela </w:t>
      </w:r>
      <w:r w:rsidR="002B5007">
        <w:rPr>
          <w:noProof/>
        </w:rPr>
        <w:t>24</w:t>
      </w:r>
      <w:r w:rsidR="00155EFF">
        <w:rPr>
          <w:rFonts w:asciiTheme="majorHAnsi" w:hAnsiTheme="majorHAnsi"/>
          <w:szCs w:val="24"/>
        </w:rPr>
        <w:fldChar w:fldCharType="end"/>
      </w:r>
      <w:r w:rsidRPr="0003605F">
        <w:rPr>
          <w:rFonts w:asciiTheme="majorHAnsi" w:hAnsiTheme="majorHAnsi"/>
          <w:szCs w:val="24"/>
        </w:rPr>
        <w:t>)</w:t>
      </w:r>
      <w:r w:rsidRPr="001062B0">
        <w:rPr>
          <w:szCs w:val="24"/>
        </w:rPr>
        <w:t>.</w:t>
      </w:r>
    </w:p>
    <w:p w14:paraId="686DA926" w14:textId="77777777" w:rsidR="00B83214" w:rsidRPr="001062B0" w:rsidRDefault="00B83214" w:rsidP="00B83214">
      <w:pPr>
        <w:spacing w:line="276" w:lineRule="auto"/>
        <w:rPr>
          <w:sz w:val="22"/>
          <w:szCs w:val="18"/>
        </w:rPr>
        <w:sectPr w:rsidR="00B83214" w:rsidRPr="001062B0" w:rsidSect="006E38B9">
          <w:pgSz w:w="16838" w:h="11906" w:orient="landscape"/>
          <w:pgMar w:top="1417" w:right="1417" w:bottom="1417" w:left="1417" w:header="708" w:footer="708" w:gutter="0"/>
          <w:pgNumType w:fmt="lowerRoman"/>
          <w:cols w:space="708"/>
          <w:titlePg/>
          <w:docGrid w:linePitch="360"/>
        </w:sectPr>
      </w:pPr>
    </w:p>
    <w:p w14:paraId="51FEF344" w14:textId="77777777" w:rsidR="00B83214" w:rsidRPr="001062B0" w:rsidRDefault="00B83214" w:rsidP="00B83214">
      <w:pPr>
        <w:pStyle w:val="Podpispodrysunkiem"/>
      </w:pPr>
      <w:bookmarkStart w:id="202" w:name="_Toc68068857"/>
      <w:bookmarkStart w:id="203" w:name="_Ref96933529"/>
      <w:bookmarkStart w:id="204" w:name="_Ref96936226"/>
      <w:bookmarkStart w:id="205" w:name="_Ref102733072"/>
      <w:bookmarkStart w:id="206" w:name="_Toc97537946"/>
      <w:bookmarkStart w:id="207" w:name="_Toc104790090"/>
      <w:r w:rsidRPr="001062B0">
        <w:t xml:space="preserve">Tabela </w:t>
      </w:r>
      <w:r>
        <w:fldChar w:fldCharType="begin"/>
      </w:r>
      <w:r>
        <w:instrText>SEQ Tabela \* ARABIC</w:instrText>
      </w:r>
      <w:r>
        <w:fldChar w:fldCharType="separate"/>
      </w:r>
      <w:r w:rsidR="002B5007">
        <w:rPr>
          <w:noProof/>
        </w:rPr>
        <w:t>20</w:t>
      </w:r>
      <w:r>
        <w:fldChar w:fldCharType="end"/>
      </w:r>
      <w:bookmarkEnd w:id="202"/>
      <w:bookmarkEnd w:id="203"/>
      <w:bookmarkEnd w:id="204"/>
      <w:bookmarkEnd w:id="205"/>
      <w:r w:rsidRPr="001062B0">
        <w:t xml:space="preserve"> Zestawienie wielkości emisji tlenk</w:t>
      </w:r>
      <w:r>
        <w:t>ów siarki na obszarze stref województwa</w:t>
      </w:r>
      <w:r w:rsidRPr="001062B0">
        <w:t xml:space="preserve"> </w:t>
      </w:r>
      <w:bookmarkEnd w:id="206"/>
      <w:r w:rsidRPr="001062B0">
        <w:t>zachodniopomorskiego</w:t>
      </w:r>
      <w:bookmarkEnd w:id="207"/>
    </w:p>
    <w:tbl>
      <w:tblPr>
        <w:tblStyle w:val="Tabelasiatki1jasnaakcent11"/>
        <w:tblW w:w="0" w:type="auto"/>
        <w:tblLook w:val="04A0" w:firstRow="1" w:lastRow="0" w:firstColumn="1" w:lastColumn="0" w:noHBand="0" w:noVBand="1"/>
        <w:tblCaption w:val="Zestawienie wielkości emisji tlenków siarki na obszarze stref województwa śląskiego"/>
        <w:tblDescription w:val="Zestawienie wielkości emisji tlenków siarki na obszarze stref województwa śląskiego"/>
      </w:tblPr>
      <w:tblGrid>
        <w:gridCol w:w="2689"/>
        <w:gridCol w:w="1559"/>
        <w:gridCol w:w="1843"/>
        <w:gridCol w:w="1559"/>
        <w:gridCol w:w="1559"/>
        <w:gridCol w:w="1037"/>
        <w:gridCol w:w="1420"/>
        <w:gridCol w:w="1672"/>
        <w:gridCol w:w="882"/>
      </w:tblGrid>
      <w:tr w:rsidR="00B83214" w:rsidRPr="001062B0" w14:paraId="01C22903" w14:textId="77777777" w:rsidTr="00B832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val="restart"/>
          </w:tcPr>
          <w:p w14:paraId="3CC75716" w14:textId="77777777" w:rsidR="00B83214" w:rsidRPr="001062B0" w:rsidRDefault="00B83214" w:rsidP="00B83214">
            <w:pPr>
              <w:spacing w:before="0" w:line="240" w:lineRule="auto"/>
              <w:jc w:val="center"/>
              <w:rPr>
                <w:rFonts w:asciiTheme="majorHAnsi" w:hAnsiTheme="majorHAnsi" w:cstheme="minorHAnsi"/>
                <w:szCs w:val="24"/>
              </w:rPr>
            </w:pPr>
            <w:r w:rsidRPr="001062B0">
              <w:rPr>
                <w:rFonts w:asciiTheme="majorHAnsi" w:hAnsiTheme="majorHAnsi" w:cstheme="minorHAnsi"/>
                <w:szCs w:val="24"/>
              </w:rPr>
              <w:t>Nazwa i kod strefy</w:t>
            </w:r>
          </w:p>
          <w:p w14:paraId="4664C999" w14:textId="77777777" w:rsidR="00B83214" w:rsidRPr="001062B0" w:rsidRDefault="00B83214" w:rsidP="00B83214">
            <w:pPr>
              <w:spacing w:before="0" w:line="240" w:lineRule="auto"/>
              <w:rPr>
                <w:rFonts w:asciiTheme="majorHAnsi" w:hAnsiTheme="majorHAnsi" w:cstheme="minorHAnsi"/>
                <w:szCs w:val="24"/>
              </w:rPr>
            </w:pPr>
          </w:p>
        </w:tc>
        <w:tc>
          <w:tcPr>
            <w:tcW w:w="1559" w:type="dxa"/>
            <w:vMerge w:val="restart"/>
          </w:tcPr>
          <w:p w14:paraId="2396CDEC"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Powierzchnia strefy [km</w:t>
            </w:r>
            <w:r w:rsidRPr="001062B0">
              <w:rPr>
                <w:rFonts w:asciiTheme="majorHAnsi" w:hAnsiTheme="majorHAnsi" w:cstheme="minorHAnsi"/>
                <w:szCs w:val="24"/>
                <w:vertAlign w:val="superscript"/>
              </w:rPr>
              <w:t>2</w:t>
            </w:r>
            <w:r w:rsidRPr="001062B0">
              <w:rPr>
                <w:rFonts w:asciiTheme="majorHAnsi" w:hAnsiTheme="majorHAnsi" w:cstheme="minorHAnsi"/>
                <w:szCs w:val="24"/>
              </w:rPr>
              <w:t>]</w:t>
            </w:r>
          </w:p>
        </w:tc>
        <w:tc>
          <w:tcPr>
            <w:tcW w:w="7418" w:type="dxa"/>
            <w:gridSpan w:val="5"/>
          </w:tcPr>
          <w:p w14:paraId="6B669A51"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 xml:space="preserve">Emisja SOx </w:t>
            </w:r>
          </w:p>
          <w:p w14:paraId="5A3B0F7C"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[kg/rok]</w:t>
            </w:r>
          </w:p>
        </w:tc>
        <w:tc>
          <w:tcPr>
            <w:tcW w:w="0" w:type="auto"/>
            <w:gridSpan w:val="2"/>
          </w:tcPr>
          <w:p w14:paraId="26CDDDD7"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 xml:space="preserve">Emisja </w:t>
            </w:r>
          </w:p>
          <w:p w14:paraId="42C45A1F"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[kg/(km</w:t>
            </w:r>
            <w:r w:rsidRPr="001062B0">
              <w:rPr>
                <w:rFonts w:asciiTheme="majorHAnsi" w:hAnsiTheme="majorHAnsi" w:cstheme="minorHAnsi"/>
                <w:szCs w:val="24"/>
                <w:vertAlign w:val="superscript"/>
              </w:rPr>
              <w:t xml:space="preserve">2 </w:t>
            </w:r>
            <w:r w:rsidRPr="001062B0">
              <w:rPr>
                <w:rFonts w:asciiTheme="majorHAnsi" w:hAnsiTheme="majorHAnsi" w:cstheme="minorHAnsi"/>
                <w:szCs w:val="24"/>
              </w:rPr>
              <w:t>x rok)]</w:t>
            </w:r>
          </w:p>
        </w:tc>
      </w:tr>
      <w:tr w:rsidR="00B83214" w:rsidRPr="001062B0" w14:paraId="2177EF3B" w14:textId="77777777" w:rsidTr="00B83214">
        <w:tc>
          <w:tcPr>
            <w:cnfStyle w:val="001000000000" w:firstRow="0" w:lastRow="0" w:firstColumn="1" w:lastColumn="0" w:oddVBand="0" w:evenVBand="0" w:oddHBand="0" w:evenHBand="0" w:firstRowFirstColumn="0" w:firstRowLastColumn="0" w:lastRowFirstColumn="0" w:lastRowLastColumn="0"/>
            <w:tcW w:w="2689" w:type="dxa"/>
            <w:vMerge/>
          </w:tcPr>
          <w:p w14:paraId="10AC1216" w14:textId="77777777" w:rsidR="00B83214" w:rsidRPr="001062B0" w:rsidRDefault="00B83214" w:rsidP="00B83214">
            <w:pPr>
              <w:spacing w:before="0" w:line="240" w:lineRule="auto"/>
              <w:rPr>
                <w:rFonts w:asciiTheme="majorHAnsi" w:hAnsiTheme="majorHAnsi" w:cstheme="minorHAnsi"/>
                <w:szCs w:val="24"/>
              </w:rPr>
            </w:pPr>
          </w:p>
        </w:tc>
        <w:tc>
          <w:tcPr>
            <w:tcW w:w="1559" w:type="dxa"/>
            <w:vMerge/>
          </w:tcPr>
          <w:p w14:paraId="343EA01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p>
        </w:tc>
        <w:tc>
          <w:tcPr>
            <w:tcW w:w="1843" w:type="dxa"/>
          </w:tcPr>
          <w:p w14:paraId="6190C236"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bCs/>
                <w:szCs w:val="24"/>
              </w:rPr>
            </w:pPr>
            <w:r w:rsidRPr="001062B0">
              <w:rPr>
                <w:rFonts w:asciiTheme="majorHAnsi" w:hAnsiTheme="majorHAnsi" w:cstheme="minorHAnsi"/>
                <w:b/>
                <w:bCs/>
                <w:szCs w:val="24"/>
              </w:rPr>
              <w:t>Komunalno-bytowa</w:t>
            </w:r>
          </w:p>
        </w:tc>
        <w:tc>
          <w:tcPr>
            <w:tcW w:w="1559" w:type="dxa"/>
          </w:tcPr>
          <w:p w14:paraId="0977776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bCs/>
                <w:szCs w:val="24"/>
              </w:rPr>
            </w:pPr>
            <w:r w:rsidRPr="001062B0">
              <w:rPr>
                <w:rFonts w:asciiTheme="majorHAnsi" w:hAnsiTheme="majorHAnsi" w:cstheme="minorHAnsi"/>
                <w:b/>
                <w:bCs/>
                <w:szCs w:val="24"/>
              </w:rPr>
              <w:t>Transport drogowy</w:t>
            </w:r>
          </w:p>
        </w:tc>
        <w:tc>
          <w:tcPr>
            <w:tcW w:w="1559" w:type="dxa"/>
          </w:tcPr>
          <w:p w14:paraId="472B449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bCs/>
                <w:szCs w:val="24"/>
              </w:rPr>
            </w:pPr>
            <w:r w:rsidRPr="001062B0">
              <w:rPr>
                <w:rFonts w:asciiTheme="majorHAnsi" w:hAnsiTheme="majorHAnsi" w:cstheme="minorHAnsi"/>
                <w:b/>
                <w:bCs/>
                <w:szCs w:val="24"/>
              </w:rPr>
              <w:t>Punktowa</w:t>
            </w:r>
          </w:p>
        </w:tc>
        <w:tc>
          <w:tcPr>
            <w:tcW w:w="1037" w:type="dxa"/>
          </w:tcPr>
          <w:p w14:paraId="61F4115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bCs/>
                <w:szCs w:val="24"/>
              </w:rPr>
            </w:pPr>
            <w:r w:rsidRPr="001062B0">
              <w:rPr>
                <w:rFonts w:asciiTheme="majorHAnsi" w:hAnsiTheme="majorHAnsi" w:cstheme="minorHAnsi"/>
                <w:b/>
                <w:bCs/>
                <w:szCs w:val="24"/>
              </w:rPr>
              <w:t>Inne</w:t>
            </w:r>
          </w:p>
        </w:tc>
        <w:tc>
          <w:tcPr>
            <w:tcW w:w="0" w:type="auto"/>
          </w:tcPr>
          <w:p w14:paraId="6B4A8D1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bCs/>
                <w:szCs w:val="24"/>
              </w:rPr>
            </w:pPr>
            <w:r w:rsidRPr="001062B0">
              <w:rPr>
                <w:rFonts w:asciiTheme="majorHAnsi" w:hAnsiTheme="majorHAnsi" w:cstheme="minorHAnsi"/>
                <w:b/>
                <w:bCs/>
                <w:szCs w:val="24"/>
              </w:rPr>
              <w:t>Suma emisji</w:t>
            </w:r>
          </w:p>
        </w:tc>
        <w:tc>
          <w:tcPr>
            <w:tcW w:w="0" w:type="auto"/>
          </w:tcPr>
          <w:p w14:paraId="2614DFE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bCs/>
                <w:szCs w:val="24"/>
              </w:rPr>
            </w:pPr>
            <w:r w:rsidRPr="001062B0">
              <w:rPr>
                <w:rFonts w:asciiTheme="majorHAnsi" w:hAnsiTheme="majorHAnsi" w:cstheme="minorHAnsi"/>
                <w:b/>
                <w:bCs/>
                <w:szCs w:val="24"/>
              </w:rPr>
              <w:t>Bez emisji punktowej</w:t>
            </w:r>
          </w:p>
        </w:tc>
        <w:tc>
          <w:tcPr>
            <w:tcW w:w="0" w:type="auto"/>
          </w:tcPr>
          <w:p w14:paraId="09DDEA73"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bCs/>
                <w:szCs w:val="24"/>
              </w:rPr>
            </w:pPr>
            <w:r w:rsidRPr="001062B0">
              <w:rPr>
                <w:rFonts w:asciiTheme="majorHAnsi" w:hAnsiTheme="majorHAnsi" w:cstheme="minorHAnsi"/>
                <w:b/>
                <w:bCs/>
                <w:szCs w:val="24"/>
              </w:rPr>
              <w:t>Razem</w:t>
            </w:r>
          </w:p>
        </w:tc>
      </w:tr>
      <w:tr w:rsidR="00B83214" w:rsidRPr="001062B0" w14:paraId="04038E56" w14:textId="77777777" w:rsidTr="00B83214">
        <w:tc>
          <w:tcPr>
            <w:cnfStyle w:val="001000000000" w:firstRow="0" w:lastRow="0" w:firstColumn="1" w:lastColumn="0" w:oddVBand="0" w:evenVBand="0" w:oddHBand="0" w:evenHBand="0" w:firstRowFirstColumn="0" w:firstRowLastColumn="0" w:lastRowFirstColumn="0" w:lastRowLastColumn="0"/>
            <w:tcW w:w="2689" w:type="dxa"/>
          </w:tcPr>
          <w:p w14:paraId="11217FC8" w14:textId="77777777" w:rsidR="00B83214" w:rsidRPr="001062B0" w:rsidRDefault="00B83214" w:rsidP="00B83214">
            <w:pPr>
              <w:spacing w:before="0" w:line="240" w:lineRule="auto"/>
              <w:rPr>
                <w:rFonts w:asciiTheme="majorHAnsi" w:hAnsiTheme="majorHAnsi" w:cstheme="minorHAnsi"/>
                <w:szCs w:val="24"/>
              </w:rPr>
            </w:pPr>
            <w:r w:rsidRPr="001062B0">
              <w:rPr>
                <w:rFonts w:asciiTheme="majorHAnsi" w:hAnsiTheme="majorHAnsi" w:cstheme="minorHAnsi"/>
                <w:szCs w:val="24"/>
              </w:rPr>
              <w:t>aglomeracja szczecińska (PL3201)</w:t>
            </w:r>
          </w:p>
        </w:tc>
        <w:tc>
          <w:tcPr>
            <w:tcW w:w="1559" w:type="dxa"/>
          </w:tcPr>
          <w:p w14:paraId="4D2FCAD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301</w:t>
            </w:r>
          </w:p>
        </w:tc>
        <w:tc>
          <w:tcPr>
            <w:tcW w:w="1843" w:type="dxa"/>
          </w:tcPr>
          <w:p w14:paraId="3D864465"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305 729</w:t>
            </w:r>
          </w:p>
        </w:tc>
        <w:tc>
          <w:tcPr>
            <w:tcW w:w="1559" w:type="dxa"/>
          </w:tcPr>
          <w:p w14:paraId="62FAB4C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2 154</w:t>
            </w:r>
          </w:p>
        </w:tc>
        <w:tc>
          <w:tcPr>
            <w:tcW w:w="1559" w:type="dxa"/>
          </w:tcPr>
          <w:p w14:paraId="46F6FBB5"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1 ,691 253</w:t>
            </w:r>
          </w:p>
        </w:tc>
        <w:tc>
          <w:tcPr>
            <w:tcW w:w="1037" w:type="dxa"/>
          </w:tcPr>
          <w:p w14:paraId="0C23236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75</w:t>
            </w:r>
          </w:p>
        </w:tc>
        <w:tc>
          <w:tcPr>
            <w:tcW w:w="0" w:type="auto"/>
          </w:tcPr>
          <w:p w14:paraId="3B12C9D1"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1 999 211</w:t>
            </w:r>
          </w:p>
        </w:tc>
        <w:tc>
          <w:tcPr>
            <w:tcW w:w="0" w:type="auto"/>
          </w:tcPr>
          <w:p w14:paraId="5AD519C3"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1 023</w:t>
            </w:r>
          </w:p>
        </w:tc>
        <w:tc>
          <w:tcPr>
            <w:tcW w:w="0" w:type="auto"/>
          </w:tcPr>
          <w:p w14:paraId="3C4A289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6 642</w:t>
            </w:r>
          </w:p>
        </w:tc>
      </w:tr>
      <w:tr w:rsidR="00B83214" w:rsidRPr="001062B0" w14:paraId="55200955" w14:textId="77777777" w:rsidTr="00B83214">
        <w:tc>
          <w:tcPr>
            <w:cnfStyle w:val="001000000000" w:firstRow="0" w:lastRow="0" w:firstColumn="1" w:lastColumn="0" w:oddVBand="0" w:evenVBand="0" w:oddHBand="0" w:evenHBand="0" w:firstRowFirstColumn="0" w:firstRowLastColumn="0" w:lastRowFirstColumn="0" w:lastRowLastColumn="0"/>
            <w:tcW w:w="2689" w:type="dxa"/>
          </w:tcPr>
          <w:p w14:paraId="1778212F" w14:textId="77777777" w:rsidR="00B83214" w:rsidRPr="001062B0" w:rsidRDefault="00B83214" w:rsidP="00B83214">
            <w:pPr>
              <w:spacing w:before="0" w:line="240" w:lineRule="auto"/>
              <w:rPr>
                <w:rFonts w:asciiTheme="majorHAnsi" w:hAnsiTheme="majorHAnsi" w:cstheme="minorHAnsi"/>
                <w:szCs w:val="24"/>
              </w:rPr>
            </w:pPr>
            <w:r w:rsidRPr="001062B0">
              <w:rPr>
                <w:rFonts w:asciiTheme="majorHAnsi" w:hAnsiTheme="majorHAnsi" w:cstheme="minorHAnsi"/>
                <w:szCs w:val="24"/>
              </w:rPr>
              <w:t>Miasto Koszalin (PL3202)</w:t>
            </w:r>
          </w:p>
        </w:tc>
        <w:tc>
          <w:tcPr>
            <w:tcW w:w="1559" w:type="dxa"/>
          </w:tcPr>
          <w:p w14:paraId="769DB46E"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98</w:t>
            </w:r>
          </w:p>
        </w:tc>
        <w:tc>
          <w:tcPr>
            <w:tcW w:w="1843" w:type="dxa"/>
          </w:tcPr>
          <w:p w14:paraId="1B1FCE2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100 883</w:t>
            </w:r>
          </w:p>
        </w:tc>
        <w:tc>
          <w:tcPr>
            <w:tcW w:w="1559" w:type="dxa"/>
          </w:tcPr>
          <w:p w14:paraId="2E359C0B"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469</w:t>
            </w:r>
          </w:p>
        </w:tc>
        <w:tc>
          <w:tcPr>
            <w:tcW w:w="1559" w:type="dxa"/>
          </w:tcPr>
          <w:p w14:paraId="59B029F6"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297 521</w:t>
            </w:r>
          </w:p>
        </w:tc>
        <w:tc>
          <w:tcPr>
            <w:tcW w:w="1037" w:type="dxa"/>
          </w:tcPr>
          <w:p w14:paraId="5646A5A5"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9</w:t>
            </w:r>
          </w:p>
        </w:tc>
        <w:tc>
          <w:tcPr>
            <w:tcW w:w="0" w:type="auto"/>
          </w:tcPr>
          <w:p w14:paraId="6F4D9EA1"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398 882</w:t>
            </w:r>
          </w:p>
        </w:tc>
        <w:tc>
          <w:tcPr>
            <w:tcW w:w="0" w:type="auto"/>
          </w:tcPr>
          <w:p w14:paraId="0FCB71B7"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1 034</w:t>
            </w:r>
          </w:p>
        </w:tc>
        <w:tc>
          <w:tcPr>
            <w:tcW w:w="0" w:type="auto"/>
          </w:tcPr>
          <w:p w14:paraId="0AD62A43"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4 070</w:t>
            </w:r>
          </w:p>
        </w:tc>
      </w:tr>
      <w:tr w:rsidR="00B83214" w:rsidRPr="001062B0" w14:paraId="5F3C827E" w14:textId="77777777" w:rsidTr="00B83214">
        <w:tc>
          <w:tcPr>
            <w:cnfStyle w:val="001000000000" w:firstRow="0" w:lastRow="0" w:firstColumn="1" w:lastColumn="0" w:oddVBand="0" w:evenVBand="0" w:oddHBand="0" w:evenHBand="0" w:firstRowFirstColumn="0" w:firstRowLastColumn="0" w:lastRowFirstColumn="0" w:lastRowLastColumn="0"/>
            <w:tcW w:w="2689" w:type="dxa"/>
          </w:tcPr>
          <w:p w14:paraId="4912D62C" w14:textId="77777777" w:rsidR="00B83214" w:rsidRPr="001062B0" w:rsidRDefault="00B83214" w:rsidP="00B83214">
            <w:pPr>
              <w:spacing w:before="0" w:line="240" w:lineRule="auto"/>
              <w:rPr>
                <w:rFonts w:asciiTheme="majorHAnsi" w:hAnsiTheme="majorHAnsi" w:cstheme="minorHAnsi"/>
                <w:szCs w:val="24"/>
              </w:rPr>
            </w:pPr>
            <w:r w:rsidRPr="001062B0">
              <w:rPr>
                <w:rFonts w:asciiTheme="majorHAnsi" w:hAnsiTheme="majorHAnsi" w:cstheme="minorHAnsi"/>
                <w:szCs w:val="24"/>
              </w:rPr>
              <w:t>Strefa zachodniopomorska (PL3203)</w:t>
            </w:r>
          </w:p>
        </w:tc>
        <w:tc>
          <w:tcPr>
            <w:tcW w:w="1559" w:type="dxa"/>
          </w:tcPr>
          <w:p w14:paraId="72AF3D15"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22 506</w:t>
            </w:r>
          </w:p>
        </w:tc>
        <w:tc>
          <w:tcPr>
            <w:tcW w:w="1843" w:type="dxa"/>
          </w:tcPr>
          <w:p w14:paraId="47C74C6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3 718 875</w:t>
            </w:r>
          </w:p>
        </w:tc>
        <w:tc>
          <w:tcPr>
            <w:tcW w:w="1559" w:type="dxa"/>
          </w:tcPr>
          <w:p w14:paraId="43CC174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18 660</w:t>
            </w:r>
          </w:p>
        </w:tc>
        <w:tc>
          <w:tcPr>
            <w:tcW w:w="1559" w:type="dxa"/>
          </w:tcPr>
          <w:p w14:paraId="07A5567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5 750 190</w:t>
            </w:r>
          </w:p>
        </w:tc>
        <w:tc>
          <w:tcPr>
            <w:tcW w:w="1037" w:type="dxa"/>
          </w:tcPr>
          <w:p w14:paraId="6CF3912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2 086</w:t>
            </w:r>
          </w:p>
        </w:tc>
        <w:tc>
          <w:tcPr>
            <w:tcW w:w="0" w:type="auto"/>
          </w:tcPr>
          <w:p w14:paraId="5714C1F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9 489 812</w:t>
            </w:r>
          </w:p>
        </w:tc>
        <w:tc>
          <w:tcPr>
            <w:tcW w:w="0" w:type="auto"/>
          </w:tcPr>
          <w:p w14:paraId="5262D68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166</w:t>
            </w:r>
          </w:p>
        </w:tc>
        <w:tc>
          <w:tcPr>
            <w:tcW w:w="0" w:type="auto"/>
          </w:tcPr>
          <w:p w14:paraId="34CE0903"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422</w:t>
            </w:r>
          </w:p>
        </w:tc>
      </w:tr>
      <w:tr w:rsidR="00B83214" w:rsidRPr="001062B0" w14:paraId="26FE7031" w14:textId="77777777" w:rsidTr="00B83214">
        <w:trPr>
          <w:trHeight w:val="279"/>
        </w:trPr>
        <w:tc>
          <w:tcPr>
            <w:cnfStyle w:val="001000000000" w:firstRow="0" w:lastRow="0" w:firstColumn="1" w:lastColumn="0" w:oddVBand="0" w:evenVBand="0" w:oddHBand="0" w:evenHBand="0" w:firstRowFirstColumn="0" w:firstRowLastColumn="0" w:lastRowFirstColumn="0" w:lastRowLastColumn="0"/>
            <w:tcW w:w="2689" w:type="dxa"/>
          </w:tcPr>
          <w:p w14:paraId="2F6703C6" w14:textId="77777777" w:rsidR="00B83214" w:rsidRPr="001062B0" w:rsidRDefault="00B83214" w:rsidP="00B83214">
            <w:pPr>
              <w:spacing w:before="0" w:line="240" w:lineRule="auto"/>
              <w:rPr>
                <w:rFonts w:asciiTheme="majorHAnsi" w:hAnsiTheme="majorHAnsi" w:cstheme="minorHAnsi"/>
                <w:szCs w:val="24"/>
              </w:rPr>
            </w:pPr>
            <w:r w:rsidRPr="001062B0">
              <w:rPr>
                <w:rFonts w:asciiTheme="majorHAnsi" w:hAnsiTheme="majorHAnsi" w:cstheme="minorHAnsi"/>
                <w:szCs w:val="24"/>
              </w:rPr>
              <w:t>woj. zachodniopomorskie</w:t>
            </w:r>
          </w:p>
        </w:tc>
        <w:tc>
          <w:tcPr>
            <w:tcW w:w="1559" w:type="dxa"/>
          </w:tcPr>
          <w:p w14:paraId="1E08A14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22 905</w:t>
            </w:r>
          </w:p>
        </w:tc>
        <w:tc>
          <w:tcPr>
            <w:tcW w:w="1843" w:type="dxa"/>
          </w:tcPr>
          <w:p w14:paraId="4C1F7B7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4 125 488</w:t>
            </w:r>
          </w:p>
        </w:tc>
        <w:tc>
          <w:tcPr>
            <w:tcW w:w="1559" w:type="dxa"/>
          </w:tcPr>
          <w:p w14:paraId="6ED0E5F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21 284</w:t>
            </w:r>
          </w:p>
        </w:tc>
        <w:tc>
          <w:tcPr>
            <w:tcW w:w="1559" w:type="dxa"/>
          </w:tcPr>
          <w:p w14:paraId="5F13FF9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7 738 964</w:t>
            </w:r>
          </w:p>
        </w:tc>
        <w:tc>
          <w:tcPr>
            <w:tcW w:w="1037" w:type="dxa"/>
          </w:tcPr>
          <w:p w14:paraId="1D4208A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2 170</w:t>
            </w:r>
          </w:p>
        </w:tc>
        <w:tc>
          <w:tcPr>
            <w:tcW w:w="0" w:type="auto"/>
          </w:tcPr>
          <w:p w14:paraId="095371C6"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11 887 905</w:t>
            </w:r>
          </w:p>
        </w:tc>
        <w:tc>
          <w:tcPr>
            <w:tcW w:w="0" w:type="auto"/>
          </w:tcPr>
          <w:p w14:paraId="614070C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181</w:t>
            </w:r>
          </w:p>
        </w:tc>
        <w:tc>
          <w:tcPr>
            <w:tcW w:w="0" w:type="auto"/>
          </w:tcPr>
          <w:p w14:paraId="00325BF5"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519</w:t>
            </w:r>
          </w:p>
        </w:tc>
      </w:tr>
      <w:tr w:rsidR="00B83214" w:rsidRPr="001062B0" w14:paraId="3F2AFB94" w14:textId="77777777" w:rsidTr="00B83214">
        <w:trPr>
          <w:trHeight w:val="312"/>
        </w:trPr>
        <w:tc>
          <w:tcPr>
            <w:cnfStyle w:val="001000000000" w:firstRow="0" w:lastRow="0" w:firstColumn="1" w:lastColumn="0" w:oddVBand="0" w:evenVBand="0" w:oddHBand="0" w:evenHBand="0" w:firstRowFirstColumn="0" w:firstRowLastColumn="0" w:lastRowFirstColumn="0" w:lastRowLastColumn="0"/>
            <w:tcW w:w="2689" w:type="dxa"/>
          </w:tcPr>
          <w:p w14:paraId="0A22C566" w14:textId="77777777" w:rsidR="00B83214" w:rsidRPr="001062B0" w:rsidRDefault="00B83214" w:rsidP="00B83214">
            <w:pPr>
              <w:spacing w:before="0" w:line="240" w:lineRule="auto"/>
              <w:rPr>
                <w:rFonts w:asciiTheme="majorHAnsi" w:hAnsiTheme="majorHAnsi" w:cstheme="minorHAnsi"/>
                <w:szCs w:val="24"/>
              </w:rPr>
            </w:pPr>
            <w:r w:rsidRPr="001062B0">
              <w:rPr>
                <w:rFonts w:asciiTheme="majorHAnsi" w:hAnsiTheme="majorHAnsi" w:cstheme="minorHAnsi"/>
                <w:szCs w:val="24"/>
              </w:rPr>
              <w:t>Polska</w:t>
            </w:r>
          </w:p>
        </w:tc>
        <w:tc>
          <w:tcPr>
            <w:tcW w:w="1559" w:type="dxa"/>
          </w:tcPr>
          <w:p w14:paraId="72FB816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312 705</w:t>
            </w:r>
          </w:p>
        </w:tc>
        <w:tc>
          <w:tcPr>
            <w:tcW w:w="1843" w:type="dxa"/>
          </w:tcPr>
          <w:p w14:paraId="359FC108"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109 346 273</w:t>
            </w:r>
          </w:p>
        </w:tc>
        <w:tc>
          <w:tcPr>
            <w:tcW w:w="1559" w:type="dxa"/>
          </w:tcPr>
          <w:p w14:paraId="4CBD125E"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542 039</w:t>
            </w:r>
          </w:p>
        </w:tc>
        <w:tc>
          <w:tcPr>
            <w:tcW w:w="1559" w:type="dxa"/>
          </w:tcPr>
          <w:p w14:paraId="0C767E6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175 270 099</w:t>
            </w:r>
          </w:p>
        </w:tc>
        <w:tc>
          <w:tcPr>
            <w:tcW w:w="1037" w:type="dxa"/>
          </w:tcPr>
          <w:p w14:paraId="38DC48F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97 672</w:t>
            </w:r>
          </w:p>
        </w:tc>
        <w:tc>
          <w:tcPr>
            <w:tcW w:w="0" w:type="auto"/>
          </w:tcPr>
          <w:p w14:paraId="75E78511"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285 256 082</w:t>
            </w:r>
          </w:p>
        </w:tc>
        <w:tc>
          <w:tcPr>
            <w:tcW w:w="0" w:type="auto"/>
          </w:tcPr>
          <w:p w14:paraId="4DE8C181"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352</w:t>
            </w:r>
          </w:p>
        </w:tc>
        <w:tc>
          <w:tcPr>
            <w:tcW w:w="0" w:type="auto"/>
          </w:tcPr>
          <w:p w14:paraId="75545417"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912</w:t>
            </w:r>
          </w:p>
        </w:tc>
      </w:tr>
    </w:tbl>
    <w:p w14:paraId="6F0234F4" w14:textId="77777777" w:rsidR="00B83214" w:rsidRPr="001062B0" w:rsidRDefault="00B83214" w:rsidP="00B83214">
      <w:pPr>
        <w:pStyle w:val="rdo"/>
      </w:pPr>
      <w:bookmarkStart w:id="208" w:name="_Toc68068858"/>
      <w:bookmarkStart w:id="209" w:name="_Ref96933531"/>
      <w:bookmarkStart w:id="210" w:name="_Toc97537947"/>
      <w:r w:rsidRPr="001062B0">
        <w:t>Źródło:</w:t>
      </w:r>
      <w:r w:rsidRPr="001062B0">
        <w:tab/>
        <w:t xml:space="preserve"> Roczna ocena jakości powietrza w województwie zachodniopomorskim - raport wojewódzki za rok 2020. GIOŚ, Szczecin</w:t>
      </w:r>
      <w:r>
        <w:t xml:space="preserve">; </w:t>
      </w:r>
      <w:hyperlink r:id="rId56" w:history="1">
        <w:r w:rsidRPr="008D2F0E">
          <w:rPr>
            <w:rStyle w:val="Hipercze"/>
          </w:rPr>
          <w:t>https://powietrze.gios.gov.pl/pjp/rwms/publications/card/1426</w:t>
        </w:r>
      </w:hyperlink>
      <w:r>
        <w:t>: (dostęp z dn.: 06.05.2022)</w:t>
      </w:r>
    </w:p>
    <w:p w14:paraId="42B66CD3" w14:textId="77777777" w:rsidR="00B83214" w:rsidRPr="001062B0" w:rsidRDefault="00B83214" w:rsidP="00B83214">
      <w:pPr>
        <w:pStyle w:val="Podpispodrysunkiem"/>
      </w:pPr>
      <w:bookmarkStart w:id="211" w:name="_Ref102733074"/>
      <w:bookmarkStart w:id="212" w:name="_Toc104790091"/>
      <w:r w:rsidRPr="001062B0">
        <w:t xml:space="preserve">Tabela </w:t>
      </w:r>
      <w:r>
        <w:fldChar w:fldCharType="begin"/>
      </w:r>
      <w:r>
        <w:instrText>SEQ Tabela \* ARABIC</w:instrText>
      </w:r>
      <w:r>
        <w:fldChar w:fldCharType="separate"/>
      </w:r>
      <w:r w:rsidR="002B5007">
        <w:rPr>
          <w:noProof/>
        </w:rPr>
        <w:t>21</w:t>
      </w:r>
      <w:r>
        <w:fldChar w:fldCharType="end"/>
      </w:r>
      <w:bookmarkEnd w:id="208"/>
      <w:bookmarkEnd w:id="209"/>
      <w:bookmarkEnd w:id="211"/>
      <w:r w:rsidRPr="001062B0">
        <w:t xml:space="preserve"> Zestawienie wielkości emisji tlenków azotu na obszarze stref woj. </w:t>
      </w:r>
      <w:bookmarkEnd w:id="210"/>
      <w:r w:rsidRPr="001062B0">
        <w:t>zachodniopomorskiego</w:t>
      </w:r>
      <w:bookmarkEnd w:id="212"/>
    </w:p>
    <w:tbl>
      <w:tblPr>
        <w:tblStyle w:val="Tabelasiatki1jasnaakcent11"/>
        <w:tblW w:w="0" w:type="auto"/>
        <w:tblLook w:val="04A0" w:firstRow="1" w:lastRow="0" w:firstColumn="1" w:lastColumn="0" w:noHBand="0" w:noVBand="1"/>
        <w:tblCaption w:val="Zestawienie wielkości emisji tlenków azotu na obszarze stref województwa śląskiego"/>
        <w:tblDescription w:val="Zestawienie wielkości emisji tlenków azotu na obszarze stref województwa śląskiego"/>
      </w:tblPr>
      <w:tblGrid>
        <w:gridCol w:w="2664"/>
        <w:gridCol w:w="1548"/>
        <w:gridCol w:w="1549"/>
        <w:gridCol w:w="1455"/>
        <w:gridCol w:w="1522"/>
        <w:gridCol w:w="1630"/>
        <w:gridCol w:w="1420"/>
        <w:gridCol w:w="1550"/>
        <w:gridCol w:w="882"/>
      </w:tblGrid>
      <w:tr w:rsidR="00B83214" w:rsidRPr="001062B0" w14:paraId="7116EC32" w14:textId="77777777" w:rsidTr="00B832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B79C1FA" w14:textId="77777777" w:rsidR="00B83214" w:rsidRPr="001062B0" w:rsidRDefault="00B83214" w:rsidP="00B83214">
            <w:pPr>
              <w:spacing w:before="0" w:line="240" w:lineRule="auto"/>
              <w:jc w:val="center"/>
              <w:rPr>
                <w:rFonts w:asciiTheme="majorHAnsi" w:hAnsiTheme="majorHAnsi"/>
                <w:szCs w:val="24"/>
              </w:rPr>
            </w:pPr>
            <w:r w:rsidRPr="001062B0">
              <w:rPr>
                <w:rFonts w:asciiTheme="majorHAnsi" w:hAnsiTheme="majorHAnsi"/>
                <w:szCs w:val="24"/>
              </w:rPr>
              <w:t>Nazwa i kod strefy</w:t>
            </w:r>
          </w:p>
          <w:p w14:paraId="3913802B" w14:textId="77777777" w:rsidR="00B83214" w:rsidRPr="001062B0" w:rsidRDefault="00B83214" w:rsidP="00B83214">
            <w:pPr>
              <w:spacing w:before="0" w:line="240" w:lineRule="auto"/>
              <w:jc w:val="center"/>
              <w:rPr>
                <w:rFonts w:asciiTheme="majorHAnsi" w:hAnsiTheme="majorHAnsi"/>
                <w:szCs w:val="24"/>
              </w:rPr>
            </w:pPr>
          </w:p>
        </w:tc>
        <w:tc>
          <w:tcPr>
            <w:tcW w:w="1548" w:type="dxa"/>
            <w:vMerge w:val="restart"/>
          </w:tcPr>
          <w:p w14:paraId="3C28BE20"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Powierzchnia strefy [km</w:t>
            </w:r>
            <w:r w:rsidRPr="001062B0">
              <w:rPr>
                <w:rFonts w:asciiTheme="majorHAnsi" w:hAnsiTheme="majorHAnsi"/>
                <w:szCs w:val="24"/>
                <w:vertAlign w:val="superscript"/>
              </w:rPr>
              <w:t>2</w:t>
            </w:r>
            <w:r w:rsidRPr="001062B0">
              <w:rPr>
                <w:rFonts w:asciiTheme="majorHAnsi" w:hAnsiTheme="majorHAnsi"/>
                <w:szCs w:val="24"/>
              </w:rPr>
              <w:t>]</w:t>
            </w:r>
          </w:p>
        </w:tc>
        <w:tc>
          <w:tcPr>
            <w:tcW w:w="7576" w:type="dxa"/>
            <w:gridSpan w:val="5"/>
          </w:tcPr>
          <w:p w14:paraId="02129690"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 xml:space="preserve">Emisja NOx </w:t>
            </w:r>
          </w:p>
          <w:p w14:paraId="1E26C9FD"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[kg/rok]</w:t>
            </w:r>
          </w:p>
        </w:tc>
        <w:tc>
          <w:tcPr>
            <w:tcW w:w="0" w:type="auto"/>
            <w:gridSpan w:val="2"/>
          </w:tcPr>
          <w:p w14:paraId="511FA0D0"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 xml:space="preserve">Emisja </w:t>
            </w:r>
          </w:p>
          <w:p w14:paraId="45693B5B"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[kg/(km</w:t>
            </w:r>
            <w:r w:rsidRPr="001062B0">
              <w:rPr>
                <w:rFonts w:asciiTheme="majorHAnsi" w:hAnsiTheme="majorHAnsi"/>
                <w:szCs w:val="24"/>
                <w:vertAlign w:val="superscript"/>
              </w:rPr>
              <w:t xml:space="preserve">2 </w:t>
            </w:r>
            <w:r w:rsidRPr="001062B0">
              <w:rPr>
                <w:rFonts w:asciiTheme="majorHAnsi" w:hAnsiTheme="majorHAnsi"/>
                <w:szCs w:val="24"/>
              </w:rPr>
              <w:t>x rok)]</w:t>
            </w:r>
          </w:p>
        </w:tc>
      </w:tr>
      <w:tr w:rsidR="00B83214" w:rsidRPr="001062B0" w14:paraId="1852C233" w14:textId="77777777" w:rsidTr="00B83214">
        <w:tc>
          <w:tcPr>
            <w:cnfStyle w:val="001000000000" w:firstRow="0" w:lastRow="0" w:firstColumn="1" w:lastColumn="0" w:oddVBand="0" w:evenVBand="0" w:oddHBand="0" w:evenHBand="0" w:firstRowFirstColumn="0" w:firstRowLastColumn="0" w:lastRowFirstColumn="0" w:lastRowLastColumn="0"/>
            <w:tcW w:w="0" w:type="auto"/>
            <w:vMerge/>
          </w:tcPr>
          <w:p w14:paraId="177027B6" w14:textId="77777777" w:rsidR="00B83214" w:rsidRPr="001062B0" w:rsidRDefault="00B83214" w:rsidP="00B83214">
            <w:pPr>
              <w:spacing w:before="0" w:line="240" w:lineRule="auto"/>
              <w:jc w:val="center"/>
              <w:rPr>
                <w:rFonts w:asciiTheme="majorHAnsi" w:hAnsiTheme="majorHAnsi"/>
                <w:szCs w:val="24"/>
              </w:rPr>
            </w:pPr>
          </w:p>
        </w:tc>
        <w:tc>
          <w:tcPr>
            <w:tcW w:w="1548" w:type="dxa"/>
            <w:vMerge/>
          </w:tcPr>
          <w:p w14:paraId="44B03A06"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p>
        </w:tc>
        <w:tc>
          <w:tcPr>
            <w:tcW w:w="1549" w:type="dxa"/>
          </w:tcPr>
          <w:p w14:paraId="37AEC7E7"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bCs/>
                <w:szCs w:val="24"/>
              </w:rPr>
            </w:pPr>
            <w:r w:rsidRPr="001062B0">
              <w:rPr>
                <w:rFonts w:asciiTheme="majorHAnsi" w:hAnsiTheme="majorHAnsi"/>
                <w:b/>
                <w:bCs/>
                <w:szCs w:val="24"/>
              </w:rPr>
              <w:t>Komunalno-bytowa</w:t>
            </w:r>
          </w:p>
        </w:tc>
        <w:tc>
          <w:tcPr>
            <w:tcW w:w="1455" w:type="dxa"/>
          </w:tcPr>
          <w:p w14:paraId="4737CCF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bCs/>
                <w:szCs w:val="24"/>
              </w:rPr>
            </w:pPr>
            <w:r w:rsidRPr="001062B0">
              <w:rPr>
                <w:rFonts w:asciiTheme="majorHAnsi" w:hAnsiTheme="majorHAnsi"/>
                <w:b/>
                <w:bCs/>
                <w:szCs w:val="24"/>
              </w:rPr>
              <w:t>Transport drogowy</w:t>
            </w:r>
          </w:p>
        </w:tc>
        <w:tc>
          <w:tcPr>
            <w:tcW w:w="1522" w:type="dxa"/>
          </w:tcPr>
          <w:p w14:paraId="42BE4C8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bCs/>
                <w:szCs w:val="24"/>
              </w:rPr>
            </w:pPr>
            <w:r w:rsidRPr="001062B0">
              <w:rPr>
                <w:rFonts w:asciiTheme="majorHAnsi" w:hAnsiTheme="majorHAnsi"/>
                <w:b/>
                <w:bCs/>
                <w:szCs w:val="24"/>
              </w:rPr>
              <w:t>Punktowa</w:t>
            </w:r>
          </w:p>
        </w:tc>
        <w:tc>
          <w:tcPr>
            <w:tcW w:w="1630" w:type="dxa"/>
          </w:tcPr>
          <w:p w14:paraId="198BF25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bCs/>
                <w:szCs w:val="24"/>
              </w:rPr>
            </w:pPr>
            <w:r w:rsidRPr="001062B0">
              <w:rPr>
                <w:rFonts w:asciiTheme="majorHAnsi" w:hAnsiTheme="majorHAnsi"/>
                <w:b/>
                <w:bCs/>
                <w:szCs w:val="24"/>
              </w:rPr>
              <w:t>Inne</w:t>
            </w:r>
          </w:p>
        </w:tc>
        <w:tc>
          <w:tcPr>
            <w:tcW w:w="0" w:type="auto"/>
          </w:tcPr>
          <w:p w14:paraId="28DC34F8"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bCs/>
                <w:szCs w:val="24"/>
              </w:rPr>
            </w:pPr>
            <w:r w:rsidRPr="001062B0">
              <w:rPr>
                <w:rFonts w:asciiTheme="majorHAnsi" w:hAnsiTheme="majorHAnsi"/>
                <w:b/>
                <w:bCs/>
                <w:szCs w:val="24"/>
              </w:rPr>
              <w:t>Suma emisji</w:t>
            </w:r>
          </w:p>
        </w:tc>
        <w:tc>
          <w:tcPr>
            <w:tcW w:w="0" w:type="auto"/>
          </w:tcPr>
          <w:p w14:paraId="22E8C74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bCs/>
                <w:szCs w:val="24"/>
              </w:rPr>
            </w:pPr>
            <w:r w:rsidRPr="001062B0">
              <w:rPr>
                <w:rFonts w:asciiTheme="majorHAnsi" w:hAnsiTheme="majorHAnsi"/>
                <w:b/>
                <w:bCs/>
                <w:szCs w:val="24"/>
              </w:rPr>
              <w:t>Bez emisji punktowej</w:t>
            </w:r>
          </w:p>
        </w:tc>
        <w:tc>
          <w:tcPr>
            <w:tcW w:w="0" w:type="auto"/>
          </w:tcPr>
          <w:p w14:paraId="573145E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bCs/>
                <w:szCs w:val="24"/>
              </w:rPr>
            </w:pPr>
            <w:r w:rsidRPr="001062B0">
              <w:rPr>
                <w:rFonts w:asciiTheme="majorHAnsi" w:hAnsiTheme="majorHAnsi"/>
                <w:b/>
                <w:bCs/>
                <w:szCs w:val="24"/>
              </w:rPr>
              <w:t>Razem</w:t>
            </w:r>
          </w:p>
        </w:tc>
      </w:tr>
      <w:tr w:rsidR="00B83214" w:rsidRPr="001062B0" w14:paraId="2AF1E83A" w14:textId="77777777" w:rsidTr="00B83214">
        <w:trPr>
          <w:trHeight w:val="402"/>
        </w:trPr>
        <w:tc>
          <w:tcPr>
            <w:cnfStyle w:val="001000000000" w:firstRow="0" w:lastRow="0" w:firstColumn="1" w:lastColumn="0" w:oddVBand="0" w:evenVBand="0" w:oddHBand="0" w:evenHBand="0" w:firstRowFirstColumn="0" w:firstRowLastColumn="0" w:lastRowFirstColumn="0" w:lastRowLastColumn="0"/>
            <w:tcW w:w="0" w:type="auto"/>
          </w:tcPr>
          <w:p w14:paraId="39F0E2DD"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aglomeracja szczecińska (PL3201)</w:t>
            </w:r>
          </w:p>
        </w:tc>
        <w:tc>
          <w:tcPr>
            <w:tcW w:w="1548" w:type="dxa"/>
          </w:tcPr>
          <w:p w14:paraId="693C04E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301</w:t>
            </w:r>
          </w:p>
        </w:tc>
        <w:tc>
          <w:tcPr>
            <w:tcW w:w="1549" w:type="dxa"/>
          </w:tcPr>
          <w:p w14:paraId="3E963E0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161 673</w:t>
            </w:r>
          </w:p>
        </w:tc>
        <w:tc>
          <w:tcPr>
            <w:tcW w:w="1455" w:type="dxa"/>
          </w:tcPr>
          <w:p w14:paraId="24D79B3E"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1 002 268</w:t>
            </w:r>
          </w:p>
        </w:tc>
        <w:tc>
          <w:tcPr>
            <w:tcW w:w="1522" w:type="dxa"/>
          </w:tcPr>
          <w:p w14:paraId="7E6B728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1 690 526</w:t>
            </w:r>
          </w:p>
        </w:tc>
        <w:tc>
          <w:tcPr>
            <w:tcW w:w="1630" w:type="dxa"/>
          </w:tcPr>
          <w:p w14:paraId="7B15E9E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199 004</w:t>
            </w:r>
          </w:p>
        </w:tc>
        <w:tc>
          <w:tcPr>
            <w:tcW w:w="0" w:type="auto"/>
          </w:tcPr>
          <w:p w14:paraId="12BA3D2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3 053 470</w:t>
            </w:r>
          </w:p>
        </w:tc>
        <w:tc>
          <w:tcPr>
            <w:tcW w:w="0" w:type="auto"/>
          </w:tcPr>
          <w:p w14:paraId="0DC99223"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4 528</w:t>
            </w:r>
          </w:p>
        </w:tc>
        <w:tc>
          <w:tcPr>
            <w:tcW w:w="0" w:type="auto"/>
          </w:tcPr>
          <w:p w14:paraId="08F7F15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10 144</w:t>
            </w:r>
          </w:p>
        </w:tc>
      </w:tr>
      <w:tr w:rsidR="00B83214" w:rsidRPr="001062B0" w14:paraId="79D98A6D" w14:textId="77777777" w:rsidTr="00B83214">
        <w:tc>
          <w:tcPr>
            <w:cnfStyle w:val="001000000000" w:firstRow="0" w:lastRow="0" w:firstColumn="1" w:lastColumn="0" w:oddVBand="0" w:evenVBand="0" w:oddHBand="0" w:evenHBand="0" w:firstRowFirstColumn="0" w:firstRowLastColumn="0" w:lastRowFirstColumn="0" w:lastRowLastColumn="0"/>
            <w:tcW w:w="0" w:type="auto"/>
          </w:tcPr>
          <w:p w14:paraId="1D66C234"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Miasto Koszalin (PL3202)</w:t>
            </w:r>
          </w:p>
        </w:tc>
        <w:tc>
          <w:tcPr>
            <w:tcW w:w="1548" w:type="dxa"/>
          </w:tcPr>
          <w:p w14:paraId="0A35032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98</w:t>
            </w:r>
          </w:p>
        </w:tc>
        <w:tc>
          <w:tcPr>
            <w:tcW w:w="1549" w:type="dxa"/>
          </w:tcPr>
          <w:p w14:paraId="2EC6ED33"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52 620</w:t>
            </w:r>
          </w:p>
        </w:tc>
        <w:tc>
          <w:tcPr>
            <w:tcW w:w="1455" w:type="dxa"/>
          </w:tcPr>
          <w:p w14:paraId="208684F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224 216</w:t>
            </w:r>
          </w:p>
        </w:tc>
        <w:tc>
          <w:tcPr>
            <w:tcW w:w="1522" w:type="dxa"/>
          </w:tcPr>
          <w:p w14:paraId="63A6A2A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202 282</w:t>
            </w:r>
          </w:p>
        </w:tc>
        <w:tc>
          <w:tcPr>
            <w:tcW w:w="1630" w:type="dxa"/>
          </w:tcPr>
          <w:p w14:paraId="0ABA0A9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8 937</w:t>
            </w:r>
          </w:p>
        </w:tc>
        <w:tc>
          <w:tcPr>
            <w:tcW w:w="0" w:type="auto"/>
          </w:tcPr>
          <w:p w14:paraId="1E348E8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488 055</w:t>
            </w:r>
          </w:p>
        </w:tc>
        <w:tc>
          <w:tcPr>
            <w:tcW w:w="0" w:type="auto"/>
          </w:tcPr>
          <w:p w14:paraId="614DBFA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2 916</w:t>
            </w:r>
          </w:p>
        </w:tc>
        <w:tc>
          <w:tcPr>
            <w:tcW w:w="0" w:type="auto"/>
          </w:tcPr>
          <w:p w14:paraId="7EBED40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4 980</w:t>
            </w:r>
          </w:p>
        </w:tc>
      </w:tr>
      <w:tr w:rsidR="00B83214" w:rsidRPr="001062B0" w14:paraId="45EDCA6C" w14:textId="77777777" w:rsidTr="00B83214">
        <w:tc>
          <w:tcPr>
            <w:cnfStyle w:val="001000000000" w:firstRow="0" w:lastRow="0" w:firstColumn="1" w:lastColumn="0" w:oddVBand="0" w:evenVBand="0" w:oddHBand="0" w:evenHBand="0" w:firstRowFirstColumn="0" w:firstRowLastColumn="0" w:lastRowFirstColumn="0" w:lastRowLastColumn="0"/>
            <w:tcW w:w="0" w:type="auto"/>
          </w:tcPr>
          <w:p w14:paraId="29A06F1C"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Strefa zachodniopomorska (PL3203)</w:t>
            </w:r>
          </w:p>
        </w:tc>
        <w:tc>
          <w:tcPr>
            <w:tcW w:w="1548" w:type="dxa"/>
          </w:tcPr>
          <w:p w14:paraId="0AD3543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22 506</w:t>
            </w:r>
          </w:p>
        </w:tc>
        <w:tc>
          <w:tcPr>
            <w:tcW w:w="1549" w:type="dxa"/>
          </w:tcPr>
          <w:p w14:paraId="6852DA6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1 582 483</w:t>
            </w:r>
          </w:p>
        </w:tc>
        <w:tc>
          <w:tcPr>
            <w:tcW w:w="1455" w:type="dxa"/>
          </w:tcPr>
          <w:p w14:paraId="4D90CCF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9 094 658</w:t>
            </w:r>
          </w:p>
        </w:tc>
        <w:tc>
          <w:tcPr>
            <w:tcW w:w="1522" w:type="dxa"/>
          </w:tcPr>
          <w:p w14:paraId="47145176"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4 890 894</w:t>
            </w:r>
          </w:p>
        </w:tc>
        <w:tc>
          <w:tcPr>
            <w:tcW w:w="1630" w:type="dxa"/>
          </w:tcPr>
          <w:p w14:paraId="7185F00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4 094 452</w:t>
            </w:r>
          </w:p>
        </w:tc>
        <w:tc>
          <w:tcPr>
            <w:tcW w:w="0" w:type="auto"/>
          </w:tcPr>
          <w:p w14:paraId="3A557C41"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19 662 488</w:t>
            </w:r>
          </w:p>
        </w:tc>
        <w:tc>
          <w:tcPr>
            <w:tcW w:w="0" w:type="auto"/>
          </w:tcPr>
          <w:p w14:paraId="7C8CA94B"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656</w:t>
            </w:r>
          </w:p>
        </w:tc>
        <w:tc>
          <w:tcPr>
            <w:tcW w:w="0" w:type="auto"/>
          </w:tcPr>
          <w:p w14:paraId="3B47A0B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874</w:t>
            </w:r>
          </w:p>
        </w:tc>
      </w:tr>
      <w:tr w:rsidR="00B83214" w:rsidRPr="001062B0" w14:paraId="55CA98AC" w14:textId="77777777" w:rsidTr="00B83214">
        <w:tc>
          <w:tcPr>
            <w:cnfStyle w:val="001000000000" w:firstRow="0" w:lastRow="0" w:firstColumn="1" w:lastColumn="0" w:oddVBand="0" w:evenVBand="0" w:oddHBand="0" w:evenHBand="0" w:firstRowFirstColumn="0" w:firstRowLastColumn="0" w:lastRowFirstColumn="0" w:lastRowLastColumn="0"/>
            <w:tcW w:w="0" w:type="auto"/>
          </w:tcPr>
          <w:p w14:paraId="4E7B7CAE"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Woj. zachodniopomorskie</w:t>
            </w:r>
          </w:p>
        </w:tc>
        <w:tc>
          <w:tcPr>
            <w:tcW w:w="1548" w:type="dxa"/>
          </w:tcPr>
          <w:p w14:paraId="726B0B2E"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22 905</w:t>
            </w:r>
          </w:p>
        </w:tc>
        <w:tc>
          <w:tcPr>
            <w:tcW w:w="1549" w:type="dxa"/>
          </w:tcPr>
          <w:p w14:paraId="0F98DA1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1 796 776</w:t>
            </w:r>
          </w:p>
        </w:tc>
        <w:tc>
          <w:tcPr>
            <w:tcW w:w="1455" w:type="dxa"/>
          </w:tcPr>
          <w:p w14:paraId="75F3CA9E"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10 321 142</w:t>
            </w:r>
          </w:p>
        </w:tc>
        <w:tc>
          <w:tcPr>
            <w:tcW w:w="1522" w:type="dxa"/>
          </w:tcPr>
          <w:p w14:paraId="24B111E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6 783 702</w:t>
            </w:r>
          </w:p>
        </w:tc>
        <w:tc>
          <w:tcPr>
            <w:tcW w:w="1630" w:type="dxa"/>
          </w:tcPr>
          <w:p w14:paraId="3809749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4 302 393</w:t>
            </w:r>
          </w:p>
        </w:tc>
        <w:tc>
          <w:tcPr>
            <w:tcW w:w="0" w:type="auto"/>
          </w:tcPr>
          <w:p w14:paraId="5DCB5166"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23 204 012</w:t>
            </w:r>
          </w:p>
        </w:tc>
        <w:tc>
          <w:tcPr>
            <w:tcW w:w="0" w:type="auto"/>
          </w:tcPr>
          <w:p w14:paraId="5BFE8FE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717</w:t>
            </w:r>
          </w:p>
        </w:tc>
        <w:tc>
          <w:tcPr>
            <w:tcW w:w="0" w:type="auto"/>
          </w:tcPr>
          <w:p w14:paraId="4FE315D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1 013</w:t>
            </w:r>
          </w:p>
        </w:tc>
      </w:tr>
      <w:tr w:rsidR="00B83214" w:rsidRPr="001062B0" w14:paraId="0447A5D6" w14:textId="77777777" w:rsidTr="00B83214">
        <w:tc>
          <w:tcPr>
            <w:cnfStyle w:val="001000000000" w:firstRow="0" w:lastRow="0" w:firstColumn="1" w:lastColumn="0" w:oddVBand="0" w:evenVBand="0" w:oddHBand="0" w:evenHBand="0" w:firstRowFirstColumn="0" w:firstRowLastColumn="0" w:lastRowFirstColumn="0" w:lastRowLastColumn="0"/>
            <w:tcW w:w="0" w:type="auto"/>
          </w:tcPr>
          <w:p w14:paraId="584FF312"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Polska</w:t>
            </w:r>
          </w:p>
        </w:tc>
        <w:tc>
          <w:tcPr>
            <w:tcW w:w="1548" w:type="dxa"/>
          </w:tcPr>
          <w:p w14:paraId="0E2CEBA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312 705</w:t>
            </w:r>
          </w:p>
        </w:tc>
        <w:tc>
          <w:tcPr>
            <w:tcW w:w="1549" w:type="dxa"/>
          </w:tcPr>
          <w:p w14:paraId="6C59580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46 222 329</w:t>
            </w:r>
          </w:p>
        </w:tc>
        <w:tc>
          <w:tcPr>
            <w:tcW w:w="1455" w:type="dxa"/>
          </w:tcPr>
          <w:p w14:paraId="3A92259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274 001 788</w:t>
            </w:r>
          </w:p>
        </w:tc>
        <w:tc>
          <w:tcPr>
            <w:tcW w:w="1522" w:type="dxa"/>
          </w:tcPr>
          <w:p w14:paraId="13B9A645"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190 680 105</w:t>
            </w:r>
          </w:p>
        </w:tc>
        <w:tc>
          <w:tcPr>
            <w:tcW w:w="1630" w:type="dxa"/>
          </w:tcPr>
          <w:p w14:paraId="542C5B5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106 121 913</w:t>
            </w:r>
          </w:p>
        </w:tc>
        <w:tc>
          <w:tcPr>
            <w:tcW w:w="0" w:type="auto"/>
          </w:tcPr>
          <w:p w14:paraId="44B7F96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617 026 135</w:t>
            </w:r>
          </w:p>
        </w:tc>
        <w:tc>
          <w:tcPr>
            <w:tcW w:w="0" w:type="auto"/>
          </w:tcPr>
          <w:p w14:paraId="60E6FEF7"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1 363</w:t>
            </w:r>
          </w:p>
        </w:tc>
        <w:tc>
          <w:tcPr>
            <w:tcW w:w="0" w:type="auto"/>
          </w:tcPr>
          <w:p w14:paraId="18D025D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1 973</w:t>
            </w:r>
          </w:p>
        </w:tc>
      </w:tr>
    </w:tbl>
    <w:p w14:paraId="4BB1AD3A" w14:textId="77777777" w:rsidR="00B83214" w:rsidRPr="001062B0" w:rsidRDefault="00B83214" w:rsidP="00B83214">
      <w:pPr>
        <w:pStyle w:val="rdo"/>
      </w:pPr>
      <w:bookmarkStart w:id="213" w:name="_Toc68068859"/>
      <w:bookmarkStart w:id="214" w:name="_Ref96933533"/>
      <w:bookmarkStart w:id="215" w:name="_Toc97537948"/>
      <w:r w:rsidRPr="001062B0">
        <w:t>Źródło:</w:t>
      </w:r>
      <w:r w:rsidRPr="001062B0">
        <w:tab/>
        <w:t xml:space="preserve"> Roczna ocena jakości powietrza w województwie zachodniopomorskim - raport wojewódzki za rok 2020. GIOŚ, Szczecin</w:t>
      </w:r>
      <w:r>
        <w:t xml:space="preserve">; </w:t>
      </w:r>
      <w:hyperlink r:id="rId57" w:history="1">
        <w:r w:rsidRPr="008D2F0E">
          <w:rPr>
            <w:rStyle w:val="Hipercze"/>
          </w:rPr>
          <w:t>https://powietrze.gios.gov.pl/pjp/rwms/publications/card/1426</w:t>
        </w:r>
      </w:hyperlink>
      <w:r>
        <w:t>; (</w:t>
      </w:r>
      <w:r w:rsidRPr="001062B0">
        <w:t>dostęp</w:t>
      </w:r>
      <w:r>
        <w:t xml:space="preserve"> z dn.: 06.05.2022)</w:t>
      </w:r>
    </w:p>
    <w:p w14:paraId="7A4F6388" w14:textId="77777777" w:rsidR="00B83214" w:rsidRPr="001062B0" w:rsidRDefault="00B83214" w:rsidP="00B83214">
      <w:pPr>
        <w:pStyle w:val="Podpispodrysunkiem"/>
      </w:pPr>
      <w:bookmarkStart w:id="216" w:name="_Ref102733076"/>
      <w:bookmarkStart w:id="217" w:name="_Toc104790092"/>
      <w:r w:rsidRPr="001062B0">
        <w:t xml:space="preserve">Tabela </w:t>
      </w:r>
      <w:r>
        <w:fldChar w:fldCharType="begin"/>
      </w:r>
      <w:r>
        <w:instrText>SEQ Tabela \* ARABIC</w:instrText>
      </w:r>
      <w:r>
        <w:fldChar w:fldCharType="separate"/>
      </w:r>
      <w:r w:rsidR="002B5007">
        <w:rPr>
          <w:noProof/>
        </w:rPr>
        <w:t>22</w:t>
      </w:r>
      <w:r>
        <w:fldChar w:fldCharType="end"/>
      </w:r>
      <w:bookmarkEnd w:id="213"/>
      <w:bookmarkEnd w:id="214"/>
      <w:bookmarkEnd w:id="216"/>
      <w:r w:rsidRPr="001062B0">
        <w:t xml:space="preserve"> Zestawienie wielkości emisji pyłu PM10 na obszarze stref woj</w:t>
      </w:r>
      <w:bookmarkEnd w:id="215"/>
      <w:r>
        <w:t>ewództwa</w:t>
      </w:r>
      <w:r w:rsidRPr="001062B0">
        <w:t xml:space="preserve"> zachodniopomorskiego</w:t>
      </w:r>
      <w:bookmarkEnd w:id="217"/>
    </w:p>
    <w:tbl>
      <w:tblPr>
        <w:tblStyle w:val="Tabelasiatki1jasnaakcent11"/>
        <w:tblW w:w="0" w:type="auto"/>
        <w:tblLook w:val="04A0" w:firstRow="1" w:lastRow="0" w:firstColumn="1" w:lastColumn="0" w:noHBand="0" w:noVBand="1"/>
        <w:tblCaption w:val="Zestawienie wielkości emisji pyłu PM10 na obszarze stref województwa śląskiego"/>
        <w:tblDescription w:val="Zestawienie wielkości emisji pyłu PM10 na obszarze stref województwa śląskiego"/>
      </w:tblPr>
      <w:tblGrid>
        <w:gridCol w:w="2292"/>
        <w:gridCol w:w="1334"/>
        <w:gridCol w:w="1470"/>
        <w:gridCol w:w="1398"/>
        <w:gridCol w:w="1430"/>
        <w:gridCol w:w="1354"/>
        <w:gridCol w:w="1414"/>
        <w:gridCol w:w="1494"/>
        <w:gridCol w:w="1004"/>
        <w:gridCol w:w="882"/>
      </w:tblGrid>
      <w:tr w:rsidR="00B83214" w:rsidRPr="001062B0" w14:paraId="6726A9B4" w14:textId="77777777" w:rsidTr="00B832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92" w:type="dxa"/>
            <w:vMerge w:val="restart"/>
          </w:tcPr>
          <w:p w14:paraId="52AA53F6" w14:textId="77777777" w:rsidR="00B83214" w:rsidRPr="001062B0" w:rsidRDefault="00B83214" w:rsidP="00B83214">
            <w:pPr>
              <w:spacing w:before="0" w:line="240" w:lineRule="auto"/>
              <w:jc w:val="center"/>
              <w:rPr>
                <w:rFonts w:asciiTheme="majorHAnsi" w:hAnsiTheme="majorHAnsi"/>
                <w:szCs w:val="24"/>
              </w:rPr>
            </w:pPr>
            <w:r w:rsidRPr="001062B0">
              <w:rPr>
                <w:rFonts w:asciiTheme="majorHAnsi" w:hAnsiTheme="majorHAnsi"/>
                <w:szCs w:val="24"/>
              </w:rPr>
              <w:t>Nazwa i kod strefy</w:t>
            </w:r>
          </w:p>
        </w:tc>
        <w:tc>
          <w:tcPr>
            <w:tcW w:w="1334" w:type="dxa"/>
            <w:vMerge w:val="restart"/>
          </w:tcPr>
          <w:p w14:paraId="6B63F26F"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Powierz-chnia strefy [km</w:t>
            </w:r>
            <w:r w:rsidRPr="001062B0">
              <w:rPr>
                <w:rFonts w:asciiTheme="majorHAnsi" w:hAnsiTheme="majorHAnsi"/>
                <w:szCs w:val="24"/>
                <w:vertAlign w:val="superscript"/>
              </w:rPr>
              <w:t>2</w:t>
            </w:r>
            <w:r w:rsidRPr="001062B0">
              <w:rPr>
                <w:rFonts w:asciiTheme="majorHAnsi" w:hAnsiTheme="majorHAnsi"/>
                <w:szCs w:val="24"/>
              </w:rPr>
              <w:t>]</w:t>
            </w:r>
          </w:p>
        </w:tc>
        <w:tc>
          <w:tcPr>
            <w:tcW w:w="8560" w:type="dxa"/>
            <w:gridSpan w:val="6"/>
          </w:tcPr>
          <w:p w14:paraId="74588601"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 xml:space="preserve">Emisja PM10 </w:t>
            </w:r>
          </w:p>
          <w:p w14:paraId="0319D3F8"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[kg/rok]</w:t>
            </w:r>
          </w:p>
        </w:tc>
        <w:tc>
          <w:tcPr>
            <w:tcW w:w="1808" w:type="dxa"/>
            <w:gridSpan w:val="2"/>
          </w:tcPr>
          <w:p w14:paraId="10E59176"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 xml:space="preserve">Emisja </w:t>
            </w:r>
          </w:p>
          <w:p w14:paraId="520A1078"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[kg/(km</w:t>
            </w:r>
            <w:r w:rsidRPr="001062B0">
              <w:rPr>
                <w:rFonts w:asciiTheme="majorHAnsi" w:hAnsiTheme="majorHAnsi"/>
                <w:szCs w:val="24"/>
                <w:vertAlign w:val="superscript"/>
              </w:rPr>
              <w:t xml:space="preserve">2 </w:t>
            </w:r>
            <w:r w:rsidRPr="001062B0">
              <w:rPr>
                <w:rFonts w:asciiTheme="majorHAnsi" w:hAnsiTheme="majorHAnsi"/>
                <w:szCs w:val="24"/>
              </w:rPr>
              <w:t>x rok)]</w:t>
            </w:r>
          </w:p>
        </w:tc>
      </w:tr>
      <w:tr w:rsidR="00B83214" w:rsidRPr="001062B0" w14:paraId="6E53FB77" w14:textId="77777777" w:rsidTr="00B832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92" w:type="dxa"/>
            <w:vMerge/>
          </w:tcPr>
          <w:p w14:paraId="51493DA0" w14:textId="77777777" w:rsidR="00B83214" w:rsidRPr="001062B0" w:rsidRDefault="00B83214" w:rsidP="00B83214">
            <w:pPr>
              <w:spacing w:before="0" w:line="240" w:lineRule="auto"/>
              <w:jc w:val="center"/>
              <w:rPr>
                <w:rFonts w:asciiTheme="majorHAnsi" w:hAnsiTheme="majorHAnsi"/>
                <w:szCs w:val="24"/>
              </w:rPr>
            </w:pPr>
          </w:p>
        </w:tc>
        <w:tc>
          <w:tcPr>
            <w:tcW w:w="1334" w:type="dxa"/>
            <w:vMerge/>
          </w:tcPr>
          <w:p w14:paraId="01CDF7CC"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p>
        </w:tc>
        <w:tc>
          <w:tcPr>
            <w:tcW w:w="1470" w:type="dxa"/>
          </w:tcPr>
          <w:p w14:paraId="55A80A53"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Komunalno-bytowa</w:t>
            </w:r>
          </w:p>
        </w:tc>
        <w:tc>
          <w:tcPr>
            <w:tcW w:w="1398" w:type="dxa"/>
          </w:tcPr>
          <w:p w14:paraId="2AA0FB5B"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Transport drogowy</w:t>
            </w:r>
          </w:p>
        </w:tc>
        <w:tc>
          <w:tcPr>
            <w:tcW w:w="1430" w:type="dxa"/>
          </w:tcPr>
          <w:p w14:paraId="7CD79D6F"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Punktowa</w:t>
            </w:r>
          </w:p>
        </w:tc>
        <w:tc>
          <w:tcPr>
            <w:tcW w:w="1354" w:type="dxa"/>
          </w:tcPr>
          <w:p w14:paraId="76BFA12F"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Hałdy i wyrobiska</w:t>
            </w:r>
          </w:p>
        </w:tc>
        <w:tc>
          <w:tcPr>
            <w:tcW w:w="1414" w:type="dxa"/>
          </w:tcPr>
          <w:p w14:paraId="30977DA3"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Inne</w:t>
            </w:r>
          </w:p>
        </w:tc>
        <w:tc>
          <w:tcPr>
            <w:tcW w:w="1494" w:type="dxa"/>
          </w:tcPr>
          <w:p w14:paraId="3EBBAFE8"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Suma emisji</w:t>
            </w:r>
          </w:p>
        </w:tc>
        <w:tc>
          <w:tcPr>
            <w:tcW w:w="926" w:type="dxa"/>
          </w:tcPr>
          <w:p w14:paraId="41581B04"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Bez emisji punkto-wej</w:t>
            </w:r>
          </w:p>
        </w:tc>
        <w:tc>
          <w:tcPr>
            <w:tcW w:w="0" w:type="auto"/>
          </w:tcPr>
          <w:p w14:paraId="6C114A15"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Razem</w:t>
            </w:r>
          </w:p>
        </w:tc>
      </w:tr>
      <w:tr w:rsidR="00B83214" w:rsidRPr="001062B0" w14:paraId="01F3576C" w14:textId="77777777" w:rsidTr="00B83214">
        <w:tc>
          <w:tcPr>
            <w:cnfStyle w:val="001000000000" w:firstRow="0" w:lastRow="0" w:firstColumn="1" w:lastColumn="0" w:oddVBand="0" w:evenVBand="0" w:oddHBand="0" w:evenHBand="0" w:firstRowFirstColumn="0" w:firstRowLastColumn="0" w:lastRowFirstColumn="0" w:lastRowLastColumn="0"/>
            <w:tcW w:w="2292" w:type="dxa"/>
          </w:tcPr>
          <w:p w14:paraId="26E2FD64"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aglomeracja szczecińska (PL3201)</w:t>
            </w:r>
          </w:p>
        </w:tc>
        <w:tc>
          <w:tcPr>
            <w:tcW w:w="1334" w:type="dxa"/>
          </w:tcPr>
          <w:p w14:paraId="6D1FB43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301</w:t>
            </w:r>
          </w:p>
        </w:tc>
        <w:tc>
          <w:tcPr>
            <w:tcW w:w="1470" w:type="dxa"/>
            <w:vAlign w:val="center"/>
          </w:tcPr>
          <w:p w14:paraId="7451F92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500 486</w:t>
            </w:r>
          </w:p>
        </w:tc>
        <w:tc>
          <w:tcPr>
            <w:tcW w:w="1398" w:type="dxa"/>
            <w:vAlign w:val="center"/>
          </w:tcPr>
          <w:p w14:paraId="07D1009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69 181</w:t>
            </w:r>
          </w:p>
        </w:tc>
        <w:tc>
          <w:tcPr>
            <w:tcW w:w="1430" w:type="dxa"/>
            <w:vAlign w:val="center"/>
          </w:tcPr>
          <w:p w14:paraId="7810D1E8"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169 766</w:t>
            </w:r>
          </w:p>
        </w:tc>
        <w:tc>
          <w:tcPr>
            <w:tcW w:w="1354" w:type="dxa"/>
            <w:vAlign w:val="center"/>
          </w:tcPr>
          <w:p w14:paraId="3851B9C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20 525</w:t>
            </w:r>
          </w:p>
        </w:tc>
        <w:tc>
          <w:tcPr>
            <w:tcW w:w="1414" w:type="dxa"/>
            <w:vAlign w:val="center"/>
          </w:tcPr>
          <w:p w14:paraId="3251C55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26 867</w:t>
            </w:r>
          </w:p>
        </w:tc>
        <w:tc>
          <w:tcPr>
            <w:tcW w:w="1494" w:type="dxa"/>
            <w:vAlign w:val="center"/>
          </w:tcPr>
          <w:p w14:paraId="060D5D1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786 825</w:t>
            </w:r>
          </w:p>
        </w:tc>
        <w:tc>
          <w:tcPr>
            <w:tcW w:w="926" w:type="dxa"/>
            <w:vAlign w:val="center"/>
          </w:tcPr>
          <w:p w14:paraId="49B95987"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2 050</w:t>
            </w:r>
          </w:p>
        </w:tc>
        <w:tc>
          <w:tcPr>
            <w:tcW w:w="0" w:type="auto"/>
            <w:vAlign w:val="center"/>
          </w:tcPr>
          <w:p w14:paraId="66AC7AE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2 614</w:t>
            </w:r>
          </w:p>
        </w:tc>
      </w:tr>
      <w:tr w:rsidR="00B83214" w:rsidRPr="001062B0" w14:paraId="5E9F9C2C" w14:textId="77777777" w:rsidTr="00B83214">
        <w:tc>
          <w:tcPr>
            <w:cnfStyle w:val="001000000000" w:firstRow="0" w:lastRow="0" w:firstColumn="1" w:lastColumn="0" w:oddVBand="0" w:evenVBand="0" w:oddHBand="0" w:evenHBand="0" w:firstRowFirstColumn="0" w:firstRowLastColumn="0" w:lastRowFirstColumn="0" w:lastRowLastColumn="0"/>
            <w:tcW w:w="2292" w:type="dxa"/>
          </w:tcPr>
          <w:p w14:paraId="6F6D6E7F"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Miasto Koszalin (PL3202)</w:t>
            </w:r>
          </w:p>
        </w:tc>
        <w:tc>
          <w:tcPr>
            <w:tcW w:w="1334" w:type="dxa"/>
          </w:tcPr>
          <w:p w14:paraId="5434FB0B"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98</w:t>
            </w:r>
          </w:p>
        </w:tc>
        <w:tc>
          <w:tcPr>
            <w:tcW w:w="1470" w:type="dxa"/>
            <w:vAlign w:val="center"/>
          </w:tcPr>
          <w:p w14:paraId="0F8FBDF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170 547</w:t>
            </w:r>
          </w:p>
        </w:tc>
        <w:tc>
          <w:tcPr>
            <w:tcW w:w="1398" w:type="dxa"/>
            <w:vAlign w:val="center"/>
          </w:tcPr>
          <w:p w14:paraId="1877BF4B"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16 233</w:t>
            </w:r>
          </w:p>
        </w:tc>
        <w:tc>
          <w:tcPr>
            <w:tcW w:w="1430" w:type="dxa"/>
            <w:vAlign w:val="center"/>
          </w:tcPr>
          <w:p w14:paraId="44F25ED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60 871</w:t>
            </w:r>
          </w:p>
        </w:tc>
        <w:tc>
          <w:tcPr>
            <w:tcW w:w="1354" w:type="dxa"/>
            <w:vAlign w:val="center"/>
          </w:tcPr>
          <w:p w14:paraId="212C1EBE"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0</w:t>
            </w:r>
          </w:p>
        </w:tc>
        <w:tc>
          <w:tcPr>
            <w:tcW w:w="1414" w:type="dxa"/>
            <w:vAlign w:val="center"/>
          </w:tcPr>
          <w:p w14:paraId="34A415F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7 302</w:t>
            </w:r>
          </w:p>
        </w:tc>
        <w:tc>
          <w:tcPr>
            <w:tcW w:w="1494" w:type="dxa"/>
            <w:vAlign w:val="center"/>
          </w:tcPr>
          <w:p w14:paraId="15EAC43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254 954</w:t>
            </w:r>
          </w:p>
        </w:tc>
        <w:tc>
          <w:tcPr>
            <w:tcW w:w="926" w:type="dxa"/>
            <w:vAlign w:val="center"/>
          </w:tcPr>
          <w:p w14:paraId="6A769A58"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1 980</w:t>
            </w:r>
          </w:p>
        </w:tc>
        <w:tc>
          <w:tcPr>
            <w:tcW w:w="0" w:type="auto"/>
            <w:vAlign w:val="center"/>
          </w:tcPr>
          <w:p w14:paraId="630C016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2 602</w:t>
            </w:r>
          </w:p>
        </w:tc>
      </w:tr>
      <w:tr w:rsidR="00B83214" w:rsidRPr="001062B0" w14:paraId="7ED0A429" w14:textId="77777777" w:rsidTr="00B83214">
        <w:tc>
          <w:tcPr>
            <w:cnfStyle w:val="001000000000" w:firstRow="0" w:lastRow="0" w:firstColumn="1" w:lastColumn="0" w:oddVBand="0" w:evenVBand="0" w:oddHBand="0" w:evenHBand="0" w:firstRowFirstColumn="0" w:firstRowLastColumn="0" w:lastRowFirstColumn="0" w:lastRowLastColumn="0"/>
            <w:tcW w:w="2292" w:type="dxa"/>
          </w:tcPr>
          <w:p w14:paraId="2C371B34"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Strefa zachodniopomorska (PL3203)</w:t>
            </w:r>
          </w:p>
        </w:tc>
        <w:tc>
          <w:tcPr>
            <w:tcW w:w="1334" w:type="dxa"/>
          </w:tcPr>
          <w:p w14:paraId="591B5DD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22 506</w:t>
            </w:r>
          </w:p>
        </w:tc>
        <w:tc>
          <w:tcPr>
            <w:tcW w:w="1470" w:type="dxa"/>
            <w:vAlign w:val="center"/>
          </w:tcPr>
          <w:p w14:paraId="09EC445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6 427 074</w:t>
            </w:r>
          </w:p>
        </w:tc>
        <w:tc>
          <w:tcPr>
            <w:tcW w:w="1398" w:type="dxa"/>
            <w:vAlign w:val="center"/>
          </w:tcPr>
          <w:p w14:paraId="4807B1A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607 019</w:t>
            </w:r>
          </w:p>
        </w:tc>
        <w:tc>
          <w:tcPr>
            <w:tcW w:w="1430" w:type="dxa"/>
            <w:vAlign w:val="center"/>
          </w:tcPr>
          <w:p w14:paraId="6A361B0B"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962 296</w:t>
            </w:r>
          </w:p>
        </w:tc>
        <w:tc>
          <w:tcPr>
            <w:tcW w:w="1354" w:type="dxa"/>
            <w:vAlign w:val="center"/>
          </w:tcPr>
          <w:p w14:paraId="38B85F9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Cs/>
                <w:szCs w:val="24"/>
              </w:rPr>
            </w:pPr>
            <w:r w:rsidRPr="001062B0">
              <w:rPr>
                <w:rFonts w:asciiTheme="majorHAnsi" w:hAnsiTheme="majorHAnsi"/>
                <w:iCs/>
                <w:szCs w:val="24"/>
              </w:rPr>
              <w:t>644 821</w:t>
            </w:r>
          </w:p>
        </w:tc>
        <w:tc>
          <w:tcPr>
            <w:tcW w:w="1414" w:type="dxa"/>
            <w:vAlign w:val="center"/>
          </w:tcPr>
          <w:p w14:paraId="14391C73"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2 901 867</w:t>
            </w:r>
          </w:p>
        </w:tc>
        <w:tc>
          <w:tcPr>
            <w:tcW w:w="1494" w:type="dxa"/>
            <w:vAlign w:val="center"/>
          </w:tcPr>
          <w:p w14:paraId="6E051867"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11 543 078</w:t>
            </w:r>
          </w:p>
        </w:tc>
        <w:tc>
          <w:tcPr>
            <w:tcW w:w="926" w:type="dxa"/>
            <w:vAlign w:val="center"/>
          </w:tcPr>
          <w:p w14:paraId="54862333"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470</w:t>
            </w:r>
          </w:p>
        </w:tc>
        <w:tc>
          <w:tcPr>
            <w:tcW w:w="0" w:type="auto"/>
            <w:vAlign w:val="center"/>
          </w:tcPr>
          <w:p w14:paraId="39013811"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513</w:t>
            </w:r>
          </w:p>
        </w:tc>
      </w:tr>
      <w:tr w:rsidR="00B83214" w:rsidRPr="001062B0" w14:paraId="6831C156" w14:textId="77777777" w:rsidTr="00B83214">
        <w:tc>
          <w:tcPr>
            <w:cnfStyle w:val="001000000000" w:firstRow="0" w:lastRow="0" w:firstColumn="1" w:lastColumn="0" w:oddVBand="0" w:evenVBand="0" w:oddHBand="0" w:evenHBand="0" w:firstRowFirstColumn="0" w:firstRowLastColumn="0" w:lastRowFirstColumn="0" w:lastRowLastColumn="0"/>
            <w:tcW w:w="2292" w:type="dxa"/>
          </w:tcPr>
          <w:p w14:paraId="2536BDBF"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woj. zachodniopomorskie</w:t>
            </w:r>
          </w:p>
        </w:tc>
        <w:tc>
          <w:tcPr>
            <w:tcW w:w="1334" w:type="dxa"/>
          </w:tcPr>
          <w:p w14:paraId="4019FDD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22 905</w:t>
            </w:r>
          </w:p>
        </w:tc>
        <w:tc>
          <w:tcPr>
            <w:tcW w:w="1470" w:type="dxa"/>
            <w:vAlign w:val="center"/>
          </w:tcPr>
          <w:p w14:paraId="402ADB98"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7 098 107</w:t>
            </w:r>
          </w:p>
        </w:tc>
        <w:tc>
          <w:tcPr>
            <w:tcW w:w="1398" w:type="dxa"/>
            <w:vAlign w:val="center"/>
          </w:tcPr>
          <w:p w14:paraId="4737378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692 433</w:t>
            </w:r>
          </w:p>
        </w:tc>
        <w:tc>
          <w:tcPr>
            <w:tcW w:w="1430" w:type="dxa"/>
            <w:vAlign w:val="center"/>
          </w:tcPr>
          <w:p w14:paraId="2C5AF431"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1 192 934</w:t>
            </w:r>
          </w:p>
        </w:tc>
        <w:tc>
          <w:tcPr>
            <w:tcW w:w="1354" w:type="dxa"/>
            <w:vAlign w:val="center"/>
          </w:tcPr>
          <w:p w14:paraId="3856B8B8"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665 345</w:t>
            </w:r>
          </w:p>
        </w:tc>
        <w:tc>
          <w:tcPr>
            <w:tcW w:w="1414" w:type="dxa"/>
            <w:vAlign w:val="center"/>
          </w:tcPr>
          <w:p w14:paraId="71F9382B"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2 936 036</w:t>
            </w:r>
          </w:p>
        </w:tc>
        <w:tc>
          <w:tcPr>
            <w:tcW w:w="1494" w:type="dxa"/>
            <w:vAlign w:val="center"/>
          </w:tcPr>
          <w:p w14:paraId="00ECB4D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12 584 856</w:t>
            </w:r>
          </w:p>
        </w:tc>
        <w:tc>
          <w:tcPr>
            <w:tcW w:w="926" w:type="dxa"/>
            <w:vAlign w:val="center"/>
          </w:tcPr>
          <w:p w14:paraId="13E2999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497</w:t>
            </w:r>
          </w:p>
        </w:tc>
        <w:tc>
          <w:tcPr>
            <w:tcW w:w="0" w:type="auto"/>
            <w:vAlign w:val="center"/>
          </w:tcPr>
          <w:p w14:paraId="772BD906"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549</w:t>
            </w:r>
          </w:p>
        </w:tc>
      </w:tr>
      <w:tr w:rsidR="00B83214" w:rsidRPr="001062B0" w14:paraId="7D3602BB" w14:textId="77777777" w:rsidTr="00B83214">
        <w:trPr>
          <w:trHeight w:val="235"/>
        </w:trPr>
        <w:tc>
          <w:tcPr>
            <w:cnfStyle w:val="001000000000" w:firstRow="0" w:lastRow="0" w:firstColumn="1" w:lastColumn="0" w:oddVBand="0" w:evenVBand="0" w:oddHBand="0" w:evenHBand="0" w:firstRowFirstColumn="0" w:firstRowLastColumn="0" w:lastRowFirstColumn="0" w:lastRowLastColumn="0"/>
            <w:tcW w:w="2292" w:type="dxa"/>
          </w:tcPr>
          <w:p w14:paraId="57D2F5F4"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Polska</w:t>
            </w:r>
          </w:p>
        </w:tc>
        <w:tc>
          <w:tcPr>
            <w:tcW w:w="1334" w:type="dxa"/>
          </w:tcPr>
          <w:p w14:paraId="53327931"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312 705</w:t>
            </w:r>
          </w:p>
        </w:tc>
        <w:tc>
          <w:tcPr>
            <w:tcW w:w="1470" w:type="dxa"/>
            <w:vAlign w:val="center"/>
          </w:tcPr>
          <w:p w14:paraId="526027B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188 776 224</w:t>
            </w:r>
          </w:p>
        </w:tc>
        <w:tc>
          <w:tcPr>
            <w:tcW w:w="1398" w:type="dxa"/>
            <w:vAlign w:val="center"/>
          </w:tcPr>
          <w:p w14:paraId="4DDF717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18 102 304</w:t>
            </w:r>
          </w:p>
        </w:tc>
        <w:tc>
          <w:tcPr>
            <w:tcW w:w="1430" w:type="dxa"/>
            <w:vAlign w:val="center"/>
          </w:tcPr>
          <w:p w14:paraId="100FC21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22 228 968</w:t>
            </w:r>
          </w:p>
        </w:tc>
        <w:tc>
          <w:tcPr>
            <w:tcW w:w="1354" w:type="dxa"/>
            <w:vAlign w:val="center"/>
          </w:tcPr>
          <w:p w14:paraId="47967FA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18 986 708</w:t>
            </w:r>
          </w:p>
        </w:tc>
        <w:tc>
          <w:tcPr>
            <w:tcW w:w="1414" w:type="dxa"/>
            <w:vAlign w:val="center"/>
          </w:tcPr>
          <w:p w14:paraId="73AB9DC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54 843 493</w:t>
            </w:r>
          </w:p>
        </w:tc>
        <w:tc>
          <w:tcPr>
            <w:tcW w:w="1494" w:type="dxa"/>
            <w:vAlign w:val="center"/>
          </w:tcPr>
          <w:p w14:paraId="19CFD387"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302 937 697</w:t>
            </w:r>
          </w:p>
        </w:tc>
        <w:tc>
          <w:tcPr>
            <w:tcW w:w="926" w:type="dxa"/>
            <w:vAlign w:val="center"/>
          </w:tcPr>
          <w:p w14:paraId="54F2906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898</w:t>
            </w:r>
          </w:p>
        </w:tc>
        <w:tc>
          <w:tcPr>
            <w:tcW w:w="0" w:type="auto"/>
            <w:vAlign w:val="center"/>
          </w:tcPr>
          <w:p w14:paraId="789B69C7"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969</w:t>
            </w:r>
          </w:p>
        </w:tc>
      </w:tr>
    </w:tbl>
    <w:p w14:paraId="1C13C17D" w14:textId="77777777" w:rsidR="00B83214" w:rsidRPr="001062B0" w:rsidRDefault="00B83214" w:rsidP="00B83214">
      <w:pPr>
        <w:pStyle w:val="rdo"/>
      </w:pPr>
      <w:bookmarkStart w:id="218" w:name="_Toc68068860"/>
      <w:bookmarkStart w:id="219" w:name="_Ref96933534"/>
      <w:bookmarkStart w:id="220" w:name="_Toc97537949"/>
      <w:r w:rsidRPr="001062B0">
        <w:t>Źródło:</w:t>
      </w:r>
      <w:r w:rsidRPr="001062B0">
        <w:tab/>
        <w:t xml:space="preserve"> Roczna ocena jakości powietrza w województwie zachodniopomorskim - raport wojewód</w:t>
      </w:r>
      <w:r>
        <w:t xml:space="preserve">zki za rok 2020. GIOŚ, Szczecin; </w:t>
      </w:r>
      <w:hyperlink r:id="rId58" w:history="1">
        <w:r w:rsidRPr="008D2F0E">
          <w:rPr>
            <w:rStyle w:val="Hipercze"/>
          </w:rPr>
          <w:t>https://powietrze.gios.gov.pl/pjp/rwms/publications/card/1426</w:t>
        </w:r>
      </w:hyperlink>
      <w:r>
        <w:t>; (dostęp z dn.: 06.05.2022)</w:t>
      </w:r>
    </w:p>
    <w:p w14:paraId="3CF28E22" w14:textId="77777777" w:rsidR="00B83214" w:rsidRPr="001062B0" w:rsidRDefault="00B83214" w:rsidP="00B83214">
      <w:pPr>
        <w:spacing w:before="0" w:after="0" w:line="276" w:lineRule="auto"/>
        <w:jc w:val="both"/>
        <w:rPr>
          <w:rFonts w:asciiTheme="majorHAnsi" w:hAnsiTheme="majorHAnsi"/>
          <w:b/>
          <w:bCs/>
          <w:color w:val="3E762A" w:themeColor="accent1" w:themeShade="BF"/>
          <w:szCs w:val="24"/>
        </w:rPr>
        <w:sectPr w:rsidR="00B83214" w:rsidRPr="001062B0" w:rsidSect="006E38B9">
          <w:pgSz w:w="16838" w:h="11906" w:orient="landscape"/>
          <w:pgMar w:top="1417" w:right="1417" w:bottom="1417" w:left="1417" w:header="708" w:footer="708" w:gutter="0"/>
          <w:pgNumType w:fmt="lowerRoman"/>
          <w:cols w:space="708"/>
          <w:titlePg/>
          <w:docGrid w:linePitch="360"/>
        </w:sectPr>
      </w:pPr>
      <w:bookmarkStart w:id="221" w:name="_Ref102733077"/>
    </w:p>
    <w:p w14:paraId="40439142" w14:textId="77777777" w:rsidR="00B83214" w:rsidRPr="001062B0" w:rsidRDefault="00B83214" w:rsidP="00B83214">
      <w:pPr>
        <w:pStyle w:val="Podpispodrysunkiem"/>
      </w:pPr>
      <w:bookmarkStart w:id="222" w:name="_Ref103255113"/>
      <w:bookmarkStart w:id="223" w:name="_Toc104790093"/>
      <w:r w:rsidRPr="001062B0">
        <w:t xml:space="preserve">Tabela </w:t>
      </w:r>
      <w:r w:rsidRPr="001062B0">
        <w:fldChar w:fldCharType="begin"/>
      </w:r>
      <w:r w:rsidRPr="001062B0">
        <w:instrText>SEQ Tabela \* ARABIC</w:instrText>
      </w:r>
      <w:r w:rsidRPr="001062B0">
        <w:fldChar w:fldCharType="separate"/>
      </w:r>
      <w:r w:rsidR="002B5007">
        <w:rPr>
          <w:noProof/>
        </w:rPr>
        <w:t>23</w:t>
      </w:r>
      <w:r w:rsidRPr="001062B0">
        <w:fldChar w:fldCharType="end"/>
      </w:r>
      <w:bookmarkEnd w:id="218"/>
      <w:bookmarkEnd w:id="219"/>
      <w:bookmarkEnd w:id="221"/>
      <w:bookmarkEnd w:id="222"/>
      <w:r w:rsidRPr="001062B0">
        <w:t xml:space="preserve"> Zestawienie wielkości emisji pyłu PM2,5 na obszarze stref woj</w:t>
      </w:r>
      <w:bookmarkEnd w:id="220"/>
      <w:r>
        <w:t>ewództwa</w:t>
      </w:r>
      <w:r w:rsidRPr="001062B0">
        <w:t xml:space="preserve"> zachodniopomorskiego</w:t>
      </w:r>
      <w:bookmarkEnd w:id="223"/>
    </w:p>
    <w:tbl>
      <w:tblPr>
        <w:tblStyle w:val="Tabelasiatki1jasnaakcent11"/>
        <w:tblW w:w="0" w:type="auto"/>
        <w:tblLook w:val="04A0" w:firstRow="1" w:lastRow="0" w:firstColumn="1" w:lastColumn="0" w:noHBand="0" w:noVBand="1"/>
        <w:tblCaption w:val="Zestawienie wielkości emisji pyłu PM2,5 na obszarze stref województwa śląskiego"/>
        <w:tblDescription w:val="Zestawienie wielkości emisji pyłu PM2,5 na obszarze stref województwa śląskiego"/>
      </w:tblPr>
      <w:tblGrid>
        <w:gridCol w:w="2294"/>
        <w:gridCol w:w="1399"/>
        <w:gridCol w:w="1438"/>
        <w:gridCol w:w="1390"/>
        <w:gridCol w:w="1406"/>
        <w:gridCol w:w="1414"/>
        <w:gridCol w:w="1329"/>
        <w:gridCol w:w="1471"/>
        <w:gridCol w:w="1004"/>
        <w:gridCol w:w="882"/>
      </w:tblGrid>
      <w:tr w:rsidR="00B83214" w:rsidRPr="001062B0" w14:paraId="626A341E" w14:textId="77777777" w:rsidTr="00B832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94" w:type="dxa"/>
            <w:vMerge w:val="restart"/>
          </w:tcPr>
          <w:p w14:paraId="7B2861D2" w14:textId="77777777" w:rsidR="00B83214" w:rsidRPr="001062B0" w:rsidRDefault="00B83214" w:rsidP="00B83214">
            <w:pPr>
              <w:spacing w:before="0" w:line="240" w:lineRule="auto"/>
              <w:jc w:val="center"/>
              <w:rPr>
                <w:rFonts w:asciiTheme="majorHAnsi" w:hAnsiTheme="majorHAnsi"/>
                <w:szCs w:val="24"/>
              </w:rPr>
            </w:pPr>
            <w:r w:rsidRPr="001062B0">
              <w:rPr>
                <w:rFonts w:asciiTheme="majorHAnsi" w:hAnsiTheme="majorHAnsi"/>
                <w:szCs w:val="24"/>
              </w:rPr>
              <w:t>Nazwa i kod strefy</w:t>
            </w:r>
          </w:p>
        </w:tc>
        <w:tc>
          <w:tcPr>
            <w:tcW w:w="1399" w:type="dxa"/>
            <w:vMerge w:val="restart"/>
          </w:tcPr>
          <w:p w14:paraId="573DB51E"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Powierz-chnia strefy [km</w:t>
            </w:r>
            <w:r w:rsidRPr="001062B0">
              <w:rPr>
                <w:rFonts w:asciiTheme="majorHAnsi" w:hAnsiTheme="majorHAnsi"/>
                <w:szCs w:val="24"/>
                <w:vertAlign w:val="superscript"/>
              </w:rPr>
              <w:t>2</w:t>
            </w:r>
            <w:r w:rsidRPr="001062B0">
              <w:rPr>
                <w:rFonts w:asciiTheme="majorHAnsi" w:hAnsiTheme="majorHAnsi"/>
                <w:szCs w:val="24"/>
              </w:rPr>
              <w:t>]</w:t>
            </w:r>
          </w:p>
        </w:tc>
        <w:tc>
          <w:tcPr>
            <w:tcW w:w="8415" w:type="dxa"/>
            <w:gridSpan w:val="6"/>
          </w:tcPr>
          <w:p w14:paraId="755A1517"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 xml:space="preserve">Emisja PM2,5 </w:t>
            </w:r>
          </w:p>
          <w:p w14:paraId="1BE8015A"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[kg/rok]</w:t>
            </w:r>
          </w:p>
        </w:tc>
        <w:tc>
          <w:tcPr>
            <w:tcW w:w="1886" w:type="dxa"/>
            <w:gridSpan w:val="2"/>
          </w:tcPr>
          <w:p w14:paraId="2E88A60C"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Emisja</w:t>
            </w:r>
          </w:p>
          <w:p w14:paraId="4B56F7B8"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[kg/(km</w:t>
            </w:r>
            <w:r w:rsidRPr="001062B0">
              <w:rPr>
                <w:rFonts w:asciiTheme="majorHAnsi" w:hAnsiTheme="majorHAnsi"/>
                <w:szCs w:val="24"/>
                <w:vertAlign w:val="superscript"/>
              </w:rPr>
              <w:t xml:space="preserve">2 </w:t>
            </w:r>
            <w:r w:rsidRPr="001062B0">
              <w:rPr>
                <w:rFonts w:asciiTheme="majorHAnsi" w:hAnsiTheme="majorHAnsi"/>
                <w:szCs w:val="24"/>
              </w:rPr>
              <w:t>x rok)]</w:t>
            </w:r>
          </w:p>
        </w:tc>
      </w:tr>
      <w:tr w:rsidR="00B83214" w:rsidRPr="001062B0" w14:paraId="0C1900D3" w14:textId="77777777" w:rsidTr="00B832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94" w:type="dxa"/>
            <w:vMerge/>
          </w:tcPr>
          <w:p w14:paraId="1F5E60C8" w14:textId="77777777" w:rsidR="00B83214" w:rsidRPr="001062B0" w:rsidRDefault="00B83214" w:rsidP="00B83214">
            <w:pPr>
              <w:spacing w:before="0" w:line="240" w:lineRule="auto"/>
              <w:rPr>
                <w:rFonts w:asciiTheme="majorHAnsi" w:hAnsiTheme="majorHAnsi"/>
                <w:szCs w:val="24"/>
              </w:rPr>
            </w:pPr>
          </w:p>
        </w:tc>
        <w:tc>
          <w:tcPr>
            <w:tcW w:w="1399" w:type="dxa"/>
            <w:vMerge/>
          </w:tcPr>
          <w:p w14:paraId="02B39221"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p>
        </w:tc>
        <w:tc>
          <w:tcPr>
            <w:tcW w:w="1405" w:type="dxa"/>
          </w:tcPr>
          <w:p w14:paraId="3DF9BBAE"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Komunalno-bytowa</w:t>
            </w:r>
          </w:p>
        </w:tc>
        <w:tc>
          <w:tcPr>
            <w:tcW w:w="1390" w:type="dxa"/>
          </w:tcPr>
          <w:p w14:paraId="30A1C4D3"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Transport drogowy</w:t>
            </w:r>
          </w:p>
        </w:tc>
        <w:tc>
          <w:tcPr>
            <w:tcW w:w="1406" w:type="dxa"/>
          </w:tcPr>
          <w:p w14:paraId="4908AF7D"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Punktowa</w:t>
            </w:r>
          </w:p>
        </w:tc>
        <w:tc>
          <w:tcPr>
            <w:tcW w:w="1414" w:type="dxa"/>
          </w:tcPr>
          <w:p w14:paraId="6D412A45"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Hałdy i wyrobiska</w:t>
            </w:r>
          </w:p>
        </w:tc>
        <w:tc>
          <w:tcPr>
            <w:tcW w:w="1329" w:type="dxa"/>
          </w:tcPr>
          <w:p w14:paraId="77FF8D6D"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Inne</w:t>
            </w:r>
          </w:p>
        </w:tc>
        <w:tc>
          <w:tcPr>
            <w:tcW w:w="1471" w:type="dxa"/>
          </w:tcPr>
          <w:p w14:paraId="21E19240"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Suma emisji</w:t>
            </w:r>
          </w:p>
        </w:tc>
        <w:tc>
          <w:tcPr>
            <w:tcW w:w="1004" w:type="dxa"/>
          </w:tcPr>
          <w:p w14:paraId="65B45A45"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Bez emisji punkto-wej</w:t>
            </w:r>
          </w:p>
        </w:tc>
        <w:tc>
          <w:tcPr>
            <w:tcW w:w="0" w:type="auto"/>
          </w:tcPr>
          <w:p w14:paraId="52F7EBAC"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val="0"/>
                <w:szCs w:val="24"/>
              </w:rPr>
            </w:pPr>
            <w:r w:rsidRPr="001062B0">
              <w:rPr>
                <w:rFonts w:asciiTheme="majorHAnsi" w:hAnsiTheme="majorHAnsi"/>
                <w:bCs w:val="0"/>
                <w:szCs w:val="24"/>
              </w:rPr>
              <w:t>Razem</w:t>
            </w:r>
          </w:p>
        </w:tc>
      </w:tr>
      <w:tr w:rsidR="00B83214" w:rsidRPr="001062B0" w14:paraId="651B0DB1" w14:textId="77777777" w:rsidTr="00B83214">
        <w:tc>
          <w:tcPr>
            <w:cnfStyle w:val="001000000000" w:firstRow="0" w:lastRow="0" w:firstColumn="1" w:lastColumn="0" w:oddVBand="0" w:evenVBand="0" w:oddHBand="0" w:evenHBand="0" w:firstRowFirstColumn="0" w:firstRowLastColumn="0" w:lastRowFirstColumn="0" w:lastRowLastColumn="0"/>
            <w:tcW w:w="2294" w:type="dxa"/>
          </w:tcPr>
          <w:p w14:paraId="3641623D"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aglomeracja szczecińska (PL3201)</w:t>
            </w:r>
          </w:p>
        </w:tc>
        <w:tc>
          <w:tcPr>
            <w:tcW w:w="1399" w:type="dxa"/>
          </w:tcPr>
          <w:p w14:paraId="056291D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301</w:t>
            </w:r>
          </w:p>
        </w:tc>
        <w:tc>
          <w:tcPr>
            <w:tcW w:w="1405" w:type="dxa"/>
            <w:vAlign w:val="center"/>
          </w:tcPr>
          <w:p w14:paraId="31825447"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491 252</w:t>
            </w:r>
          </w:p>
        </w:tc>
        <w:tc>
          <w:tcPr>
            <w:tcW w:w="1390" w:type="dxa"/>
            <w:vAlign w:val="center"/>
          </w:tcPr>
          <w:p w14:paraId="6FE7F9D6"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51 539</w:t>
            </w:r>
          </w:p>
        </w:tc>
        <w:tc>
          <w:tcPr>
            <w:tcW w:w="1406" w:type="dxa"/>
            <w:vAlign w:val="center"/>
          </w:tcPr>
          <w:p w14:paraId="316882F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110 900</w:t>
            </w:r>
          </w:p>
        </w:tc>
        <w:tc>
          <w:tcPr>
            <w:tcW w:w="1414" w:type="dxa"/>
            <w:vAlign w:val="center"/>
          </w:tcPr>
          <w:p w14:paraId="11756A71"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4 925</w:t>
            </w:r>
          </w:p>
        </w:tc>
        <w:tc>
          <w:tcPr>
            <w:tcW w:w="1329" w:type="dxa"/>
            <w:vAlign w:val="center"/>
          </w:tcPr>
          <w:p w14:paraId="60813EA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6 357</w:t>
            </w:r>
          </w:p>
        </w:tc>
        <w:tc>
          <w:tcPr>
            <w:tcW w:w="1471" w:type="dxa"/>
            <w:vAlign w:val="center"/>
          </w:tcPr>
          <w:p w14:paraId="594E539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664 973</w:t>
            </w:r>
          </w:p>
        </w:tc>
        <w:tc>
          <w:tcPr>
            <w:tcW w:w="1004" w:type="dxa"/>
            <w:vAlign w:val="center"/>
          </w:tcPr>
          <w:p w14:paraId="2CE941B6"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1 841</w:t>
            </w:r>
          </w:p>
        </w:tc>
        <w:tc>
          <w:tcPr>
            <w:tcW w:w="0" w:type="auto"/>
            <w:vAlign w:val="center"/>
          </w:tcPr>
          <w:p w14:paraId="0B8AC10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2 209</w:t>
            </w:r>
          </w:p>
        </w:tc>
      </w:tr>
      <w:tr w:rsidR="00B83214" w:rsidRPr="001062B0" w14:paraId="5CBD2731" w14:textId="77777777" w:rsidTr="00B83214">
        <w:tc>
          <w:tcPr>
            <w:cnfStyle w:val="001000000000" w:firstRow="0" w:lastRow="0" w:firstColumn="1" w:lastColumn="0" w:oddVBand="0" w:evenVBand="0" w:oddHBand="0" w:evenHBand="0" w:firstRowFirstColumn="0" w:firstRowLastColumn="0" w:lastRowFirstColumn="0" w:lastRowLastColumn="0"/>
            <w:tcW w:w="2294" w:type="dxa"/>
          </w:tcPr>
          <w:p w14:paraId="59E92055"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Miasto Koszalin (PL3202)</w:t>
            </w:r>
          </w:p>
        </w:tc>
        <w:tc>
          <w:tcPr>
            <w:tcW w:w="1399" w:type="dxa"/>
          </w:tcPr>
          <w:p w14:paraId="5F8A3F55"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98</w:t>
            </w:r>
          </w:p>
        </w:tc>
        <w:tc>
          <w:tcPr>
            <w:tcW w:w="1405" w:type="dxa"/>
            <w:vAlign w:val="center"/>
          </w:tcPr>
          <w:p w14:paraId="55AC93A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167 376</w:t>
            </w:r>
          </w:p>
        </w:tc>
        <w:tc>
          <w:tcPr>
            <w:tcW w:w="1390" w:type="dxa"/>
            <w:vAlign w:val="center"/>
          </w:tcPr>
          <w:p w14:paraId="58A8ECC5"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11 931</w:t>
            </w:r>
          </w:p>
        </w:tc>
        <w:tc>
          <w:tcPr>
            <w:tcW w:w="1406" w:type="dxa"/>
            <w:vAlign w:val="center"/>
          </w:tcPr>
          <w:p w14:paraId="63901483"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32 803</w:t>
            </w:r>
          </w:p>
        </w:tc>
        <w:tc>
          <w:tcPr>
            <w:tcW w:w="1414" w:type="dxa"/>
            <w:vAlign w:val="center"/>
          </w:tcPr>
          <w:p w14:paraId="296FC25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0</w:t>
            </w:r>
          </w:p>
        </w:tc>
        <w:tc>
          <w:tcPr>
            <w:tcW w:w="1329" w:type="dxa"/>
            <w:vAlign w:val="center"/>
          </w:tcPr>
          <w:p w14:paraId="3F7FCB97"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601</w:t>
            </w:r>
          </w:p>
        </w:tc>
        <w:tc>
          <w:tcPr>
            <w:tcW w:w="1471" w:type="dxa"/>
            <w:vAlign w:val="center"/>
          </w:tcPr>
          <w:p w14:paraId="24B231FB"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212 710</w:t>
            </w:r>
          </w:p>
        </w:tc>
        <w:tc>
          <w:tcPr>
            <w:tcW w:w="1004" w:type="dxa"/>
            <w:vAlign w:val="center"/>
          </w:tcPr>
          <w:p w14:paraId="633420A8"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1 836</w:t>
            </w:r>
          </w:p>
        </w:tc>
        <w:tc>
          <w:tcPr>
            <w:tcW w:w="0" w:type="auto"/>
            <w:vAlign w:val="center"/>
          </w:tcPr>
          <w:p w14:paraId="61D5A8E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2 171</w:t>
            </w:r>
          </w:p>
        </w:tc>
      </w:tr>
      <w:tr w:rsidR="00B83214" w:rsidRPr="001062B0" w14:paraId="08A37304" w14:textId="77777777" w:rsidTr="00B83214">
        <w:tc>
          <w:tcPr>
            <w:cnfStyle w:val="001000000000" w:firstRow="0" w:lastRow="0" w:firstColumn="1" w:lastColumn="0" w:oddVBand="0" w:evenVBand="0" w:oddHBand="0" w:evenHBand="0" w:firstRowFirstColumn="0" w:firstRowLastColumn="0" w:lastRowFirstColumn="0" w:lastRowLastColumn="0"/>
            <w:tcW w:w="2294" w:type="dxa"/>
          </w:tcPr>
          <w:p w14:paraId="5F956003"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Strefa zachodniopomorska (PL3203)</w:t>
            </w:r>
          </w:p>
        </w:tc>
        <w:tc>
          <w:tcPr>
            <w:tcW w:w="1399" w:type="dxa"/>
            <w:vAlign w:val="center"/>
          </w:tcPr>
          <w:p w14:paraId="00912B6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22 506</w:t>
            </w:r>
          </w:p>
        </w:tc>
        <w:tc>
          <w:tcPr>
            <w:tcW w:w="1405" w:type="dxa"/>
            <w:vAlign w:val="center"/>
          </w:tcPr>
          <w:p w14:paraId="5C3BFAB8" w14:textId="77777777" w:rsidR="00B83214" w:rsidRPr="001062B0"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6 306 594</w:t>
            </w:r>
          </w:p>
        </w:tc>
        <w:tc>
          <w:tcPr>
            <w:tcW w:w="1390" w:type="dxa"/>
            <w:vAlign w:val="center"/>
          </w:tcPr>
          <w:p w14:paraId="040E43E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454 364</w:t>
            </w:r>
          </w:p>
        </w:tc>
        <w:tc>
          <w:tcPr>
            <w:tcW w:w="1406" w:type="dxa"/>
            <w:vAlign w:val="center"/>
          </w:tcPr>
          <w:p w14:paraId="3250D3A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682 450</w:t>
            </w:r>
          </w:p>
        </w:tc>
        <w:tc>
          <w:tcPr>
            <w:tcW w:w="1414" w:type="dxa"/>
            <w:vAlign w:val="center"/>
          </w:tcPr>
          <w:p w14:paraId="61D4B7D6" w14:textId="77777777" w:rsidR="00B83214" w:rsidRPr="0003605F"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Cs/>
                <w:szCs w:val="24"/>
              </w:rPr>
            </w:pPr>
            <w:r w:rsidRPr="0003605F">
              <w:rPr>
                <w:rFonts w:asciiTheme="majorHAnsi" w:hAnsiTheme="majorHAnsi"/>
                <w:iCs/>
                <w:szCs w:val="24"/>
              </w:rPr>
              <w:t>154 720</w:t>
            </w:r>
          </w:p>
        </w:tc>
        <w:tc>
          <w:tcPr>
            <w:tcW w:w="1329" w:type="dxa"/>
            <w:vAlign w:val="center"/>
          </w:tcPr>
          <w:p w14:paraId="389D647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191 892</w:t>
            </w:r>
          </w:p>
        </w:tc>
        <w:tc>
          <w:tcPr>
            <w:tcW w:w="1471" w:type="dxa"/>
            <w:vAlign w:val="center"/>
          </w:tcPr>
          <w:p w14:paraId="0924B76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7 790 021</w:t>
            </w:r>
          </w:p>
        </w:tc>
        <w:tc>
          <w:tcPr>
            <w:tcW w:w="1004" w:type="dxa"/>
            <w:vAlign w:val="center"/>
          </w:tcPr>
          <w:p w14:paraId="609D83E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316</w:t>
            </w:r>
          </w:p>
        </w:tc>
        <w:tc>
          <w:tcPr>
            <w:tcW w:w="0" w:type="auto"/>
            <w:vAlign w:val="center"/>
          </w:tcPr>
          <w:p w14:paraId="15DADED6"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346</w:t>
            </w:r>
          </w:p>
        </w:tc>
      </w:tr>
      <w:tr w:rsidR="00B83214" w:rsidRPr="001062B0" w14:paraId="30A34DF6" w14:textId="77777777" w:rsidTr="00B83214">
        <w:tc>
          <w:tcPr>
            <w:cnfStyle w:val="001000000000" w:firstRow="0" w:lastRow="0" w:firstColumn="1" w:lastColumn="0" w:oddVBand="0" w:evenVBand="0" w:oddHBand="0" w:evenHBand="0" w:firstRowFirstColumn="0" w:firstRowLastColumn="0" w:lastRowFirstColumn="0" w:lastRowLastColumn="0"/>
            <w:tcW w:w="2294" w:type="dxa"/>
          </w:tcPr>
          <w:p w14:paraId="01800792"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woj. zachodniopomorskie</w:t>
            </w:r>
          </w:p>
        </w:tc>
        <w:tc>
          <w:tcPr>
            <w:tcW w:w="1399" w:type="dxa"/>
          </w:tcPr>
          <w:p w14:paraId="27AF187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22 905</w:t>
            </w:r>
          </w:p>
        </w:tc>
        <w:tc>
          <w:tcPr>
            <w:tcW w:w="1405" w:type="dxa"/>
            <w:vAlign w:val="center"/>
          </w:tcPr>
          <w:p w14:paraId="034AA8C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6 965 222</w:t>
            </w:r>
          </w:p>
        </w:tc>
        <w:tc>
          <w:tcPr>
            <w:tcW w:w="1390" w:type="dxa"/>
            <w:vAlign w:val="center"/>
          </w:tcPr>
          <w:p w14:paraId="6239E94B"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517 834</w:t>
            </w:r>
          </w:p>
        </w:tc>
        <w:tc>
          <w:tcPr>
            <w:tcW w:w="1406" w:type="dxa"/>
            <w:vAlign w:val="center"/>
          </w:tcPr>
          <w:p w14:paraId="62B7C24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826 153</w:t>
            </w:r>
          </w:p>
        </w:tc>
        <w:tc>
          <w:tcPr>
            <w:tcW w:w="1414" w:type="dxa"/>
            <w:vAlign w:val="center"/>
          </w:tcPr>
          <w:p w14:paraId="3EA4A5F6"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159 645</w:t>
            </w:r>
          </w:p>
        </w:tc>
        <w:tc>
          <w:tcPr>
            <w:tcW w:w="1329" w:type="dxa"/>
            <w:vAlign w:val="center"/>
          </w:tcPr>
          <w:p w14:paraId="4D7FA07D"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198 850</w:t>
            </w:r>
          </w:p>
        </w:tc>
        <w:tc>
          <w:tcPr>
            <w:tcW w:w="1471" w:type="dxa"/>
            <w:vAlign w:val="center"/>
          </w:tcPr>
          <w:p w14:paraId="343CB83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8 667 704</w:t>
            </w:r>
          </w:p>
        </w:tc>
        <w:tc>
          <w:tcPr>
            <w:tcW w:w="1004" w:type="dxa"/>
            <w:vAlign w:val="center"/>
          </w:tcPr>
          <w:p w14:paraId="187524C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342</w:t>
            </w:r>
          </w:p>
        </w:tc>
        <w:tc>
          <w:tcPr>
            <w:tcW w:w="0" w:type="auto"/>
            <w:vAlign w:val="center"/>
          </w:tcPr>
          <w:p w14:paraId="610FA7C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378</w:t>
            </w:r>
          </w:p>
        </w:tc>
      </w:tr>
      <w:tr w:rsidR="00B83214" w:rsidRPr="001062B0" w14:paraId="134B2E70" w14:textId="77777777" w:rsidTr="00B83214">
        <w:tc>
          <w:tcPr>
            <w:cnfStyle w:val="001000000000" w:firstRow="0" w:lastRow="0" w:firstColumn="1" w:lastColumn="0" w:oddVBand="0" w:evenVBand="0" w:oddHBand="0" w:evenHBand="0" w:firstRowFirstColumn="0" w:firstRowLastColumn="0" w:lastRowFirstColumn="0" w:lastRowLastColumn="0"/>
            <w:tcW w:w="2294" w:type="dxa"/>
          </w:tcPr>
          <w:p w14:paraId="03F2AEB6" w14:textId="77777777" w:rsidR="00B83214" w:rsidRPr="001062B0" w:rsidRDefault="00B83214" w:rsidP="00B83214">
            <w:pPr>
              <w:spacing w:before="0" w:line="240" w:lineRule="auto"/>
              <w:rPr>
                <w:rFonts w:asciiTheme="majorHAnsi" w:hAnsiTheme="majorHAnsi"/>
                <w:szCs w:val="24"/>
              </w:rPr>
            </w:pPr>
            <w:r w:rsidRPr="001062B0">
              <w:rPr>
                <w:rFonts w:asciiTheme="majorHAnsi" w:hAnsiTheme="majorHAnsi" w:cstheme="minorHAnsi"/>
                <w:szCs w:val="24"/>
              </w:rPr>
              <w:t>Polska</w:t>
            </w:r>
          </w:p>
        </w:tc>
        <w:tc>
          <w:tcPr>
            <w:tcW w:w="1399" w:type="dxa"/>
          </w:tcPr>
          <w:p w14:paraId="1025358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cstheme="minorHAnsi"/>
                <w:szCs w:val="24"/>
              </w:rPr>
              <w:t>312 705</w:t>
            </w:r>
          </w:p>
        </w:tc>
        <w:tc>
          <w:tcPr>
            <w:tcW w:w="1405" w:type="dxa"/>
            <w:vAlign w:val="center"/>
          </w:tcPr>
          <w:p w14:paraId="7E82C1A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185 236 382</w:t>
            </w:r>
          </w:p>
        </w:tc>
        <w:tc>
          <w:tcPr>
            <w:tcW w:w="1390" w:type="dxa"/>
            <w:vAlign w:val="center"/>
          </w:tcPr>
          <w:p w14:paraId="794CD09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13 568 377</w:t>
            </w:r>
          </w:p>
        </w:tc>
        <w:tc>
          <w:tcPr>
            <w:tcW w:w="1406" w:type="dxa"/>
            <w:vAlign w:val="center"/>
          </w:tcPr>
          <w:p w14:paraId="12EAA997"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16 250 016</w:t>
            </w:r>
          </w:p>
        </w:tc>
        <w:tc>
          <w:tcPr>
            <w:tcW w:w="1414" w:type="dxa"/>
            <w:vAlign w:val="center"/>
          </w:tcPr>
          <w:p w14:paraId="4F78C80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4 566 024</w:t>
            </w:r>
          </w:p>
        </w:tc>
        <w:tc>
          <w:tcPr>
            <w:tcW w:w="1329" w:type="dxa"/>
            <w:vAlign w:val="center"/>
          </w:tcPr>
          <w:p w14:paraId="679E2A33"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5 725 974</w:t>
            </w:r>
          </w:p>
        </w:tc>
        <w:tc>
          <w:tcPr>
            <w:tcW w:w="1471" w:type="dxa"/>
            <w:vAlign w:val="center"/>
          </w:tcPr>
          <w:p w14:paraId="39C5E42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225 346 773</w:t>
            </w:r>
          </w:p>
        </w:tc>
        <w:tc>
          <w:tcPr>
            <w:tcW w:w="1004" w:type="dxa"/>
            <w:vAlign w:val="center"/>
          </w:tcPr>
          <w:p w14:paraId="77CFAA0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669</w:t>
            </w:r>
          </w:p>
        </w:tc>
        <w:tc>
          <w:tcPr>
            <w:tcW w:w="0" w:type="auto"/>
            <w:vAlign w:val="center"/>
          </w:tcPr>
          <w:p w14:paraId="74B9B46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1062B0">
              <w:rPr>
                <w:rFonts w:asciiTheme="majorHAnsi" w:hAnsiTheme="majorHAnsi"/>
                <w:szCs w:val="24"/>
              </w:rPr>
              <w:t>721</w:t>
            </w:r>
          </w:p>
        </w:tc>
      </w:tr>
    </w:tbl>
    <w:p w14:paraId="46412FC4" w14:textId="77777777" w:rsidR="00B83214" w:rsidRPr="001062B0" w:rsidRDefault="00B83214" w:rsidP="00B83214">
      <w:pPr>
        <w:pStyle w:val="rdo"/>
      </w:pPr>
      <w:bookmarkStart w:id="224" w:name="_Toc68068861"/>
      <w:bookmarkStart w:id="225" w:name="_Ref96933536"/>
      <w:bookmarkStart w:id="226" w:name="_Toc97537950"/>
      <w:r w:rsidRPr="001062B0">
        <w:t>Źródło:</w:t>
      </w:r>
      <w:r w:rsidRPr="001062B0">
        <w:tab/>
        <w:t xml:space="preserve"> Roczna ocena jakości powietrza w województwie zachodniopomorskim - raport wojewódzki za rok 2020. GIOŚ, Szcze</w:t>
      </w:r>
      <w:r>
        <w:t xml:space="preserve">cin; </w:t>
      </w:r>
      <w:hyperlink r:id="rId59" w:history="1">
        <w:r w:rsidRPr="008D2F0E">
          <w:rPr>
            <w:rStyle w:val="Hipercze"/>
          </w:rPr>
          <w:t>https://powietrze.gios.gov.pl/pjp/rwms/publications/card/1426</w:t>
        </w:r>
      </w:hyperlink>
      <w:r>
        <w:t>; (</w:t>
      </w:r>
      <w:r w:rsidRPr="001062B0">
        <w:t>dostęp</w:t>
      </w:r>
      <w:r>
        <w:t xml:space="preserve"> z dn.: 06.05.2022)</w:t>
      </w:r>
    </w:p>
    <w:p w14:paraId="4DD24B11" w14:textId="77777777" w:rsidR="00B83214" w:rsidRPr="001062B0" w:rsidRDefault="00B83214" w:rsidP="00B83214">
      <w:pPr>
        <w:spacing w:line="276" w:lineRule="auto"/>
        <w:jc w:val="both"/>
        <w:rPr>
          <w:rFonts w:asciiTheme="majorHAnsi" w:hAnsiTheme="majorHAnsi"/>
          <w:i/>
          <w:szCs w:val="24"/>
        </w:rPr>
      </w:pPr>
    </w:p>
    <w:p w14:paraId="1796B55A" w14:textId="77777777" w:rsidR="00B83214" w:rsidRPr="001062B0" w:rsidRDefault="00B83214" w:rsidP="00B83214">
      <w:pPr>
        <w:spacing w:line="276" w:lineRule="auto"/>
        <w:jc w:val="both"/>
        <w:rPr>
          <w:rFonts w:asciiTheme="majorHAnsi" w:hAnsiTheme="majorHAnsi"/>
          <w:i/>
          <w:szCs w:val="24"/>
        </w:rPr>
      </w:pPr>
    </w:p>
    <w:p w14:paraId="0BB7FFEF" w14:textId="77777777" w:rsidR="00B83214" w:rsidRPr="001062B0" w:rsidRDefault="00B83214" w:rsidP="00B83214">
      <w:pPr>
        <w:spacing w:line="276" w:lineRule="auto"/>
        <w:jc w:val="both"/>
        <w:rPr>
          <w:rFonts w:asciiTheme="majorHAnsi" w:hAnsiTheme="majorHAnsi"/>
          <w:i/>
          <w:szCs w:val="24"/>
        </w:rPr>
      </w:pPr>
    </w:p>
    <w:p w14:paraId="2CE23D2E" w14:textId="77777777" w:rsidR="00B83214" w:rsidRPr="001062B0" w:rsidRDefault="00B83214" w:rsidP="00B83214">
      <w:pPr>
        <w:spacing w:before="0" w:after="0" w:line="276" w:lineRule="auto"/>
        <w:rPr>
          <w:rFonts w:asciiTheme="majorHAnsi" w:hAnsiTheme="majorHAnsi"/>
          <w:b/>
          <w:bCs/>
          <w:color w:val="3E762A" w:themeColor="accent1" w:themeShade="BF"/>
          <w:szCs w:val="24"/>
        </w:rPr>
        <w:sectPr w:rsidR="00B83214" w:rsidRPr="001062B0" w:rsidSect="006E38B9">
          <w:pgSz w:w="16838" w:h="11906" w:orient="landscape"/>
          <w:pgMar w:top="1417" w:right="1417" w:bottom="1417" w:left="1417" w:header="708" w:footer="708" w:gutter="0"/>
          <w:pgNumType w:fmt="lowerRoman"/>
          <w:cols w:space="708"/>
          <w:titlePg/>
          <w:docGrid w:linePitch="360"/>
        </w:sectPr>
      </w:pPr>
      <w:bookmarkStart w:id="227" w:name="_Ref102733078"/>
    </w:p>
    <w:p w14:paraId="7E51E0E1" w14:textId="77777777" w:rsidR="00B83214" w:rsidRPr="001062B0" w:rsidRDefault="00B83214" w:rsidP="00B83214">
      <w:pPr>
        <w:pStyle w:val="Podpispodrysunkiem"/>
      </w:pPr>
      <w:bookmarkStart w:id="228" w:name="_Ref105176371"/>
      <w:bookmarkStart w:id="229" w:name="_Toc104790094"/>
      <w:r w:rsidRPr="001062B0">
        <w:t xml:space="preserve">Tabela </w:t>
      </w:r>
      <w:r>
        <w:fldChar w:fldCharType="begin"/>
      </w:r>
      <w:r>
        <w:instrText>SEQ Tabela \* ARABIC</w:instrText>
      </w:r>
      <w:r>
        <w:fldChar w:fldCharType="separate"/>
      </w:r>
      <w:r w:rsidR="002B5007">
        <w:rPr>
          <w:noProof/>
        </w:rPr>
        <w:t>24</w:t>
      </w:r>
      <w:r>
        <w:fldChar w:fldCharType="end"/>
      </w:r>
      <w:bookmarkEnd w:id="224"/>
      <w:bookmarkEnd w:id="225"/>
      <w:bookmarkEnd w:id="227"/>
      <w:bookmarkEnd w:id="228"/>
      <w:r w:rsidRPr="001062B0">
        <w:t xml:space="preserve"> Zestawienie wielkości emisji benz</w:t>
      </w:r>
      <w:r>
        <w:t>(a)pirenu na obszarze stref województwa</w:t>
      </w:r>
      <w:r w:rsidRPr="001062B0">
        <w:t xml:space="preserve"> </w:t>
      </w:r>
      <w:bookmarkEnd w:id="226"/>
      <w:r w:rsidRPr="001062B0">
        <w:t>zachodniopomorskiego</w:t>
      </w:r>
      <w:bookmarkEnd w:id="229"/>
    </w:p>
    <w:tbl>
      <w:tblPr>
        <w:tblStyle w:val="Tabelasiatki1jasnaakcent11"/>
        <w:tblW w:w="0" w:type="auto"/>
        <w:tblLook w:val="04A0" w:firstRow="1" w:lastRow="0" w:firstColumn="1" w:lastColumn="0" w:noHBand="0" w:noVBand="1"/>
        <w:tblCaption w:val="Zestawienie wielkości emisji benz(a)pirenu na obszarze stref województwa śląskiego"/>
        <w:tblDescription w:val="Zestawienie wielkości emisji benz(a)pirenu na obszarze stref województwa śląskiego"/>
      </w:tblPr>
      <w:tblGrid>
        <w:gridCol w:w="3034"/>
        <w:gridCol w:w="1857"/>
        <w:gridCol w:w="1808"/>
        <w:gridCol w:w="1648"/>
        <w:gridCol w:w="1227"/>
        <w:gridCol w:w="659"/>
        <w:gridCol w:w="1298"/>
        <w:gridCol w:w="1807"/>
        <w:gridCol w:w="882"/>
      </w:tblGrid>
      <w:tr w:rsidR="00B83214" w:rsidRPr="001062B0" w14:paraId="088FD3CD" w14:textId="77777777" w:rsidTr="00B832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262D0968" w14:textId="77777777" w:rsidR="00B83214" w:rsidRPr="001062B0" w:rsidRDefault="00B83214" w:rsidP="00B83214">
            <w:pPr>
              <w:spacing w:before="0" w:line="240" w:lineRule="auto"/>
              <w:jc w:val="center"/>
              <w:rPr>
                <w:rFonts w:asciiTheme="majorHAnsi" w:hAnsiTheme="majorHAnsi" w:cstheme="minorHAnsi"/>
                <w:szCs w:val="24"/>
              </w:rPr>
            </w:pPr>
            <w:r w:rsidRPr="001062B0">
              <w:rPr>
                <w:rFonts w:asciiTheme="majorHAnsi" w:hAnsiTheme="majorHAnsi" w:cstheme="minorHAnsi"/>
                <w:szCs w:val="24"/>
              </w:rPr>
              <w:t>Nazwa i kod strefy</w:t>
            </w:r>
          </w:p>
        </w:tc>
        <w:tc>
          <w:tcPr>
            <w:tcW w:w="0" w:type="auto"/>
            <w:vMerge w:val="restart"/>
          </w:tcPr>
          <w:p w14:paraId="28CEA363"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Powierzchnia strefy</w:t>
            </w:r>
          </w:p>
        </w:tc>
        <w:tc>
          <w:tcPr>
            <w:tcW w:w="0" w:type="auto"/>
            <w:gridSpan w:val="5"/>
          </w:tcPr>
          <w:p w14:paraId="1A5EE72E"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 xml:space="preserve">Emisja B(a)P </w:t>
            </w:r>
          </w:p>
          <w:p w14:paraId="45D79DDC"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[kg/rok]</w:t>
            </w:r>
          </w:p>
        </w:tc>
        <w:tc>
          <w:tcPr>
            <w:tcW w:w="0" w:type="auto"/>
            <w:gridSpan w:val="2"/>
          </w:tcPr>
          <w:p w14:paraId="7BCFEC11"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 xml:space="preserve">Emisja </w:t>
            </w:r>
          </w:p>
          <w:p w14:paraId="72A03EA2"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[kg/(km</w:t>
            </w:r>
            <w:r w:rsidRPr="001062B0">
              <w:rPr>
                <w:rFonts w:asciiTheme="majorHAnsi" w:hAnsiTheme="majorHAnsi" w:cstheme="minorHAnsi"/>
                <w:szCs w:val="24"/>
                <w:vertAlign w:val="superscript"/>
              </w:rPr>
              <w:t xml:space="preserve">2 </w:t>
            </w:r>
            <w:r w:rsidRPr="001062B0">
              <w:rPr>
                <w:rFonts w:asciiTheme="majorHAnsi" w:hAnsiTheme="majorHAnsi" w:cstheme="minorHAnsi"/>
                <w:szCs w:val="24"/>
              </w:rPr>
              <w:t>x rok)]</w:t>
            </w:r>
          </w:p>
        </w:tc>
      </w:tr>
      <w:tr w:rsidR="00B83214" w:rsidRPr="001062B0" w14:paraId="0D7BC6AF" w14:textId="77777777" w:rsidTr="00B832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tcPr>
          <w:p w14:paraId="10BD1832" w14:textId="77777777" w:rsidR="00B83214" w:rsidRPr="001062B0" w:rsidRDefault="00B83214" w:rsidP="00B83214">
            <w:pPr>
              <w:spacing w:before="0" w:line="240" w:lineRule="auto"/>
              <w:jc w:val="center"/>
              <w:rPr>
                <w:rFonts w:asciiTheme="majorHAnsi" w:hAnsiTheme="majorHAnsi" w:cstheme="minorHAnsi"/>
                <w:szCs w:val="24"/>
              </w:rPr>
            </w:pPr>
          </w:p>
        </w:tc>
        <w:tc>
          <w:tcPr>
            <w:tcW w:w="0" w:type="auto"/>
            <w:vMerge/>
          </w:tcPr>
          <w:p w14:paraId="4155FCE6"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Cs w:val="24"/>
              </w:rPr>
            </w:pPr>
          </w:p>
        </w:tc>
        <w:tc>
          <w:tcPr>
            <w:tcW w:w="0" w:type="auto"/>
          </w:tcPr>
          <w:p w14:paraId="1AD3C904"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Cs w:val="0"/>
                <w:szCs w:val="24"/>
              </w:rPr>
            </w:pPr>
            <w:r w:rsidRPr="001062B0">
              <w:rPr>
                <w:rFonts w:asciiTheme="majorHAnsi" w:hAnsiTheme="majorHAnsi" w:cstheme="minorHAnsi"/>
                <w:bCs w:val="0"/>
                <w:szCs w:val="24"/>
              </w:rPr>
              <w:t>Komunalno-bytowa</w:t>
            </w:r>
          </w:p>
        </w:tc>
        <w:tc>
          <w:tcPr>
            <w:tcW w:w="0" w:type="auto"/>
          </w:tcPr>
          <w:p w14:paraId="49D3608A"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Cs w:val="0"/>
                <w:szCs w:val="24"/>
              </w:rPr>
            </w:pPr>
            <w:r w:rsidRPr="001062B0">
              <w:rPr>
                <w:rFonts w:asciiTheme="majorHAnsi" w:hAnsiTheme="majorHAnsi" w:cstheme="minorHAnsi"/>
                <w:bCs w:val="0"/>
                <w:szCs w:val="24"/>
              </w:rPr>
              <w:t>Transport drogowy</w:t>
            </w:r>
          </w:p>
        </w:tc>
        <w:tc>
          <w:tcPr>
            <w:tcW w:w="0" w:type="auto"/>
          </w:tcPr>
          <w:p w14:paraId="4D2B6FEA"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Cs w:val="0"/>
                <w:szCs w:val="24"/>
              </w:rPr>
            </w:pPr>
            <w:r w:rsidRPr="001062B0">
              <w:rPr>
                <w:rFonts w:asciiTheme="majorHAnsi" w:hAnsiTheme="majorHAnsi" w:cstheme="minorHAnsi"/>
                <w:bCs w:val="0"/>
                <w:szCs w:val="24"/>
              </w:rPr>
              <w:t>Punktowa</w:t>
            </w:r>
          </w:p>
        </w:tc>
        <w:tc>
          <w:tcPr>
            <w:tcW w:w="0" w:type="auto"/>
          </w:tcPr>
          <w:p w14:paraId="16713F6C"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Cs w:val="0"/>
                <w:szCs w:val="24"/>
              </w:rPr>
            </w:pPr>
            <w:r w:rsidRPr="001062B0">
              <w:rPr>
                <w:rFonts w:asciiTheme="majorHAnsi" w:hAnsiTheme="majorHAnsi" w:cstheme="minorHAnsi"/>
                <w:bCs w:val="0"/>
                <w:szCs w:val="24"/>
              </w:rPr>
              <w:t>Inne</w:t>
            </w:r>
          </w:p>
        </w:tc>
        <w:tc>
          <w:tcPr>
            <w:tcW w:w="0" w:type="auto"/>
          </w:tcPr>
          <w:p w14:paraId="119ADCCB"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Cs w:val="0"/>
                <w:szCs w:val="24"/>
              </w:rPr>
            </w:pPr>
            <w:r w:rsidRPr="001062B0">
              <w:rPr>
                <w:rFonts w:asciiTheme="majorHAnsi" w:hAnsiTheme="majorHAnsi" w:cstheme="minorHAnsi"/>
                <w:bCs w:val="0"/>
                <w:szCs w:val="24"/>
              </w:rPr>
              <w:t>Suma emisji</w:t>
            </w:r>
          </w:p>
        </w:tc>
        <w:tc>
          <w:tcPr>
            <w:tcW w:w="0" w:type="auto"/>
          </w:tcPr>
          <w:p w14:paraId="7D1500F4"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Cs w:val="0"/>
                <w:szCs w:val="24"/>
              </w:rPr>
            </w:pPr>
            <w:r w:rsidRPr="001062B0">
              <w:rPr>
                <w:rFonts w:asciiTheme="majorHAnsi" w:hAnsiTheme="majorHAnsi" w:cstheme="minorHAnsi"/>
                <w:bCs w:val="0"/>
                <w:szCs w:val="24"/>
              </w:rPr>
              <w:t>Bez emisji punktowej</w:t>
            </w:r>
          </w:p>
        </w:tc>
        <w:tc>
          <w:tcPr>
            <w:tcW w:w="0" w:type="auto"/>
          </w:tcPr>
          <w:p w14:paraId="29D28D19" w14:textId="77777777" w:rsidR="00B83214" w:rsidRPr="001062B0"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Cs w:val="0"/>
                <w:szCs w:val="24"/>
              </w:rPr>
            </w:pPr>
            <w:r w:rsidRPr="001062B0">
              <w:rPr>
                <w:rFonts w:asciiTheme="majorHAnsi" w:hAnsiTheme="majorHAnsi" w:cstheme="minorHAnsi"/>
                <w:bCs w:val="0"/>
                <w:szCs w:val="24"/>
              </w:rPr>
              <w:t>Razem</w:t>
            </w:r>
          </w:p>
        </w:tc>
      </w:tr>
      <w:tr w:rsidR="00B83214" w:rsidRPr="001062B0" w14:paraId="151F849F" w14:textId="77777777" w:rsidTr="00B83214">
        <w:tc>
          <w:tcPr>
            <w:cnfStyle w:val="001000000000" w:firstRow="0" w:lastRow="0" w:firstColumn="1" w:lastColumn="0" w:oddVBand="0" w:evenVBand="0" w:oddHBand="0" w:evenHBand="0" w:firstRowFirstColumn="0" w:firstRowLastColumn="0" w:lastRowFirstColumn="0" w:lastRowLastColumn="0"/>
            <w:tcW w:w="0" w:type="auto"/>
          </w:tcPr>
          <w:p w14:paraId="6081EFCE" w14:textId="77777777" w:rsidR="00B83214" w:rsidRPr="001062B0" w:rsidRDefault="00B83214" w:rsidP="00B83214">
            <w:pPr>
              <w:spacing w:before="0" w:line="240" w:lineRule="auto"/>
              <w:rPr>
                <w:rFonts w:asciiTheme="majorHAnsi" w:hAnsiTheme="majorHAnsi" w:cstheme="minorHAnsi"/>
                <w:szCs w:val="24"/>
              </w:rPr>
            </w:pPr>
            <w:r w:rsidRPr="001062B0">
              <w:rPr>
                <w:rFonts w:asciiTheme="majorHAnsi" w:hAnsiTheme="majorHAnsi" w:cstheme="minorHAnsi"/>
                <w:szCs w:val="24"/>
              </w:rPr>
              <w:t>aglomeracja szczecińska (PL3201)</w:t>
            </w:r>
          </w:p>
        </w:tc>
        <w:tc>
          <w:tcPr>
            <w:tcW w:w="0" w:type="auto"/>
          </w:tcPr>
          <w:p w14:paraId="73D98F9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301</w:t>
            </w:r>
          </w:p>
        </w:tc>
        <w:tc>
          <w:tcPr>
            <w:tcW w:w="0" w:type="auto"/>
            <w:vAlign w:val="center"/>
          </w:tcPr>
          <w:p w14:paraId="7C65B6CB"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305,8</w:t>
            </w:r>
          </w:p>
        </w:tc>
        <w:tc>
          <w:tcPr>
            <w:tcW w:w="0" w:type="auto"/>
            <w:vAlign w:val="center"/>
          </w:tcPr>
          <w:p w14:paraId="65227305"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1,0</w:t>
            </w:r>
          </w:p>
        </w:tc>
        <w:tc>
          <w:tcPr>
            <w:tcW w:w="0" w:type="auto"/>
            <w:vAlign w:val="center"/>
          </w:tcPr>
          <w:p w14:paraId="75A36898"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9,6</w:t>
            </w:r>
          </w:p>
        </w:tc>
        <w:tc>
          <w:tcPr>
            <w:tcW w:w="0" w:type="auto"/>
            <w:vAlign w:val="center"/>
          </w:tcPr>
          <w:p w14:paraId="18F090F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0,1</w:t>
            </w:r>
          </w:p>
        </w:tc>
        <w:tc>
          <w:tcPr>
            <w:tcW w:w="0" w:type="auto"/>
            <w:vAlign w:val="center"/>
          </w:tcPr>
          <w:p w14:paraId="5FF7513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316,4</w:t>
            </w:r>
          </w:p>
        </w:tc>
        <w:tc>
          <w:tcPr>
            <w:tcW w:w="0" w:type="auto"/>
            <w:vAlign w:val="center"/>
          </w:tcPr>
          <w:p w14:paraId="2DF2946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1,0</w:t>
            </w:r>
          </w:p>
        </w:tc>
        <w:tc>
          <w:tcPr>
            <w:tcW w:w="0" w:type="auto"/>
            <w:vAlign w:val="center"/>
          </w:tcPr>
          <w:p w14:paraId="4E32FCF8"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1,1</w:t>
            </w:r>
          </w:p>
        </w:tc>
      </w:tr>
      <w:tr w:rsidR="00B83214" w:rsidRPr="001062B0" w14:paraId="2F46293C" w14:textId="77777777" w:rsidTr="00B83214">
        <w:tc>
          <w:tcPr>
            <w:cnfStyle w:val="001000000000" w:firstRow="0" w:lastRow="0" w:firstColumn="1" w:lastColumn="0" w:oddVBand="0" w:evenVBand="0" w:oddHBand="0" w:evenHBand="0" w:firstRowFirstColumn="0" w:firstRowLastColumn="0" w:lastRowFirstColumn="0" w:lastRowLastColumn="0"/>
            <w:tcW w:w="0" w:type="auto"/>
          </w:tcPr>
          <w:p w14:paraId="752F8905" w14:textId="77777777" w:rsidR="00B83214" w:rsidRPr="001062B0" w:rsidRDefault="00B83214" w:rsidP="00B83214">
            <w:pPr>
              <w:spacing w:before="0" w:line="240" w:lineRule="auto"/>
              <w:rPr>
                <w:rFonts w:asciiTheme="majorHAnsi" w:hAnsiTheme="majorHAnsi" w:cstheme="minorHAnsi"/>
                <w:szCs w:val="24"/>
              </w:rPr>
            </w:pPr>
            <w:r w:rsidRPr="001062B0">
              <w:rPr>
                <w:rFonts w:asciiTheme="majorHAnsi" w:hAnsiTheme="majorHAnsi" w:cstheme="minorHAnsi"/>
                <w:szCs w:val="24"/>
              </w:rPr>
              <w:t>Miasto Koszalin (PL3202)</w:t>
            </w:r>
          </w:p>
        </w:tc>
        <w:tc>
          <w:tcPr>
            <w:tcW w:w="0" w:type="auto"/>
          </w:tcPr>
          <w:p w14:paraId="3BA88D0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98</w:t>
            </w:r>
          </w:p>
        </w:tc>
        <w:tc>
          <w:tcPr>
            <w:tcW w:w="0" w:type="auto"/>
            <w:vAlign w:val="center"/>
          </w:tcPr>
          <w:p w14:paraId="4C3774A6"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103,4</w:t>
            </w:r>
          </w:p>
        </w:tc>
        <w:tc>
          <w:tcPr>
            <w:tcW w:w="0" w:type="auto"/>
            <w:vAlign w:val="center"/>
          </w:tcPr>
          <w:p w14:paraId="0682F11B"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0,2</w:t>
            </w:r>
          </w:p>
        </w:tc>
        <w:tc>
          <w:tcPr>
            <w:tcW w:w="0" w:type="auto"/>
            <w:vAlign w:val="center"/>
          </w:tcPr>
          <w:p w14:paraId="6868426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1,2</w:t>
            </w:r>
          </w:p>
        </w:tc>
        <w:tc>
          <w:tcPr>
            <w:tcW w:w="0" w:type="auto"/>
            <w:vAlign w:val="center"/>
          </w:tcPr>
          <w:p w14:paraId="02C7EF44"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0,0</w:t>
            </w:r>
          </w:p>
        </w:tc>
        <w:tc>
          <w:tcPr>
            <w:tcW w:w="0" w:type="auto"/>
            <w:vAlign w:val="center"/>
          </w:tcPr>
          <w:p w14:paraId="4B32BD9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104,8</w:t>
            </w:r>
          </w:p>
        </w:tc>
        <w:tc>
          <w:tcPr>
            <w:tcW w:w="0" w:type="auto"/>
            <w:vAlign w:val="center"/>
          </w:tcPr>
          <w:p w14:paraId="74A16643"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1,1</w:t>
            </w:r>
          </w:p>
        </w:tc>
        <w:tc>
          <w:tcPr>
            <w:tcW w:w="0" w:type="auto"/>
            <w:vAlign w:val="center"/>
          </w:tcPr>
          <w:p w14:paraId="6EDCFF97"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1,1</w:t>
            </w:r>
          </w:p>
        </w:tc>
      </w:tr>
      <w:tr w:rsidR="00B83214" w:rsidRPr="001062B0" w14:paraId="6704C643" w14:textId="77777777" w:rsidTr="00B83214">
        <w:tc>
          <w:tcPr>
            <w:cnfStyle w:val="001000000000" w:firstRow="0" w:lastRow="0" w:firstColumn="1" w:lastColumn="0" w:oddVBand="0" w:evenVBand="0" w:oddHBand="0" w:evenHBand="0" w:firstRowFirstColumn="0" w:firstRowLastColumn="0" w:lastRowFirstColumn="0" w:lastRowLastColumn="0"/>
            <w:tcW w:w="0" w:type="auto"/>
          </w:tcPr>
          <w:p w14:paraId="31A8B37F" w14:textId="77777777" w:rsidR="00B83214" w:rsidRPr="001062B0" w:rsidRDefault="00B83214" w:rsidP="00B83214">
            <w:pPr>
              <w:spacing w:before="0" w:line="240" w:lineRule="auto"/>
              <w:rPr>
                <w:rFonts w:asciiTheme="majorHAnsi" w:hAnsiTheme="majorHAnsi" w:cstheme="minorHAnsi"/>
                <w:szCs w:val="24"/>
              </w:rPr>
            </w:pPr>
            <w:r w:rsidRPr="001062B0">
              <w:rPr>
                <w:rFonts w:asciiTheme="majorHAnsi" w:hAnsiTheme="majorHAnsi" w:cstheme="minorHAnsi"/>
                <w:szCs w:val="24"/>
              </w:rPr>
              <w:t>Strefa zachodniopomorska (PL3203)</w:t>
            </w:r>
          </w:p>
        </w:tc>
        <w:tc>
          <w:tcPr>
            <w:tcW w:w="0" w:type="auto"/>
          </w:tcPr>
          <w:p w14:paraId="2FFADAA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22 506</w:t>
            </w:r>
          </w:p>
        </w:tc>
        <w:tc>
          <w:tcPr>
            <w:tcW w:w="0" w:type="auto"/>
            <w:vAlign w:val="center"/>
          </w:tcPr>
          <w:p w14:paraId="45A3893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3 865,6</w:t>
            </w:r>
          </w:p>
        </w:tc>
        <w:tc>
          <w:tcPr>
            <w:tcW w:w="0" w:type="auto"/>
            <w:vAlign w:val="center"/>
          </w:tcPr>
          <w:p w14:paraId="2DD30A0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9,2</w:t>
            </w:r>
          </w:p>
        </w:tc>
        <w:tc>
          <w:tcPr>
            <w:tcW w:w="0" w:type="auto"/>
            <w:vAlign w:val="center"/>
          </w:tcPr>
          <w:p w14:paraId="143541C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77,8</w:t>
            </w:r>
          </w:p>
        </w:tc>
        <w:tc>
          <w:tcPr>
            <w:tcW w:w="0" w:type="auto"/>
            <w:vAlign w:val="center"/>
          </w:tcPr>
          <w:p w14:paraId="5A28695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0,1</w:t>
            </w:r>
          </w:p>
        </w:tc>
        <w:tc>
          <w:tcPr>
            <w:tcW w:w="0" w:type="auto"/>
            <w:vAlign w:val="center"/>
          </w:tcPr>
          <w:p w14:paraId="5B5D515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3 952,7</w:t>
            </w:r>
          </w:p>
        </w:tc>
        <w:tc>
          <w:tcPr>
            <w:tcW w:w="0" w:type="auto"/>
            <w:vAlign w:val="center"/>
          </w:tcPr>
          <w:p w14:paraId="26058B2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0,2</w:t>
            </w:r>
          </w:p>
        </w:tc>
        <w:tc>
          <w:tcPr>
            <w:tcW w:w="0" w:type="auto"/>
            <w:vAlign w:val="center"/>
          </w:tcPr>
          <w:p w14:paraId="3DB86B9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0,2</w:t>
            </w:r>
          </w:p>
        </w:tc>
      </w:tr>
      <w:tr w:rsidR="00B83214" w:rsidRPr="001062B0" w14:paraId="0C845EA5" w14:textId="77777777" w:rsidTr="00B83214">
        <w:tc>
          <w:tcPr>
            <w:cnfStyle w:val="001000000000" w:firstRow="0" w:lastRow="0" w:firstColumn="1" w:lastColumn="0" w:oddVBand="0" w:evenVBand="0" w:oddHBand="0" w:evenHBand="0" w:firstRowFirstColumn="0" w:firstRowLastColumn="0" w:lastRowFirstColumn="0" w:lastRowLastColumn="0"/>
            <w:tcW w:w="0" w:type="auto"/>
          </w:tcPr>
          <w:p w14:paraId="3D36F7F1" w14:textId="77777777" w:rsidR="00B83214" w:rsidRPr="001062B0" w:rsidRDefault="00B83214" w:rsidP="00B83214">
            <w:pPr>
              <w:spacing w:before="0" w:line="240" w:lineRule="auto"/>
              <w:rPr>
                <w:rFonts w:asciiTheme="majorHAnsi" w:hAnsiTheme="majorHAnsi" w:cstheme="minorHAnsi"/>
                <w:szCs w:val="24"/>
              </w:rPr>
            </w:pPr>
            <w:r w:rsidRPr="001062B0">
              <w:rPr>
                <w:rFonts w:asciiTheme="majorHAnsi" w:hAnsiTheme="majorHAnsi" w:cstheme="minorHAnsi"/>
                <w:szCs w:val="24"/>
              </w:rPr>
              <w:t>woj. zachodniopomorskie</w:t>
            </w:r>
          </w:p>
        </w:tc>
        <w:tc>
          <w:tcPr>
            <w:tcW w:w="0" w:type="auto"/>
          </w:tcPr>
          <w:p w14:paraId="00D2BF35"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22 905</w:t>
            </w:r>
          </w:p>
        </w:tc>
        <w:tc>
          <w:tcPr>
            <w:tcW w:w="0" w:type="auto"/>
            <w:vAlign w:val="center"/>
          </w:tcPr>
          <w:p w14:paraId="2FFE01E3"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4 274,8</w:t>
            </w:r>
          </w:p>
        </w:tc>
        <w:tc>
          <w:tcPr>
            <w:tcW w:w="0" w:type="auto"/>
            <w:vAlign w:val="center"/>
          </w:tcPr>
          <w:p w14:paraId="3E9B2CB2"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10,4</w:t>
            </w:r>
          </w:p>
        </w:tc>
        <w:tc>
          <w:tcPr>
            <w:tcW w:w="0" w:type="auto"/>
            <w:vAlign w:val="center"/>
          </w:tcPr>
          <w:p w14:paraId="620E75BA"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88,6</w:t>
            </w:r>
          </w:p>
        </w:tc>
        <w:tc>
          <w:tcPr>
            <w:tcW w:w="0" w:type="auto"/>
            <w:vAlign w:val="center"/>
          </w:tcPr>
          <w:p w14:paraId="5FC7469F"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0,2</w:t>
            </w:r>
          </w:p>
        </w:tc>
        <w:tc>
          <w:tcPr>
            <w:tcW w:w="0" w:type="auto"/>
            <w:vAlign w:val="center"/>
          </w:tcPr>
          <w:p w14:paraId="7AED2ABC"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4 373,9</w:t>
            </w:r>
          </w:p>
        </w:tc>
        <w:tc>
          <w:tcPr>
            <w:tcW w:w="0" w:type="auto"/>
            <w:vAlign w:val="center"/>
          </w:tcPr>
          <w:p w14:paraId="778D5A7E"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0,2</w:t>
            </w:r>
          </w:p>
        </w:tc>
        <w:tc>
          <w:tcPr>
            <w:tcW w:w="0" w:type="auto"/>
            <w:vAlign w:val="center"/>
          </w:tcPr>
          <w:p w14:paraId="04D578B5"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0,2</w:t>
            </w:r>
          </w:p>
        </w:tc>
      </w:tr>
      <w:tr w:rsidR="00B83214" w:rsidRPr="001062B0" w14:paraId="4F11DE01" w14:textId="77777777" w:rsidTr="00B83214">
        <w:tc>
          <w:tcPr>
            <w:cnfStyle w:val="001000000000" w:firstRow="0" w:lastRow="0" w:firstColumn="1" w:lastColumn="0" w:oddVBand="0" w:evenVBand="0" w:oddHBand="0" w:evenHBand="0" w:firstRowFirstColumn="0" w:firstRowLastColumn="0" w:lastRowFirstColumn="0" w:lastRowLastColumn="0"/>
            <w:tcW w:w="0" w:type="auto"/>
          </w:tcPr>
          <w:p w14:paraId="4D2F9DD5" w14:textId="77777777" w:rsidR="00B83214" w:rsidRPr="001062B0" w:rsidRDefault="00B83214" w:rsidP="00B83214">
            <w:pPr>
              <w:spacing w:before="0" w:line="240" w:lineRule="auto"/>
              <w:rPr>
                <w:rFonts w:asciiTheme="majorHAnsi" w:hAnsiTheme="majorHAnsi" w:cstheme="minorHAnsi"/>
                <w:szCs w:val="24"/>
              </w:rPr>
            </w:pPr>
            <w:r w:rsidRPr="001062B0">
              <w:rPr>
                <w:rFonts w:asciiTheme="majorHAnsi" w:hAnsiTheme="majorHAnsi" w:cstheme="minorHAnsi"/>
                <w:szCs w:val="24"/>
              </w:rPr>
              <w:t>Polska</w:t>
            </w:r>
          </w:p>
        </w:tc>
        <w:tc>
          <w:tcPr>
            <w:tcW w:w="0" w:type="auto"/>
          </w:tcPr>
          <w:p w14:paraId="36C6CF91"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312 705</w:t>
            </w:r>
          </w:p>
        </w:tc>
        <w:tc>
          <w:tcPr>
            <w:tcW w:w="0" w:type="auto"/>
            <w:vAlign w:val="center"/>
          </w:tcPr>
          <w:p w14:paraId="0415C9B1"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113 499,7</w:t>
            </w:r>
          </w:p>
        </w:tc>
        <w:tc>
          <w:tcPr>
            <w:tcW w:w="0" w:type="auto"/>
            <w:vAlign w:val="center"/>
          </w:tcPr>
          <w:p w14:paraId="52E740E0"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262,0</w:t>
            </w:r>
          </w:p>
        </w:tc>
        <w:tc>
          <w:tcPr>
            <w:tcW w:w="0" w:type="auto"/>
            <w:vAlign w:val="center"/>
          </w:tcPr>
          <w:p w14:paraId="0CB0A659"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2 142,9</w:t>
            </w:r>
          </w:p>
        </w:tc>
        <w:tc>
          <w:tcPr>
            <w:tcW w:w="0" w:type="auto"/>
            <w:vAlign w:val="center"/>
          </w:tcPr>
          <w:p w14:paraId="6FEA570E"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2,5</w:t>
            </w:r>
          </w:p>
        </w:tc>
        <w:tc>
          <w:tcPr>
            <w:tcW w:w="0" w:type="auto"/>
            <w:vAlign w:val="center"/>
          </w:tcPr>
          <w:p w14:paraId="0C1AB32B"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115 907,1</w:t>
            </w:r>
          </w:p>
        </w:tc>
        <w:tc>
          <w:tcPr>
            <w:tcW w:w="0" w:type="auto"/>
            <w:vAlign w:val="center"/>
          </w:tcPr>
          <w:p w14:paraId="77582E7E"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0,4</w:t>
            </w:r>
          </w:p>
        </w:tc>
        <w:tc>
          <w:tcPr>
            <w:tcW w:w="0" w:type="auto"/>
            <w:vAlign w:val="center"/>
          </w:tcPr>
          <w:p w14:paraId="0CFC889E" w14:textId="77777777" w:rsidR="00B83214" w:rsidRPr="001062B0"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Cs w:val="24"/>
              </w:rPr>
            </w:pPr>
            <w:r w:rsidRPr="001062B0">
              <w:rPr>
                <w:rFonts w:asciiTheme="majorHAnsi" w:hAnsiTheme="majorHAnsi" w:cstheme="minorHAnsi"/>
                <w:szCs w:val="24"/>
              </w:rPr>
              <w:t>0,4</w:t>
            </w:r>
          </w:p>
        </w:tc>
      </w:tr>
    </w:tbl>
    <w:p w14:paraId="7B7EA693" w14:textId="77777777" w:rsidR="00B83214" w:rsidRPr="001062B0" w:rsidRDefault="00B83214" w:rsidP="00B83214">
      <w:pPr>
        <w:pStyle w:val="rdo"/>
      </w:pPr>
      <w:r w:rsidRPr="001062B0">
        <w:t>Źródło:</w:t>
      </w:r>
      <w:r w:rsidRPr="001062B0">
        <w:tab/>
        <w:t xml:space="preserve"> Roczna ocena jakości powietrza w województwie zachodniopomorskim - raport wojewódzki za rok 2020. GIOŚ, Szczecin</w:t>
      </w:r>
      <w:r>
        <w:t xml:space="preserve">; </w:t>
      </w:r>
      <w:hyperlink r:id="rId60" w:history="1">
        <w:r w:rsidRPr="008D2F0E">
          <w:rPr>
            <w:rStyle w:val="Hipercze"/>
          </w:rPr>
          <w:t>https://powietrze.gios.gov.pl/pjp/rwms/publications/card/1426</w:t>
        </w:r>
      </w:hyperlink>
      <w:r>
        <w:t>; (</w:t>
      </w:r>
      <w:r w:rsidRPr="001062B0">
        <w:t>dostęp</w:t>
      </w:r>
      <w:r>
        <w:t xml:space="preserve"> z dn.: 06.05.2022)</w:t>
      </w:r>
    </w:p>
    <w:p w14:paraId="44C949EA" w14:textId="77777777" w:rsidR="00B83214" w:rsidRPr="001062B0" w:rsidRDefault="00B83214" w:rsidP="00B83214">
      <w:pPr>
        <w:spacing w:line="276" w:lineRule="auto"/>
        <w:rPr>
          <w:rFonts w:asciiTheme="majorHAnsi" w:hAnsiTheme="majorHAnsi"/>
          <w:szCs w:val="24"/>
        </w:rPr>
      </w:pPr>
    </w:p>
    <w:p w14:paraId="7925813A" w14:textId="77777777" w:rsidR="00B83214" w:rsidRPr="001062B0" w:rsidRDefault="00B83214" w:rsidP="00B83214">
      <w:pPr>
        <w:spacing w:line="276" w:lineRule="auto"/>
        <w:rPr>
          <w:rFonts w:asciiTheme="majorHAnsi" w:hAnsiTheme="majorHAnsi"/>
          <w:szCs w:val="24"/>
        </w:rPr>
        <w:sectPr w:rsidR="00B83214" w:rsidRPr="001062B0" w:rsidSect="006E38B9">
          <w:pgSz w:w="16838" w:h="11906" w:orient="landscape"/>
          <w:pgMar w:top="1417" w:right="1417" w:bottom="1417" w:left="1417" w:header="708" w:footer="708" w:gutter="0"/>
          <w:pgNumType w:fmt="lowerRoman"/>
          <w:cols w:space="708"/>
          <w:titlePg/>
          <w:docGrid w:linePitch="360"/>
        </w:sectPr>
      </w:pPr>
    </w:p>
    <w:p w14:paraId="2EDB8B80" w14:textId="5D9D1E14" w:rsidR="00B83214" w:rsidRPr="001062B0" w:rsidRDefault="00B83214" w:rsidP="00B83214">
      <w:pPr>
        <w:spacing w:before="0" w:after="0"/>
        <w:rPr>
          <w:szCs w:val="24"/>
        </w:rPr>
      </w:pPr>
      <w:r w:rsidRPr="001062B0">
        <w:rPr>
          <w:szCs w:val="24"/>
        </w:rPr>
        <w:t>Do zidentyfikowanych głównych źródeł zanieczyszczeń powietrza atmosferycznego w wo</w:t>
      </w:r>
      <w:r>
        <w:rPr>
          <w:szCs w:val="24"/>
        </w:rPr>
        <w:t xml:space="preserve">jewództwie </w:t>
      </w:r>
      <w:r w:rsidRPr="001062B0">
        <w:rPr>
          <w:szCs w:val="24"/>
        </w:rPr>
        <w:t>zachodniopomorskim należą emisje antropogeniczne pochodzące z sektora komunalno-bytowego (emisja powierzchniowa), emisje z sektora komunikacyjnego (emisja liniowa) oraz emisje stanowiące efekt prowadzonej w obrębie województwa działalności przemysłowej (emisja punktowa). Znaczący udział ma również napływ zanieczyszczeń z obszaru kraju oraz z Europy. Główne lokalne źródło zanieczyszczenia stanowi emisja z budynków ogrzewanych indywidualnie z zastosowaniem paliw tradycyjnych (piece typu „kopciuchy”), która odpowiada za ponad 97,7% całkowitej emisji benzo(a)pirenu, 80,4% emisji pyłu zawieszonego PM2,5 oraz 56,4% emisji pyłu zawieszonego PM10. Istotnym czynnikiem wpływającym na wysokość stężeń zanieczyszczeń jest emisja z sektora komunikacyjnego, w szczególności spowodowana ruchem pojazdów spalinowych na obszarach bezpośrednio sąsiadujących z drogami o znacznym natężeniu ruchu. Przemysł zlokalizowany na obszarze województwa zachodniopomorskiego, głównie energetyka zawodowa, ze względu na dużą wysokość emitorów, w znacznym stopniu eksportuje zanieczyszczenia poza granice województwa. Dodatkowo, na jakość powietrza w województwie wpływa działalność zakładów przemysłowych, odpowiedzialnych za tzw. emisje niezorganizowane. Na obszarze aglomeracji szczecińskiej, miasta Koszalin i dużych miast województwa</w:t>
      </w:r>
      <w:r>
        <w:rPr>
          <w:szCs w:val="24"/>
        </w:rPr>
        <w:t>,</w:t>
      </w:r>
      <w:r w:rsidRPr="001062B0">
        <w:rPr>
          <w:szCs w:val="24"/>
        </w:rPr>
        <w:t xml:space="preserve"> widoczny jest udział emisji związanej z ruchem pojazdów w całkowitej emisji zanieczyszczeń. Zanieczyszczenia komunikacyjne w postaci pyłów powstają głównie w wyniku ścierania się opon pojazdów, hamulców, nawierzchni dróg oraz unosu zanieczyszczeń z powierzchni dróg. Tlenki azotu są natomiast emitowane w wyniku spalania paliwa i stanowią około 44,5% w całkowitej emisji NOx na obszarze woj. zachodniopomorskiego. Udział źródeł emisji w poszczególnych zanieczyszczeniach powietrza w woj. zachodniopomorskim w roku 2020 przedstawiono na rysunku poniżej (</w:t>
      </w:r>
      <w:r w:rsidRPr="001062B0">
        <w:rPr>
          <w:szCs w:val="24"/>
        </w:rPr>
        <w:fldChar w:fldCharType="begin"/>
      </w:r>
      <w:r w:rsidRPr="001062B0">
        <w:rPr>
          <w:szCs w:val="24"/>
        </w:rPr>
        <w:instrText xml:space="preserve"> REF _Ref97282394 \h  \* MERGEFORMAT </w:instrText>
      </w:r>
      <w:r w:rsidRPr="001062B0">
        <w:rPr>
          <w:szCs w:val="24"/>
        </w:rPr>
      </w:r>
      <w:r w:rsidRPr="001062B0">
        <w:rPr>
          <w:szCs w:val="24"/>
        </w:rPr>
        <w:fldChar w:fldCharType="separate"/>
      </w:r>
      <w:r w:rsidR="002B5007" w:rsidRPr="002B5007">
        <w:rPr>
          <w:szCs w:val="24"/>
        </w:rPr>
        <w:t xml:space="preserve">Rysunek </w:t>
      </w:r>
      <w:r w:rsidR="002B5007" w:rsidRPr="002B5007">
        <w:rPr>
          <w:noProof/>
          <w:szCs w:val="24"/>
        </w:rPr>
        <w:t>19</w:t>
      </w:r>
      <w:r w:rsidRPr="001062B0">
        <w:rPr>
          <w:szCs w:val="24"/>
        </w:rPr>
        <w:fldChar w:fldCharType="end"/>
      </w:r>
      <w:r w:rsidRPr="001062B0">
        <w:rPr>
          <w:szCs w:val="24"/>
        </w:rPr>
        <w:t xml:space="preserve">). </w:t>
      </w:r>
    </w:p>
    <w:p w14:paraId="378389E3" w14:textId="77777777" w:rsidR="00B83214" w:rsidRPr="001062B0" w:rsidRDefault="00B83214" w:rsidP="00B83214">
      <w:pPr>
        <w:spacing w:before="0" w:after="0" w:line="276" w:lineRule="auto"/>
        <w:jc w:val="center"/>
        <w:rPr>
          <w:noProof/>
          <w:sz w:val="22"/>
          <w:highlight w:val="yellow"/>
        </w:rPr>
      </w:pPr>
      <w:r w:rsidRPr="001062B0">
        <w:rPr>
          <w:noProof/>
          <w:sz w:val="22"/>
          <w:lang w:eastAsia="pl-PL"/>
        </w:rPr>
        <w:drawing>
          <wp:inline distT="0" distB="0" distL="0" distR="0" wp14:anchorId="5F2BAD2E" wp14:editId="299FAB2F">
            <wp:extent cx="5722146" cy="264795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6942" t="32513" r="14215" b="22195"/>
                    <a:stretch/>
                  </pic:blipFill>
                  <pic:spPr bwMode="auto">
                    <a:xfrm>
                      <a:off x="0" y="0"/>
                      <a:ext cx="5725979" cy="2649724"/>
                    </a:xfrm>
                    <a:prstGeom prst="rect">
                      <a:avLst/>
                    </a:prstGeom>
                    <a:ln>
                      <a:noFill/>
                    </a:ln>
                    <a:extLst>
                      <a:ext uri="{53640926-AAD7-44D8-BBD7-CCE9431645EC}">
                        <a14:shadowObscured xmlns:a14="http://schemas.microsoft.com/office/drawing/2010/main"/>
                      </a:ext>
                    </a:extLst>
                  </pic:spPr>
                </pic:pic>
              </a:graphicData>
            </a:graphic>
          </wp:inline>
        </w:drawing>
      </w:r>
    </w:p>
    <w:p w14:paraId="4C4DA1E1" w14:textId="77777777" w:rsidR="00B83214" w:rsidRPr="001062B0" w:rsidRDefault="00B83214" w:rsidP="00B83214">
      <w:pPr>
        <w:pStyle w:val="Podpispodrysunkiem"/>
        <w:rPr>
          <w:highlight w:val="yellow"/>
        </w:rPr>
      </w:pPr>
      <w:bookmarkStart w:id="230" w:name="_Ref97282394"/>
      <w:bookmarkStart w:id="231" w:name="_Toc68068883"/>
      <w:bookmarkStart w:id="232" w:name="_Toc97537976"/>
      <w:bookmarkStart w:id="233" w:name="_Toc104790121"/>
      <w:r w:rsidRPr="001062B0">
        <w:t xml:space="preserve">Rysunek </w:t>
      </w:r>
      <w:r w:rsidRPr="001062B0">
        <w:fldChar w:fldCharType="begin"/>
      </w:r>
      <w:r w:rsidRPr="001062B0">
        <w:instrText>SEQ Rysunek \* ARABIC</w:instrText>
      </w:r>
      <w:r w:rsidRPr="001062B0">
        <w:fldChar w:fldCharType="separate"/>
      </w:r>
      <w:r w:rsidR="002B5007">
        <w:rPr>
          <w:noProof/>
        </w:rPr>
        <w:t>19</w:t>
      </w:r>
      <w:r w:rsidRPr="001062B0">
        <w:fldChar w:fldCharType="end"/>
      </w:r>
      <w:bookmarkEnd w:id="230"/>
      <w:r w:rsidRPr="001062B0">
        <w:t xml:space="preserve"> </w:t>
      </w:r>
      <w:bookmarkEnd w:id="231"/>
      <w:r w:rsidRPr="001062B0">
        <w:t>Udział źródeł emisji w poszczególnych zanieczyszczeniach powietrza w woj. zachodniopomorskim</w:t>
      </w:r>
      <w:r>
        <w:t xml:space="preserve"> </w:t>
      </w:r>
      <w:r w:rsidRPr="001062B0">
        <w:t>w roku 2020</w:t>
      </w:r>
      <w:bookmarkEnd w:id="232"/>
      <w:bookmarkEnd w:id="233"/>
    </w:p>
    <w:p w14:paraId="59481B77" w14:textId="77777777" w:rsidR="00B83214" w:rsidRPr="001062B0" w:rsidRDefault="00B83214" w:rsidP="00B83214">
      <w:pPr>
        <w:pStyle w:val="rdo"/>
      </w:pPr>
      <w:r w:rsidRPr="001062B0">
        <w:t>Źródło:</w:t>
      </w:r>
      <w:r w:rsidRPr="001062B0">
        <w:tab/>
        <w:t xml:space="preserve"> Roczna ocena jakości powietrza w województwie zachodniopomorskim - raport wojewód</w:t>
      </w:r>
      <w:r>
        <w:t xml:space="preserve">zki za rok 2020. GIOŚ, Szczecin; </w:t>
      </w:r>
      <w:hyperlink r:id="rId62" w:history="1">
        <w:r w:rsidRPr="008D2F0E">
          <w:rPr>
            <w:rStyle w:val="Hipercze"/>
          </w:rPr>
          <w:t>https://powietrze.gios.gov.pl/pjp/rwms/publications/card/1426</w:t>
        </w:r>
      </w:hyperlink>
      <w:r>
        <w:t>; (</w:t>
      </w:r>
      <w:r w:rsidRPr="001062B0">
        <w:t>dostęp</w:t>
      </w:r>
      <w:r>
        <w:t xml:space="preserve"> z dn.: 06.05.2022)</w:t>
      </w:r>
    </w:p>
    <w:p w14:paraId="3E527F32" w14:textId="77777777" w:rsidR="00B83214" w:rsidRPr="00B83214" w:rsidRDefault="00B83214" w:rsidP="00B83214">
      <w:pPr>
        <w:pStyle w:val="Nagwek1"/>
        <w:numPr>
          <w:ilvl w:val="0"/>
          <w:numId w:val="61"/>
        </w:numPr>
        <w:rPr>
          <w:sz w:val="24"/>
          <w:szCs w:val="20"/>
        </w:rPr>
      </w:pPr>
      <w:bookmarkStart w:id="234" w:name="_Toc104790659"/>
      <w:r w:rsidRPr="00B83214">
        <w:rPr>
          <w:sz w:val="24"/>
          <w:szCs w:val="20"/>
        </w:rPr>
        <w:t>POWIERZCHNIA ZIEMI</w:t>
      </w:r>
      <w:bookmarkEnd w:id="234"/>
    </w:p>
    <w:p w14:paraId="7DE66844" w14:textId="77777777" w:rsidR="00B83214" w:rsidRPr="006A6CE2" w:rsidRDefault="00B83214" w:rsidP="00B83214">
      <w:r w:rsidRPr="006A6CE2">
        <w:t>Województwo zachodniopomorskie zajmuje obszar 22 905 km</w:t>
      </w:r>
      <w:r w:rsidRPr="006A6CE2">
        <w:rPr>
          <w:vertAlign w:val="superscript"/>
        </w:rPr>
        <w:t>2</w:t>
      </w:r>
      <w:r w:rsidRPr="006A6CE2">
        <w:t>, co stanowi 7,3% powierzchni kraju. Zgodnie z danymi GUS, w 2021</w:t>
      </w:r>
      <w:r>
        <w:t xml:space="preserve"> </w:t>
      </w:r>
      <w:r w:rsidRPr="006A6CE2">
        <w:t xml:space="preserve">r. w strukturze użytkowania powierzchni województwa największą część zajmują użytki rolne (ok. </w:t>
      </w:r>
      <w:r>
        <w:t xml:space="preserve">49,2% ogólnej powierzchni), </w:t>
      </w:r>
      <w:r w:rsidRPr="006A6CE2">
        <w:t>grunty leśne oraz tereny zadrzewione i zakrzewione - ok. 37,1%. Tereny zabudowane i zurbanizowane stanowią 4,6 % ogółu powierzchni województwa. Pozostałe, tj. grunty pod wodami powierzchniowymi to 5,3%, użytki ekologiczne to 0,2%, nieużytki i tereny różne to 3,6%. W odniesieniu do 2010</w:t>
      </w:r>
      <w:r>
        <w:t xml:space="preserve"> </w:t>
      </w:r>
      <w:r w:rsidRPr="006A6CE2">
        <w:t>r. wzrasta powierzchnia gruntów zabudowanych i zurbanizowanych, tj. o ok. 8,2%, kosztem użytków rolnych. Pozytywnym aspektem jest przyrost użytków ekologicznych aż o 33,8% oraz gruntów pod wodami powierzchniowy</w:t>
      </w:r>
      <w:r>
        <w:t>mi o 26% oraz spadek nieużytków</w:t>
      </w:r>
      <w:r w:rsidRPr="006A6CE2">
        <w:t xml:space="preserve"> o 4,7%.</w:t>
      </w:r>
    </w:p>
    <w:p w14:paraId="0B3B075F" w14:textId="77777777" w:rsidR="00B83214" w:rsidRPr="006A6CE2" w:rsidRDefault="00B83214" w:rsidP="00B83214">
      <w:r w:rsidRPr="006A6CE2">
        <w:t>Na koniec 2020</w:t>
      </w:r>
      <w:r>
        <w:t xml:space="preserve"> </w:t>
      </w:r>
      <w:r w:rsidRPr="006A6CE2">
        <w:t xml:space="preserve">r. łączna powierzchnia gruntów zdewastowanych i zdegradowanych wymagających rekultywacji i zagospodarowania wyniosła </w:t>
      </w:r>
      <w:r w:rsidRPr="006A6CE2">
        <w:rPr>
          <w:rFonts w:ascii="Calibri" w:eastAsia="Times New Roman" w:hAnsi="Calibri" w:cs="Times New Roman"/>
          <w:szCs w:val="22"/>
          <w:lang w:eastAsia="pl-PL"/>
        </w:rPr>
        <w:t xml:space="preserve">2 873 </w:t>
      </w:r>
      <w:r w:rsidRPr="006A6CE2">
        <w:t>ha. W stosunki do 2019</w:t>
      </w:r>
      <w:r>
        <w:t xml:space="preserve"> r.</w:t>
      </w:r>
      <w:r w:rsidRPr="006A6CE2">
        <w:t xml:space="preserve"> powierzchnia ta zmieniła się nieznac</w:t>
      </w:r>
      <w:r>
        <w:t>znie, jednakże w stosunku do 2010 wartość ta wzrosła</w:t>
      </w:r>
      <w:r w:rsidRPr="006A6CE2">
        <w:t xml:space="preserve"> o 1%. Powierzchnia zrekultywowanych gruntów w ciągu 2020</w:t>
      </w:r>
      <w:r>
        <w:t xml:space="preserve"> </w:t>
      </w:r>
      <w:r w:rsidRPr="006A6CE2">
        <w:t>r. wynosiła 55 ha, stanowiąc ok. 2% ogółu gruntów zdewastowanych i zdegradowanych, natomiast w tym roku nie zagospodarowano gruntów. Dla porównania w ciągu 2019 zagospodarowano 26 ha, w tym 69% na cele rolnicze.</w:t>
      </w:r>
    </w:p>
    <w:p w14:paraId="729674FE" w14:textId="77777777" w:rsidR="00B83214" w:rsidRPr="006A6CE2" w:rsidRDefault="00B83214" w:rsidP="00B83214">
      <w:pPr>
        <w:rPr>
          <w:highlight w:val="cyan"/>
        </w:rPr>
      </w:pPr>
      <w:r w:rsidRPr="006A6CE2">
        <w:t xml:space="preserve">W województwie zachodniopomorskim degradacja powierzchni ziemi związana jest z presją antropogeniczną powodującą </w:t>
      </w:r>
      <w:r>
        <w:t>zniszczenie gleby i wprowadzeniem</w:t>
      </w:r>
      <w:r w:rsidRPr="006A6CE2">
        <w:t xml:space="preserve"> zmian podłoża geologicznego w wyniku zab</w:t>
      </w:r>
      <w:r>
        <w:t>udowy, eksploatacją kopalin i składowaniem</w:t>
      </w:r>
      <w:r w:rsidRPr="006A6CE2">
        <w:t xml:space="preserve"> odpadów. Największe zagrożenie degradacji powierzchni terenu występuje w strefie nadmorskiej i jest efektem intensywnego zagospodarowania rekreacyjno-turystycznego i melioracji polderów wraz z rozwojem miast portowych (sztuczne podwyższanie poziomu terenu, budowa basenów portowych, przekop</w:t>
      </w:r>
      <w:r>
        <w:t>ywanie lub zasypywanie kanałów)</w:t>
      </w:r>
      <w:r w:rsidRPr="006A6CE2">
        <w:rPr>
          <w:vertAlign w:val="superscript"/>
        </w:rPr>
        <w:footnoteReference w:id="128"/>
      </w:r>
      <w:r w:rsidRPr="006A6CE2">
        <w:t>. Tego typu degradacje antropogeniczne maj</w:t>
      </w:r>
      <w:r>
        <w:t>ą charakter stały i postępujący</w:t>
      </w:r>
      <w:r w:rsidRPr="006A6CE2">
        <w:rPr>
          <w:vertAlign w:val="superscript"/>
        </w:rPr>
        <w:footnoteReference w:id="129"/>
      </w:r>
      <w:r>
        <w:t>.</w:t>
      </w:r>
      <w:r w:rsidRPr="006A6CE2">
        <w:t xml:space="preserve"> </w:t>
      </w:r>
    </w:p>
    <w:p w14:paraId="111317EE" w14:textId="77777777" w:rsidR="00B83214" w:rsidRPr="006A6CE2" w:rsidRDefault="00B83214" w:rsidP="00B83214">
      <w:pPr>
        <w:rPr>
          <w:highlight w:val="yellow"/>
        </w:rPr>
      </w:pPr>
      <w:r w:rsidRPr="006A6CE2">
        <w:t>Z zagrożeń naturalnych na obszarze województwa zachodniopomorskiego istotne są zjawisko abrazji brzegów morskich oraz ruchy masowe. Nasilające się w ostatnich dziesięcioleciach silne sztormy oraz stały wzrost poziomu morza powoduje intensyfikację procesu niszczenie jego brzegów natomiast w strefie moren czołowych i spiętrzonych, w szczególności na brzegach przecinających ją dolin rzecznych (Odry, Iny, Regi, Parsęty) i jezior rynnowych występują ruchy masowe. Na obszarze województwa wydzielono 873 obszary predysponowane do wystąpienia zagrożeń osuwiskowych, obejmujące 2,61% je</w:t>
      </w:r>
      <w:r>
        <w:t>go powierzchni</w:t>
      </w:r>
      <w:r w:rsidRPr="006A6CE2">
        <w:rPr>
          <w:vertAlign w:val="superscript"/>
        </w:rPr>
        <w:footnoteReference w:id="130"/>
      </w:r>
      <w:r>
        <w:t>.</w:t>
      </w:r>
    </w:p>
    <w:p w14:paraId="2489CF44" w14:textId="77777777" w:rsidR="00B83214" w:rsidRPr="006A6CE2" w:rsidRDefault="00B83214" w:rsidP="00B83214">
      <w:r w:rsidRPr="006A6CE2">
        <w:t xml:space="preserve">Gleby województwa zachodniopomorskiego charakteryzują się dużym zróżnicowaniem typologicznym, różną wartością bonitacyjną i przydatnością glebowo-rolniczą. Na znacznej części obszaru województwa występują gleby bielicowe, brunatne i rdzawe. Wyjątkiem są obszary zastoiskowe i pobagienne, na których wytworzyły się żyzne czarne ziemie. Przeważają gleby średniej wartości (klasy IVa i IVb), które zajmują 51,2% powierzchni wszystkich gruntów ornych w województwie. Znaczny areał, tj. 27,2% powierzchni gruntów ornych charakteryzują gleby słabe i bardzo słabe (klasy V i VI). Najmniejszy udział stanowią gleby dobre (klasy II, IIIa i IIIb). Wskaźnik bonitacyjny ogólnej wartości gruntów ornych województwa wynosi 3,6, a więc odpowiada klasie IVa. </w:t>
      </w:r>
    </w:p>
    <w:p w14:paraId="55E13A52" w14:textId="77777777" w:rsidR="00B83214" w:rsidRPr="006A6CE2" w:rsidRDefault="00B83214" w:rsidP="00B83214">
      <w:r w:rsidRPr="006A6CE2">
        <w:t xml:space="preserve">Zgodnie z wynikami z 2020 Państwowego Monitoringu Środowiska </w:t>
      </w:r>
      <w:r>
        <w:t>w zakresie jakości gleb i ziemi</w:t>
      </w:r>
      <w:r w:rsidRPr="006A6CE2">
        <w:rPr>
          <w:vertAlign w:val="superscript"/>
        </w:rPr>
        <w:footnoteReference w:id="131"/>
      </w:r>
      <w:r w:rsidRPr="006A6CE2">
        <w:t xml:space="preserve"> w większości punktów gleby posiadały odczyn lekko kwaśny, obojętny lub zasadowy. Odnotowano również nieznaczny udział gleb kwaśnych i bardzo kwaśnych. W zakresie zasobności w materię organiczną większość badanych profili charakteryzowała się wysokim</w:t>
      </w:r>
      <w:r>
        <w:t>i</w:t>
      </w:r>
      <w:r w:rsidRPr="006A6CE2">
        <w:t xml:space="preserve"> i bardzo wysokim</w:t>
      </w:r>
      <w:r>
        <w:t>i</w:t>
      </w:r>
      <w:r w:rsidRPr="006A6CE2">
        <w:t xml:space="preserve"> jej zawartości</w:t>
      </w:r>
      <w:r>
        <w:t>ami</w:t>
      </w:r>
      <w:r w:rsidRPr="006A6CE2">
        <w:t>. Badania metali ciężkich wskazały, że ich zawartość w glebach była niska, odpowiadająca wartościom naturalnym. Jedynie w zakresie zawartości miedzi w jednym badanym punkcie (punkt 41 w miejscowości Żórawki w gminie Gryfino) stwierdzono II stopień zanieczyszczenia. Zgodnie z klasyfikacją IUNG w zakresie zawartości wielopierścieniowych węglowodorów aromatycznych gleby na terenie województwa nie zostały zaklasyfikowane jako zanieczyszczone.</w:t>
      </w:r>
    </w:p>
    <w:p w14:paraId="3C8734BB" w14:textId="77777777" w:rsidR="00B83214" w:rsidRPr="006A6CE2" w:rsidRDefault="00B83214" w:rsidP="00B83214">
      <w:r w:rsidRPr="006A6CE2">
        <w:t>Gleby terenów wykorzystywanych rolniczo narażone są na procesy erozji związane z nawalnymi opadami deszczu (wzgórza i pagórki morenowe, krawędzie dolin rzecznych) oraz procesy deflacyjne związane z silnymi wiatrami (gleby lekkie). Do degradacji gleb przyczynia się także ich niewłaściwe użytkowanie (np. niedostosowanie sposobu nawożenia do właściwości fizykochemicznych gleb, niewłaściwe melioracje, wypalanie łąk i ściernisk).</w:t>
      </w:r>
      <w:r w:rsidRPr="006A6CE2">
        <w:cr/>
        <w:t>Zgodnie z badaniem NIK</w:t>
      </w:r>
      <w:r w:rsidRPr="006A6CE2">
        <w:rPr>
          <w:vertAlign w:val="superscript"/>
        </w:rPr>
        <w:footnoteReference w:id="132"/>
      </w:r>
      <w:r w:rsidRPr="006A6CE2">
        <w:t xml:space="preserve"> na obs</w:t>
      </w:r>
      <w:r>
        <w:t>zarze województwa z</w:t>
      </w:r>
      <w:r w:rsidRPr="006A6CE2">
        <w:t>achodni</w:t>
      </w:r>
      <w:r>
        <w:t>o</w:t>
      </w:r>
      <w:r w:rsidRPr="006A6CE2">
        <w:t>pomorskiego, w rejestrze GDOŚ zamieszczono 14 historycznie zanieczyszczone obszary, które skoncentrowane są głównie w zachodniej części województwa w szczególności w rejonie m. Szczecina.</w:t>
      </w:r>
    </w:p>
    <w:p w14:paraId="29FEB4B7" w14:textId="77777777" w:rsidR="00B83214" w:rsidRPr="00E51FDB" w:rsidRDefault="00B83214" w:rsidP="00B83214">
      <w:r w:rsidRPr="00E51FDB">
        <w:t>Podsumowując, najważniejsze czynniki degradujące powierzchnię ziemi i gleby, to urbanizacja, działalność górnicza, zanieczyszczenia historyczne, przekształcanie i erozja gleby na terenach użytkowanych rolniczo oraz czynniki naturalne związane z procesem abrazji brzegów morskich oraz ruchami masowymi.</w:t>
      </w:r>
    </w:p>
    <w:p w14:paraId="2B678E99" w14:textId="77777777" w:rsidR="00B83214" w:rsidRPr="006A6CE2" w:rsidRDefault="00B83214" w:rsidP="00B83214">
      <w:pPr>
        <w:spacing w:after="0" w:line="276" w:lineRule="auto"/>
        <w:rPr>
          <w:sz w:val="22"/>
        </w:rPr>
      </w:pPr>
    </w:p>
    <w:p w14:paraId="3ED64D50" w14:textId="77777777" w:rsidR="00B83214" w:rsidRPr="00B83214" w:rsidRDefault="00B83214" w:rsidP="00B83214">
      <w:pPr>
        <w:pStyle w:val="Nagwek1"/>
        <w:numPr>
          <w:ilvl w:val="0"/>
          <w:numId w:val="61"/>
        </w:numPr>
        <w:rPr>
          <w:sz w:val="24"/>
          <w:szCs w:val="20"/>
        </w:rPr>
      </w:pPr>
      <w:bookmarkStart w:id="235" w:name="_Toc104790660"/>
      <w:r w:rsidRPr="00B83214">
        <w:rPr>
          <w:sz w:val="24"/>
          <w:szCs w:val="20"/>
        </w:rPr>
        <w:t>KRAJOBRAZ</w:t>
      </w:r>
      <w:bookmarkEnd w:id="235"/>
    </w:p>
    <w:p w14:paraId="3E60C5B6" w14:textId="77777777" w:rsidR="00B83214" w:rsidRPr="001062B0" w:rsidRDefault="00B83214" w:rsidP="00B83214">
      <w:pPr>
        <w:rPr>
          <w:rFonts w:ascii="Calibri" w:hAnsi="Calibri" w:cs="Calibri"/>
          <w:szCs w:val="24"/>
        </w:rPr>
      </w:pPr>
      <w:r w:rsidRPr="001062B0">
        <w:rPr>
          <w:rFonts w:ascii="Calibri" w:hAnsi="Calibri" w:cs="Calibri"/>
          <w:szCs w:val="24"/>
        </w:rPr>
        <w:t>Krajobraz województwa zachodniopomorskiego został ukształtowany w czasie ostatniego zlodowacenia (Vistulianu), które zakończyło się około 11,5 tys. lat temu. Jego ślady dominują we współczesnej rzeźbie regionu Pomorza, nadają charakter tutejszym warunkom przyrodniczym. Na wybrzeżu, w pasie słabo zróżnicowanych nizin nadmorskich wydzielono dwa regiony: Pobrzeże Szczecińskie oraz Koszalińskie (składające się z szeregu</w:t>
      </w:r>
      <w:r>
        <w:rPr>
          <w:rFonts w:ascii="Calibri" w:hAnsi="Calibri" w:cs="Calibri"/>
          <w:szCs w:val="24"/>
        </w:rPr>
        <w:t xml:space="preserve"> </w:t>
      </w:r>
      <w:r w:rsidRPr="001062B0">
        <w:rPr>
          <w:rFonts w:ascii="Calibri" w:hAnsi="Calibri" w:cs="Calibri"/>
          <w:szCs w:val="24"/>
        </w:rPr>
        <w:t>mezoregionów). Na południe od słabo urzeźbionych, nizinnych pobrzeży wyróżniono regiony pojezierne: Pojezierze Zachodniopomorskie oraz Południowopomorskie</w:t>
      </w:r>
      <w:r>
        <w:rPr>
          <w:rFonts w:ascii="Calibri" w:hAnsi="Calibri" w:cs="Calibri"/>
          <w:szCs w:val="24"/>
        </w:rPr>
        <w:t xml:space="preserve"> </w:t>
      </w:r>
      <w:r w:rsidRPr="001062B0">
        <w:rPr>
          <w:rFonts w:ascii="Calibri" w:hAnsi="Calibri" w:cs="Calibri"/>
          <w:szCs w:val="24"/>
        </w:rPr>
        <w:t>(składające się z licznych mezoregionów). Jest to obszar o zdecydowanie większej różnorodności morfologicznej i przyrodniczej</w:t>
      </w:r>
      <w:r w:rsidRPr="001062B0">
        <w:rPr>
          <w:rFonts w:ascii="Calibri" w:hAnsi="Calibri" w:cs="Calibri"/>
          <w:szCs w:val="24"/>
          <w:vertAlign w:val="superscript"/>
        </w:rPr>
        <w:footnoteReference w:id="133"/>
      </w:r>
      <w:r w:rsidRPr="001062B0">
        <w:rPr>
          <w:rFonts w:ascii="Calibri" w:hAnsi="Calibri" w:cs="Calibri"/>
          <w:szCs w:val="24"/>
        </w:rPr>
        <w:t>.</w:t>
      </w:r>
    </w:p>
    <w:p w14:paraId="218DB42E" w14:textId="77777777" w:rsidR="00B83214" w:rsidRPr="001062B0" w:rsidRDefault="00B83214" w:rsidP="00B83214">
      <w:pPr>
        <w:rPr>
          <w:rFonts w:ascii="Calibri" w:hAnsi="Calibri" w:cs="Calibri"/>
          <w:szCs w:val="24"/>
        </w:rPr>
      </w:pPr>
      <w:r w:rsidRPr="001062B0">
        <w:rPr>
          <w:rFonts w:ascii="Calibri" w:hAnsi="Calibri" w:cs="Calibri"/>
          <w:szCs w:val="24"/>
        </w:rPr>
        <w:t>Młodoglacjalne pochodzenie rzeźby terenu województwa zachodniopomorskiego uwidacznia się przede wszystkim w dużym zróżnicowaniu powierzchni terenu. Pod względem hipsometrii, północna, nadmorska cześć obszaru województwa jest położona najniżej oraz jest stosunkowo słabo zróżnicowana. Większą część terenu zajmują słabo zróżnicowane obszary wysoczyzn morenowych płaskich i falistych (w części zachodniej) oraz dennomorenowych (w części wschodniej), przecinane dolinami rzek przymorskich w przybliżeniu, o południkowym przebiegu. Dominujące wysokości nie przekraczają na ogół 40 m n.p.m. Urozmaicenie wprowadzają drobne, izolowane fragmenty moren czołowych subfazy wolińskiej ostatniego zlodowacenia, które kulminują na wysokościach ponad stumetrowych w północnej części wyspy Wolin. Interesującym urozmaiceniem są elementy morfologii terenu związane z działalnością morza w postaci piaszczystych mierzei. Największym obszarem jest tu wydmowe zamknięcie Bramy Świny oraz piaszczyste mierzeje jezior przymorskich na Pobrzeżu Trzebiatowskim</w:t>
      </w:r>
      <w:r w:rsidRPr="001062B0">
        <w:rPr>
          <w:rFonts w:ascii="Calibri" w:hAnsi="Calibri" w:cs="Calibri"/>
          <w:szCs w:val="24"/>
          <w:vertAlign w:val="superscript"/>
        </w:rPr>
        <w:footnoteReference w:id="134"/>
      </w:r>
      <w:r w:rsidRPr="001062B0">
        <w:rPr>
          <w:rFonts w:ascii="Calibri" w:hAnsi="Calibri" w:cs="Calibri"/>
          <w:szCs w:val="24"/>
        </w:rPr>
        <w:t>.</w:t>
      </w:r>
    </w:p>
    <w:p w14:paraId="5446131D" w14:textId="77777777" w:rsidR="00B83214" w:rsidRPr="001062B0" w:rsidRDefault="00B83214" w:rsidP="00B83214">
      <w:pPr>
        <w:keepNext/>
        <w:rPr>
          <w:szCs w:val="24"/>
        </w:rPr>
      </w:pPr>
      <w:r w:rsidRPr="001062B0">
        <w:rPr>
          <w:szCs w:val="24"/>
        </w:rPr>
        <w:t>W oparciu o rzeźbę terenu, wydzielenia fizycznogeograficzne oraz strefy jednorodnych obszarów turystycznych wydzielono w województwie zachodniopomorskim siedem głównych jednostek krajobrazowych</w:t>
      </w:r>
      <w:r w:rsidRPr="001062B0">
        <w:rPr>
          <w:szCs w:val="24"/>
          <w:vertAlign w:val="superscript"/>
        </w:rPr>
        <w:footnoteReference w:id="135"/>
      </w:r>
      <w:r w:rsidRPr="001062B0">
        <w:rPr>
          <w:szCs w:val="24"/>
        </w:rPr>
        <w:t>:</w:t>
      </w:r>
    </w:p>
    <w:p w14:paraId="1F58278A" w14:textId="77777777" w:rsidR="00B83214" w:rsidRPr="001062B0" w:rsidRDefault="00B83214" w:rsidP="00B83214">
      <w:pPr>
        <w:rPr>
          <w:szCs w:val="24"/>
        </w:rPr>
      </w:pPr>
      <w:r w:rsidRPr="001062B0">
        <w:rPr>
          <w:szCs w:val="24"/>
        </w:rPr>
        <w:t xml:space="preserve">1 – Strefa brzegowa Bałtyku – rekreacyjno-wypoczynkowa; </w:t>
      </w:r>
    </w:p>
    <w:p w14:paraId="13F1911B" w14:textId="77777777" w:rsidR="00B83214" w:rsidRPr="001062B0" w:rsidRDefault="00B83214" w:rsidP="00B83214">
      <w:pPr>
        <w:rPr>
          <w:szCs w:val="24"/>
        </w:rPr>
      </w:pPr>
      <w:r w:rsidRPr="001062B0">
        <w:rPr>
          <w:szCs w:val="24"/>
        </w:rPr>
        <w:t xml:space="preserve">2 – Nadmorski pas wysoczyznowy – zaplecze rekreacyjne; </w:t>
      </w:r>
    </w:p>
    <w:p w14:paraId="35588696" w14:textId="77777777" w:rsidR="00B83214" w:rsidRPr="001062B0" w:rsidRDefault="00B83214" w:rsidP="00B83214">
      <w:pPr>
        <w:rPr>
          <w:szCs w:val="24"/>
        </w:rPr>
      </w:pPr>
      <w:r w:rsidRPr="001062B0">
        <w:rPr>
          <w:szCs w:val="24"/>
        </w:rPr>
        <w:t xml:space="preserve">3 – Środkowopomorski obszar wysoczyznowy – rolniczo-leśny; </w:t>
      </w:r>
    </w:p>
    <w:p w14:paraId="202FF0CD" w14:textId="77777777" w:rsidR="00B83214" w:rsidRPr="001062B0" w:rsidRDefault="00B83214" w:rsidP="00B83214">
      <w:pPr>
        <w:rPr>
          <w:szCs w:val="24"/>
        </w:rPr>
      </w:pPr>
      <w:r w:rsidRPr="001062B0">
        <w:rPr>
          <w:szCs w:val="24"/>
        </w:rPr>
        <w:t xml:space="preserve">4 – Pomorski obszar czołowo-morenowy – obszar ochrony przyrody i rekreacji; </w:t>
      </w:r>
    </w:p>
    <w:p w14:paraId="6A35A6D0" w14:textId="77777777" w:rsidR="00B83214" w:rsidRPr="001062B0" w:rsidRDefault="00B83214" w:rsidP="00B83214">
      <w:pPr>
        <w:rPr>
          <w:szCs w:val="24"/>
        </w:rPr>
      </w:pPr>
      <w:r w:rsidRPr="001062B0">
        <w:rPr>
          <w:szCs w:val="24"/>
        </w:rPr>
        <w:t xml:space="preserve">5 – Obszar równin sandrowych – obszar ochrony przyrody, leśny z przemysłem; </w:t>
      </w:r>
    </w:p>
    <w:p w14:paraId="274D5833" w14:textId="77777777" w:rsidR="00B83214" w:rsidRPr="001062B0" w:rsidRDefault="00B83214" w:rsidP="00B83214">
      <w:pPr>
        <w:rPr>
          <w:szCs w:val="24"/>
        </w:rPr>
      </w:pPr>
      <w:r w:rsidRPr="001062B0">
        <w:rPr>
          <w:szCs w:val="24"/>
        </w:rPr>
        <w:t xml:space="preserve">6 – Obszar równin aluwialnych i pradolin – rolniczo-leśny z przemysłem; </w:t>
      </w:r>
    </w:p>
    <w:p w14:paraId="5D3D5FD0" w14:textId="77777777" w:rsidR="00B83214" w:rsidRPr="001062B0" w:rsidRDefault="00B83214" w:rsidP="00B83214">
      <w:pPr>
        <w:rPr>
          <w:szCs w:val="24"/>
        </w:rPr>
      </w:pPr>
      <w:r w:rsidRPr="001062B0">
        <w:rPr>
          <w:szCs w:val="24"/>
        </w:rPr>
        <w:t>7 – Obszar równin zastoiskowych – rolniczo-leśny.</w:t>
      </w:r>
    </w:p>
    <w:p w14:paraId="16918CC0" w14:textId="77777777" w:rsidR="00B83214" w:rsidRPr="001062B0" w:rsidRDefault="00B83214" w:rsidP="00B83214">
      <w:pPr>
        <w:rPr>
          <w:rFonts w:ascii="Calibri" w:hAnsi="Calibri" w:cs="Calibri"/>
          <w:szCs w:val="24"/>
        </w:rPr>
      </w:pPr>
      <w:r w:rsidRPr="001062B0">
        <w:rPr>
          <w:rFonts w:ascii="Calibri" w:hAnsi="Calibri" w:cs="Calibri"/>
          <w:szCs w:val="24"/>
        </w:rPr>
        <w:t>Typowym dla województwa jest krajobraz nadmorski z długimi i szerokimi piaszczystymi plażami, wydmami oraz jeziorami przybrzeżnymi</w:t>
      </w:r>
      <w:r>
        <w:rPr>
          <w:rFonts w:ascii="Calibri" w:hAnsi="Calibri" w:cs="Calibri"/>
          <w:szCs w:val="24"/>
        </w:rPr>
        <w:t>,</w:t>
      </w:r>
      <w:r w:rsidRPr="001062B0">
        <w:rPr>
          <w:rFonts w:ascii="Calibri" w:hAnsi="Calibri" w:cs="Calibri"/>
          <w:szCs w:val="24"/>
        </w:rPr>
        <w:t xml:space="preserve"> a także krajobraz młodoglacjalnych pojezierzy z jeziorami rynnowymi, morenowymi, oczkami polodowcowymi, torfowiskami i mokradłami. Istotną rolę odgrywają rzeki w krajobrazie regionu, przede wszystkim Odra i jej rozległe ujście, a także rzeki przymorskie i w rejonie pojezierzy. Obszary o wysokich walorach przyrodniczych związane są z dolinami rzecznymi: Odry, Regi, Parsęty, Iny, a także Pojezierza Pomorskiego, Zalewu Szczecińskiego, jak również dużych kompleksów leśnych: Puszczy Wkrzańskiej, Goleniowskiej oraz Puszczy Bukowej</w:t>
      </w:r>
      <w:r w:rsidRPr="001062B0">
        <w:rPr>
          <w:rFonts w:ascii="Calibri" w:hAnsi="Calibri" w:cs="Calibri"/>
          <w:szCs w:val="24"/>
          <w:vertAlign w:val="superscript"/>
        </w:rPr>
        <w:footnoteReference w:id="136"/>
      </w:r>
      <w:r w:rsidRPr="001062B0">
        <w:rPr>
          <w:rFonts w:ascii="Calibri" w:hAnsi="Calibri" w:cs="Calibri"/>
          <w:szCs w:val="24"/>
        </w:rPr>
        <w:t xml:space="preserve">. </w:t>
      </w:r>
    </w:p>
    <w:p w14:paraId="68D16196" w14:textId="6F97C46C" w:rsidR="00B83214" w:rsidRPr="001062B0" w:rsidRDefault="00B83214" w:rsidP="00B83214">
      <w:pPr>
        <w:rPr>
          <w:rFonts w:ascii="Calibri" w:hAnsi="Calibri" w:cs="Calibri"/>
          <w:szCs w:val="24"/>
        </w:rPr>
      </w:pPr>
      <w:r w:rsidRPr="001062B0">
        <w:rPr>
          <w:rFonts w:ascii="Calibri" w:hAnsi="Calibri" w:cs="Calibri"/>
          <w:szCs w:val="24"/>
        </w:rPr>
        <w:t>Różnorodność krajobrazów (</w:t>
      </w:r>
      <w:r w:rsidRPr="001062B0">
        <w:rPr>
          <w:sz w:val="22"/>
        </w:rPr>
        <w:fldChar w:fldCharType="begin"/>
      </w:r>
      <w:r w:rsidRPr="001062B0">
        <w:rPr>
          <w:sz w:val="22"/>
        </w:rPr>
        <w:instrText xml:space="preserve"> REF _Ref102718297 \h  \* MERGEFORMAT </w:instrText>
      </w:r>
      <w:r w:rsidRPr="001062B0">
        <w:rPr>
          <w:sz w:val="22"/>
        </w:rPr>
      </w:r>
      <w:r w:rsidRPr="001062B0">
        <w:rPr>
          <w:sz w:val="22"/>
        </w:rPr>
        <w:fldChar w:fldCharType="separate"/>
      </w:r>
      <w:r w:rsidR="002B5007" w:rsidRPr="002B5007">
        <w:rPr>
          <w:szCs w:val="18"/>
        </w:rPr>
        <w:t>Rysunek 20</w:t>
      </w:r>
      <w:r w:rsidRPr="001062B0">
        <w:rPr>
          <w:sz w:val="22"/>
        </w:rPr>
        <w:fldChar w:fldCharType="end"/>
      </w:r>
      <w:r w:rsidRPr="001062B0">
        <w:rPr>
          <w:rFonts w:ascii="Calibri" w:hAnsi="Calibri" w:cs="Calibri"/>
          <w:szCs w:val="24"/>
        </w:rPr>
        <w:t xml:space="preserve">) oraz ekosystemów </w:t>
      </w:r>
      <w:r>
        <w:rPr>
          <w:rFonts w:ascii="Calibri" w:hAnsi="Calibri" w:cs="Calibri"/>
          <w:szCs w:val="24"/>
        </w:rPr>
        <w:t>na terenie analizowanego województwa</w:t>
      </w:r>
      <w:r w:rsidRPr="001062B0">
        <w:rPr>
          <w:rFonts w:ascii="Calibri" w:hAnsi="Calibri" w:cs="Calibri"/>
          <w:szCs w:val="24"/>
        </w:rPr>
        <w:t xml:space="preserve"> wpływa na </w:t>
      </w:r>
      <w:r>
        <w:rPr>
          <w:rFonts w:ascii="Calibri" w:hAnsi="Calibri" w:cs="Calibri"/>
          <w:szCs w:val="24"/>
        </w:rPr>
        <w:t>bogactwo gatunkowe roślin, zwierząt oraz</w:t>
      </w:r>
      <w:r w:rsidRPr="001062B0">
        <w:rPr>
          <w:rFonts w:ascii="Calibri" w:hAnsi="Calibri" w:cs="Calibri"/>
          <w:szCs w:val="24"/>
        </w:rPr>
        <w:t xml:space="preserve"> siedlisk przyrodniczych.</w:t>
      </w:r>
      <w:r>
        <w:rPr>
          <w:rFonts w:ascii="Calibri" w:hAnsi="Calibri" w:cs="Calibri"/>
          <w:szCs w:val="24"/>
        </w:rPr>
        <w:t xml:space="preserve"> Rejony, które wyróżniają się </w:t>
      </w:r>
      <w:r w:rsidRPr="001062B0">
        <w:rPr>
          <w:rFonts w:ascii="Calibri" w:hAnsi="Calibri" w:cs="Calibri"/>
          <w:szCs w:val="24"/>
        </w:rPr>
        <w:t xml:space="preserve">pod względem różnorodności biologicznej </w:t>
      </w:r>
      <w:r>
        <w:rPr>
          <w:rFonts w:ascii="Calibri" w:hAnsi="Calibri" w:cs="Calibri"/>
          <w:szCs w:val="24"/>
        </w:rPr>
        <w:t>i</w:t>
      </w:r>
      <w:r w:rsidRPr="001062B0">
        <w:rPr>
          <w:rFonts w:ascii="Calibri" w:hAnsi="Calibri" w:cs="Calibri"/>
          <w:szCs w:val="24"/>
        </w:rPr>
        <w:t xml:space="preserve"> walorów krajobrazowych </w:t>
      </w:r>
      <w:r>
        <w:rPr>
          <w:rFonts w:ascii="Calibri" w:hAnsi="Calibri" w:cs="Calibri"/>
          <w:szCs w:val="24"/>
        </w:rPr>
        <w:t>to</w:t>
      </w:r>
      <w:r w:rsidRPr="001062B0">
        <w:rPr>
          <w:rFonts w:ascii="Calibri" w:hAnsi="Calibri" w:cs="Calibri"/>
          <w:szCs w:val="24"/>
        </w:rPr>
        <w:t>: rejon Międzyodrza, klifowe wybrzeże na wyspie Wolin oraz dolina rzeki Drawy</w:t>
      </w:r>
      <w:r w:rsidRPr="001062B0">
        <w:rPr>
          <w:rFonts w:ascii="Calibri" w:hAnsi="Calibri" w:cs="Calibri"/>
          <w:szCs w:val="24"/>
          <w:vertAlign w:val="superscript"/>
        </w:rPr>
        <w:footnoteReference w:id="137"/>
      </w:r>
      <w:r w:rsidRPr="001062B0">
        <w:rPr>
          <w:rFonts w:ascii="Calibri" w:hAnsi="Calibri" w:cs="Calibri"/>
          <w:szCs w:val="24"/>
        </w:rPr>
        <w:t>.</w:t>
      </w:r>
    </w:p>
    <w:p w14:paraId="4399AE67" w14:textId="77777777" w:rsidR="00B83214" w:rsidRPr="001062B0" w:rsidRDefault="00B83214" w:rsidP="00B83214">
      <w:pPr>
        <w:keepNext/>
        <w:rPr>
          <w:sz w:val="22"/>
        </w:rPr>
      </w:pPr>
      <w:r w:rsidRPr="001062B0">
        <w:rPr>
          <w:rFonts w:ascii="Calibri" w:hAnsi="Calibri" w:cs="Calibri"/>
          <w:noProof/>
          <w:szCs w:val="24"/>
          <w:lang w:eastAsia="pl-PL"/>
        </w:rPr>
        <w:drawing>
          <wp:inline distT="0" distB="0" distL="0" distR="0" wp14:anchorId="6D76EC02" wp14:editId="064902F0">
            <wp:extent cx="5753100" cy="4591050"/>
            <wp:effectExtent l="0" t="0" r="0" b="0"/>
            <wp:docPr id="8" name="Obraz 8" descr="Kraj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ajobraz"/>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3100" cy="4591050"/>
                    </a:xfrm>
                    <a:prstGeom prst="rect">
                      <a:avLst/>
                    </a:prstGeom>
                    <a:noFill/>
                    <a:ln>
                      <a:noFill/>
                    </a:ln>
                  </pic:spPr>
                </pic:pic>
              </a:graphicData>
            </a:graphic>
          </wp:inline>
        </w:drawing>
      </w:r>
    </w:p>
    <w:p w14:paraId="79C4895E" w14:textId="77777777" w:rsidR="00B83214" w:rsidRPr="001062B0" w:rsidRDefault="00B83214" w:rsidP="00B83214">
      <w:pPr>
        <w:pStyle w:val="Podpispodrysunkiem"/>
      </w:pPr>
      <w:bookmarkStart w:id="236" w:name="_Ref102718297"/>
      <w:bookmarkStart w:id="237" w:name="_Toc104790122"/>
      <w:r w:rsidRPr="001062B0">
        <w:t xml:space="preserve">Rysunek </w:t>
      </w:r>
      <w:r>
        <w:fldChar w:fldCharType="begin"/>
      </w:r>
      <w:r>
        <w:instrText>SEQ Rysunek \* ARABIC</w:instrText>
      </w:r>
      <w:r>
        <w:fldChar w:fldCharType="separate"/>
      </w:r>
      <w:r w:rsidR="002B5007">
        <w:rPr>
          <w:noProof/>
        </w:rPr>
        <w:t>20</w:t>
      </w:r>
      <w:r>
        <w:fldChar w:fldCharType="end"/>
      </w:r>
      <w:bookmarkEnd w:id="236"/>
      <w:r w:rsidRPr="001062B0">
        <w:t xml:space="preserve"> Typy krajobrazów naturalnych na terenie województwa zachodniopomorskiego</w:t>
      </w:r>
      <w:bookmarkEnd w:id="237"/>
    </w:p>
    <w:p w14:paraId="03D6E732" w14:textId="77777777" w:rsidR="00B83214" w:rsidRPr="007B6366" w:rsidRDefault="00B83214" w:rsidP="00B83214">
      <w:pPr>
        <w:rPr>
          <w:szCs w:val="24"/>
        </w:rPr>
      </w:pPr>
      <w:r w:rsidRPr="001062B0">
        <w:rPr>
          <w:szCs w:val="24"/>
        </w:rPr>
        <w:t>Źródło: Mapa krajobrazowa Polski</w:t>
      </w:r>
    </w:p>
    <w:p w14:paraId="66700902" w14:textId="77777777" w:rsidR="00B83214" w:rsidRPr="00B83214" w:rsidRDefault="00B83214" w:rsidP="00B83214">
      <w:pPr>
        <w:pStyle w:val="Nagwek1"/>
        <w:numPr>
          <w:ilvl w:val="0"/>
          <w:numId w:val="61"/>
        </w:numPr>
        <w:rPr>
          <w:sz w:val="24"/>
          <w:szCs w:val="20"/>
        </w:rPr>
      </w:pPr>
      <w:bookmarkStart w:id="238" w:name="_Toc104790661"/>
      <w:r w:rsidRPr="00B83214">
        <w:rPr>
          <w:sz w:val="24"/>
          <w:szCs w:val="20"/>
        </w:rPr>
        <w:t>KLIMAT</w:t>
      </w:r>
      <w:bookmarkEnd w:id="238"/>
    </w:p>
    <w:p w14:paraId="73167321" w14:textId="77777777" w:rsidR="00B83214" w:rsidRPr="001062B0" w:rsidRDefault="00B83214" w:rsidP="00B83214">
      <w:pPr>
        <w:rPr>
          <w:szCs w:val="24"/>
        </w:rPr>
      </w:pPr>
      <w:r w:rsidRPr="001062B0">
        <w:rPr>
          <w:szCs w:val="24"/>
        </w:rPr>
        <w:t>Na obszarze woj</w:t>
      </w:r>
      <w:r>
        <w:rPr>
          <w:szCs w:val="24"/>
        </w:rPr>
        <w:t>ewództwa</w:t>
      </w:r>
      <w:r w:rsidRPr="001062B0">
        <w:rPr>
          <w:szCs w:val="24"/>
        </w:rPr>
        <w:t xml:space="preserve"> zachodniopomorskiego wyróżnia się dwie główne krainy geograficzno-fizyczne: Pobrzeże Południowobałtyckie oraz Pojezierze Pomorskie. Bliskość morza, zasoby wodne oraz duża powierzchnia lasów kształtują dominujący umiarkowany klimat województwa, charakteryzujący się znaczną wilgotnością powietrza oraz przewagą wiatrów zachodnich i północno-zachodnich. Niemniej jednak region zachodniopomorski charakteryzuje się dużą różnorodnością i zmiennością.</w:t>
      </w:r>
      <w:r>
        <w:rPr>
          <w:szCs w:val="24"/>
        </w:rPr>
        <w:t xml:space="preserve"> Północna i zachodnia część analizowanego województwa</w:t>
      </w:r>
      <w:r w:rsidRPr="001062B0">
        <w:rPr>
          <w:szCs w:val="24"/>
        </w:rPr>
        <w:t xml:space="preserve"> wykazuje cechy charakterystyczne dla klimatu morskiego, z kolei wschodnia część cechuję się parametrami typowymi dla klimatu kontynentalnego</w:t>
      </w:r>
      <w:r w:rsidRPr="001062B0">
        <w:rPr>
          <w:szCs w:val="24"/>
          <w:vertAlign w:val="superscript"/>
        </w:rPr>
        <w:footnoteReference w:id="138"/>
      </w:r>
      <w:r w:rsidRPr="001062B0">
        <w:rPr>
          <w:szCs w:val="24"/>
        </w:rPr>
        <w:t xml:space="preserve">. W obrębie poszczególnych obszarów występuje duża zmienność klimatu. Na zmienność klimatu w skali regionu wpływ mają liczne czynniki w tym: ukształtowanie powierzchni terenu, wysokość terenu nad powierzchnią morza oraz odległość od dużych akwenów wodnych (morze, jeziora, duże akweny wodne), ukształtowanie terenu, pokrycie obszaru roślinnością (lasy, łąki, zabudowa) oraz rzeźba terenu (pradoliny, wzniesienia, itp.). </w:t>
      </w:r>
    </w:p>
    <w:p w14:paraId="3F4BBE49" w14:textId="2DBCE663" w:rsidR="00B83214" w:rsidRPr="001062B0" w:rsidRDefault="00B83214" w:rsidP="00B83214">
      <w:pPr>
        <w:rPr>
          <w:rFonts w:cstheme="minorHAnsi"/>
          <w:szCs w:val="24"/>
        </w:rPr>
      </w:pPr>
      <w:r w:rsidRPr="001062B0">
        <w:rPr>
          <w:rFonts w:cstheme="minorHAnsi"/>
          <w:szCs w:val="24"/>
        </w:rPr>
        <w:t>Wg danych Instytutu Meteorologii i Gospodarki Wodnej (IMGW) średnie roczne temperatury powietrza w 2020 r. na wszystkim stacjach synoptycznych w kraju były wyższe od wartości uzyskanych z wielolecia. Rozkład wartości wybranych parametrów meteorologicznych w Polsce w roku 2020 przedstawiono na rysunku poniżej (</w:t>
      </w:r>
      <w:r w:rsidRPr="001062B0">
        <w:rPr>
          <w:rFonts w:cstheme="minorHAnsi"/>
          <w:szCs w:val="24"/>
        </w:rPr>
        <w:fldChar w:fldCharType="begin"/>
      </w:r>
      <w:r w:rsidRPr="001062B0">
        <w:rPr>
          <w:rFonts w:cstheme="minorHAnsi"/>
          <w:szCs w:val="24"/>
        </w:rPr>
        <w:instrText xml:space="preserve"> REF _Ref97283677 \h  \* MERGEFORMAT </w:instrText>
      </w:r>
      <w:r w:rsidRPr="001062B0">
        <w:rPr>
          <w:rFonts w:cstheme="minorHAnsi"/>
          <w:szCs w:val="24"/>
        </w:rPr>
      </w:r>
      <w:r w:rsidRPr="001062B0">
        <w:rPr>
          <w:rFonts w:cstheme="minorHAnsi"/>
          <w:szCs w:val="24"/>
        </w:rPr>
        <w:fldChar w:fldCharType="separate"/>
      </w:r>
      <w:r w:rsidR="002B5007" w:rsidRPr="002B5007">
        <w:rPr>
          <w:szCs w:val="24"/>
        </w:rPr>
        <w:t xml:space="preserve">Rysunek </w:t>
      </w:r>
      <w:r w:rsidR="002B5007" w:rsidRPr="002B5007">
        <w:rPr>
          <w:noProof/>
          <w:szCs w:val="24"/>
        </w:rPr>
        <w:t>21</w:t>
      </w:r>
      <w:r w:rsidRPr="001062B0">
        <w:rPr>
          <w:rFonts w:cstheme="minorHAnsi"/>
          <w:szCs w:val="24"/>
        </w:rPr>
        <w:fldChar w:fldCharType="end"/>
      </w:r>
      <w:r w:rsidRPr="001062B0">
        <w:rPr>
          <w:rFonts w:cstheme="minorHAnsi"/>
          <w:szCs w:val="24"/>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B83214" w:rsidRPr="001062B0" w14:paraId="7944D93C" w14:textId="77777777" w:rsidTr="00B83214">
        <w:tc>
          <w:tcPr>
            <w:tcW w:w="4606" w:type="dxa"/>
          </w:tcPr>
          <w:p w14:paraId="57CFD5C1" w14:textId="77777777" w:rsidR="00B83214" w:rsidRPr="001062B0" w:rsidRDefault="00B83214" w:rsidP="00B83214">
            <w:pPr>
              <w:spacing w:line="240" w:lineRule="auto"/>
              <w:rPr>
                <w:rFonts w:cstheme="minorHAnsi"/>
                <w:sz w:val="22"/>
                <w:szCs w:val="24"/>
              </w:rPr>
            </w:pPr>
            <w:r w:rsidRPr="001062B0">
              <w:rPr>
                <w:rFonts w:cstheme="minorHAnsi"/>
                <w:noProof/>
                <w:sz w:val="22"/>
                <w:szCs w:val="24"/>
                <w:lang w:eastAsia="pl-PL"/>
              </w:rPr>
              <w:drawing>
                <wp:inline distT="0" distB="0" distL="0" distR="0" wp14:anchorId="3A026E8E" wp14:editId="0A580E5D">
                  <wp:extent cx="2872596" cy="2683867"/>
                  <wp:effectExtent l="0" t="0" r="4445" b="254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75777" cy="2686839"/>
                          </a:xfrm>
                          <a:prstGeom prst="rect">
                            <a:avLst/>
                          </a:prstGeom>
                          <a:noFill/>
                          <a:ln>
                            <a:noFill/>
                          </a:ln>
                        </pic:spPr>
                      </pic:pic>
                    </a:graphicData>
                  </a:graphic>
                </wp:inline>
              </w:drawing>
            </w:r>
          </w:p>
        </w:tc>
        <w:tc>
          <w:tcPr>
            <w:tcW w:w="4606" w:type="dxa"/>
          </w:tcPr>
          <w:p w14:paraId="5B4821C8" w14:textId="77777777" w:rsidR="00B83214" w:rsidRPr="001062B0" w:rsidRDefault="00B83214" w:rsidP="00B83214">
            <w:pPr>
              <w:spacing w:line="240" w:lineRule="auto"/>
              <w:rPr>
                <w:rFonts w:cstheme="minorHAnsi"/>
                <w:sz w:val="22"/>
                <w:szCs w:val="24"/>
              </w:rPr>
            </w:pPr>
            <w:r w:rsidRPr="001062B0">
              <w:rPr>
                <w:rFonts w:cstheme="minorHAnsi"/>
                <w:noProof/>
                <w:sz w:val="22"/>
                <w:szCs w:val="24"/>
                <w:lang w:eastAsia="pl-PL"/>
              </w:rPr>
              <w:drawing>
                <wp:inline distT="0" distB="0" distL="0" distR="0" wp14:anchorId="6F2BB1EA" wp14:editId="7A555DAF">
                  <wp:extent cx="2871470" cy="2682815"/>
                  <wp:effectExtent l="0" t="0" r="5080" b="381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71433" cy="2682780"/>
                          </a:xfrm>
                          <a:prstGeom prst="rect">
                            <a:avLst/>
                          </a:prstGeom>
                          <a:noFill/>
                          <a:ln>
                            <a:noFill/>
                          </a:ln>
                        </pic:spPr>
                      </pic:pic>
                    </a:graphicData>
                  </a:graphic>
                </wp:inline>
              </w:drawing>
            </w:r>
          </w:p>
        </w:tc>
      </w:tr>
    </w:tbl>
    <w:p w14:paraId="614EBBFF" w14:textId="77777777" w:rsidR="00B83214" w:rsidRPr="001062B0" w:rsidRDefault="00B83214" w:rsidP="00B83214">
      <w:pPr>
        <w:pStyle w:val="Podpispodrysunkiem"/>
      </w:pPr>
      <w:bookmarkStart w:id="239" w:name="_Ref97283677"/>
      <w:bookmarkStart w:id="240" w:name="_Toc97537981"/>
      <w:bookmarkStart w:id="241" w:name="_Toc104790123"/>
      <w:r w:rsidRPr="001062B0">
        <w:t xml:space="preserve">Rysunek </w:t>
      </w:r>
      <w:r w:rsidRPr="001062B0">
        <w:fldChar w:fldCharType="begin"/>
      </w:r>
      <w:r w:rsidRPr="001062B0">
        <w:instrText>SEQ Rysunek \* ARABIC</w:instrText>
      </w:r>
      <w:r w:rsidRPr="001062B0">
        <w:fldChar w:fldCharType="separate"/>
      </w:r>
      <w:r w:rsidR="002B5007">
        <w:rPr>
          <w:noProof/>
        </w:rPr>
        <w:t>21</w:t>
      </w:r>
      <w:r w:rsidRPr="001062B0">
        <w:fldChar w:fldCharType="end"/>
      </w:r>
      <w:bookmarkEnd w:id="239"/>
      <w:r w:rsidRPr="001062B0">
        <w:t xml:space="preserve"> Przestrzenny rozkład temperatur w Polsce w roku 2020</w:t>
      </w:r>
      <w:bookmarkEnd w:id="240"/>
      <w:bookmarkEnd w:id="241"/>
    </w:p>
    <w:p w14:paraId="248F0060" w14:textId="77777777" w:rsidR="00B83214" w:rsidRPr="001062B0" w:rsidRDefault="00B83214" w:rsidP="00B83214">
      <w:pPr>
        <w:pStyle w:val="rdo"/>
      </w:pPr>
      <w:r w:rsidRPr="001062B0">
        <w:t>Źródło:</w:t>
      </w:r>
      <w:r>
        <w:t xml:space="preserve"> </w:t>
      </w:r>
      <w:r w:rsidRPr="001062B0">
        <w:t>Roczna ocena jakości powietrza w województwie zachodniopomorskim - raport wojewód</w:t>
      </w:r>
      <w:r>
        <w:t xml:space="preserve">zki za rok 2020. GIOŚ, Szczecin; </w:t>
      </w:r>
      <w:hyperlink r:id="rId66" w:history="1">
        <w:r w:rsidRPr="008D2F0E">
          <w:rPr>
            <w:rStyle w:val="Hipercze"/>
          </w:rPr>
          <w:t>https://powietrze.gios.gov.pl/pjp/rwms/publications/card/1426</w:t>
        </w:r>
      </w:hyperlink>
      <w:r>
        <w:t>; (</w:t>
      </w:r>
      <w:r w:rsidRPr="001062B0">
        <w:t>dost</w:t>
      </w:r>
      <w:r>
        <w:t>ęp z dn.: 06.05.2022)</w:t>
      </w:r>
    </w:p>
    <w:p w14:paraId="1D0E3B71" w14:textId="06DD55D5" w:rsidR="00B83214" w:rsidRPr="001062B0" w:rsidRDefault="00B83214" w:rsidP="00B83214">
      <w:r w:rsidRPr="001062B0">
        <w:t>Klimat regionu należy do klimatów łagodnych ze znaczną liczbą dni słonecznych oraz dni bez opadów. Stosunkowo rzadko występują dni przymrozkowe oraz mroźne. Klimat miasta Szczecina i jego okolic jest określany jako wilgotny i umiarkowanie ciepły, przy czym kształtowany jest przede wszystkim przez wpływy morza Bałtyckiego i bliskość Atlantyku, co uwydatnia się w jego termice, stopniu nawilgocenia i wielkości opadów oraz szczególnie wyraźnie w ukierunkowaniu i sile wiatru. Charakterystyczną cechą klimatu Szczecina są stosunkowo łagodne zimy i chłodne lata.</w:t>
      </w:r>
      <w:r>
        <w:t xml:space="preserve"> </w:t>
      </w:r>
      <w:r w:rsidRPr="001062B0">
        <w:t>Średnia temperatura lata jest niższa o 1 – 2</w:t>
      </w:r>
      <w:r w:rsidRPr="001062B0">
        <w:rPr>
          <w:vertAlign w:val="superscript"/>
        </w:rPr>
        <w:t>o</w:t>
      </w:r>
      <w:r>
        <w:t>C od</w:t>
      </w:r>
      <w:r w:rsidRPr="001062B0">
        <w:t xml:space="preserve"> średniej temperatury w centrum kraju, natomiast zimy są odpowiednio łagodniejsze, średnio</w:t>
      </w:r>
      <w:r>
        <w:t xml:space="preserve"> </w:t>
      </w:r>
      <w:r w:rsidRPr="001062B0">
        <w:t>o około 2</w:t>
      </w:r>
      <w:r w:rsidRPr="001062B0">
        <w:rPr>
          <w:vertAlign w:val="superscript"/>
        </w:rPr>
        <w:t>o</w:t>
      </w:r>
      <w:r w:rsidRPr="001062B0">
        <w:t>C</w:t>
      </w:r>
      <w:r w:rsidRPr="001062B0">
        <w:rPr>
          <w:vertAlign w:val="superscript"/>
        </w:rPr>
        <w:footnoteReference w:id="139"/>
      </w:r>
      <w:r w:rsidRPr="001062B0">
        <w:t>. Zmienność średniej miesięcznej temperatury odnotowywanej w roku 2020 w Szczecinie przedstawiono na rysunku poniżej (</w:t>
      </w:r>
      <w:r w:rsidRPr="001062B0">
        <w:fldChar w:fldCharType="begin"/>
      </w:r>
      <w:r w:rsidRPr="001062B0">
        <w:instrText xml:space="preserve"> REF _Ref97032212 \h  \* MERGEFORMAT </w:instrText>
      </w:r>
      <w:r w:rsidRPr="001062B0">
        <w:fldChar w:fldCharType="separate"/>
      </w:r>
      <w:r w:rsidR="002B5007" w:rsidRPr="001062B0">
        <w:t xml:space="preserve">Rysunek </w:t>
      </w:r>
      <w:r w:rsidR="002B5007">
        <w:t>22</w:t>
      </w:r>
      <w:r w:rsidRPr="001062B0">
        <w:fldChar w:fldCharType="end"/>
      </w:r>
      <w:r w:rsidRPr="001062B0">
        <w:t>). W roku 2020 średnia miesięczna temperatura powietrza w największym mieście regionu wahała się od 2,9 do 21,8</w:t>
      </w:r>
      <w:r w:rsidRPr="001062B0">
        <w:rPr>
          <w:vertAlign w:val="superscript"/>
        </w:rPr>
        <w:t>o</w:t>
      </w:r>
      <w:r w:rsidRPr="001062B0">
        <w:t>C. Wartości skrajne temperatury odnotowano odpowiednio w czerwcu oraz marcu, i wyniosły odpowiednio: maksimum 36,3</w:t>
      </w:r>
      <w:r w:rsidRPr="001062B0">
        <w:rPr>
          <w:vertAlign w:val="superscript"/>
        </w:rPr>
        <w:t>o</w:t>
      </w:r>
      <w:r w:rsidRPr="001062B0">
        <w:t>C</w:t>
      </w:r>
      <w:r>
        <w:t xml:space="preserve"> </w:t>
      </w:r>
      <w:r w:rsidRPr="001062B0">
        <w:t>(08.06.2020) oraz minimum - 3,0</w:t>
      </w:r>
      <w:r w:rsidRPr="001062B0">
        <w:rPr>
          <w:vertAlign w:val="superscript"/>
        </w:rPr>
        <w:t>o</w:t>
      </w:r>
      <w:r w:rsidRPr="001062B0">
        <w:t>C (24.03.2020)</w:t>
      </w:r>
      <w:r w:rsidRPr="001062B0">
        <w:rPr>
          <w:vertAlign w:val="superscript"/>
        </w:rPr>
        <w:footnoteReference w:id="140"/>
      </w:r>
      <w:r w:rsidRPr="001062B0">
        <w:t>.</w:t>
      </w:r>
    </w:p>
    <w:p w14:paraId="460B2C5A" w14:textId="77777777" w:rsidR="00B83214" w:rsidRPr="001062B0" w:rsidRDefault="00B83214" w:rsidP="00B83214">
      <w:pPr>
        <w:spacing w:line="276" w:lineRule="auto"/>
        <w:rPr>
          <w:rFonts w:cstheme="minorHAnsi"/>
          <w:sz w:val="22"/>
          <w:szCs w:val="24"/>
        </w:rPr>
      </w:pPr>
      <w:r w:rsidRPr="001062B0">
        <w:rPr>
          <w:noProof/>
          <w:sz w:val="22"/>
          <w:lang w:eastAsia="pl-PL"/>
        </w:rPr>
        <w:drawing>
          <wp:inline distT="0" distB="0" distL="0" distR="0" wp14:anchorId="37F7F032" wp14:editId="3DC67E1D">
            <wp:extent cx="5814204" cy="2172423"/>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1557" t="34792" r="11826" b="23807"/>
                    <a:stretch/>
                  </pic:blipFill>
                  <pic:spPr bwMode="auto">
                    <a:xfrm>
                      <a:off x="0" y="0"/>
                      <a:ext cx="5812463" cy="2171772"/>
                    </a:xfrm>
                    <a:prstGeom prst="rect">
                      <a:avLst/>
                    </a:prstGeom>
                    <a:ln>
                      <a:noFill/>
                    </a:ln>
                    <a:extLst>
                      <a:ext uri="{53640926-AAD7-44D8-BBD7-CCE9431645EC}">
                        <a14:shadowObscured xmlns:a14="http://schemas.microsoft.com/office/drawing/2010/main"/>
                      </a:ext>
                    </a:extLst>
                  </pic:spPr>
                </pic:pic>
              </a:graphicData>
            </a:graphic>
          </wp:inline>
        </w:drawing>
      </w:r>
    </w:p>
    <w:p w14:paraId="35B14B6B" w14:textId="77777777" w:rsidR="00B83214" w:rsidRPr="001062B0" w:rsidRDefault="00B83214" w:rsidP="00B83214">
      <w:pPr>
        <w:pStyle w:val="Podpispodrysunkiem"/>
      </w:pPr>
      <w:bookmarkStart w:id="242" w:name="_Ref97032212"/>
      <w:bookmarkStart w:id="243" w:name="_Toc97537982"/>
      <w:bookmarkStart w:id="244" w:name="_Toc104790124"/>
      <w:r w:rsidRPr="001062B0">
        <w:t xml:space="preserve">Rysunek </w:t>
      </w:r>
      <w:r w:rsidRPr="001062B0">
        <w:fldChar w:fldCharType="begin"/>
      </w:r>
      <w:r w:rsidRPr="001062B0">
        <w:instrText>SEQ Rysunek \* ARABIC</w:instrText>
      </w:r>
      <w:r w:rsidRPr="001062B0">
        <w:fldChar w:fldCharType="separate"/>
      </w:r>
      <w:r w:rsidR="002B5007">
        <w:rPr>
          <w:noProof/>
        </w:rPr>
        <w:t>22</w:t>
      </w:r>
      <w:r w:rsidRPr="001062B0">
        <w:fldChar w:fldCharType="end"/>
      </w:r>
      <w:bookmarkEnd w:id="242"/>
      <w:r w:rsidRPr="001062B0">
        <w:t xml:space="preserve"> Rozkład miesięczny temperatury powietrza uzyskany w Szczecinie w 2020 r.</w:t>
      </w:r>
      <w:bookmarkEnd w:id="243"/>
      <w:bookmarkEnd w:id="244"/>
    </w:p>
    <w:p w14:paraId="6DA70FBA" w14:textId="77777777" w:rsidR="00B83214" w:rsidRPr="001062B0" w:rsidRDefault="00B83214" w:rsidP="00B83214">
      <w:pPr>
        <w:pStyle w:val="rdo"/>
      </w:pPr>
      <w:r w:rsidRPr="001062B0">
        <w:t>Źródło:</w:t>
      </w:r>
      <w:r>
        <w:t xml:space="preserve"> </w:t>
      </w:r>
      <w:r w:rsidRPr="001062B0">
        <w:t>Roczna ocena jakości powietrza w województwie zachodniopomorskim - raport wojewódzki za rok 2020. GIOŚ, Szczecin</w:t>
      </w:r>
      <w:r>
        <w:t xml:space="preserve">; </w:t>
      </w:r>
      <w:hyperlink r:id="rId68" w:history="1">
        <w:r w:rsidRPr="008D2F0E">
          <w:rPr>
            <w:rStyle w:val="Hipercze"/>
          </w:rPr>
          <w:t>https://powietrze.gios.gov.pl/pjp/rwms/publications/card/1426</w:t>
        </w:r>
      </w:hyperlink>
      <w:r>
        <w:t>; (</w:t>
      </w:r>
      <w:r w:rsidRPr="001062B0">
        <w:t>dostęp</w:t>
      </w:r>
      <w:r>
        <w:t xml:space="preserve"> z dn.: 06.05.2022)</w:t>
      </w:r>
    </w:p>
    <w:p w14:paraId="3D1333D4" w14:textId="5353C438" w:rsidR="00B83214" w:rsidRPr="001062B0" w:rsidRDefault="00B83214" w:rsidP="00B83214">
      <w:pPr>
        <w:spacing w:after="0"/>
        <w:rPr>
          <w:szCs w:val="24"/>
        </w:rPr>
      </w:pPr>
      <w:r w:rsidRPr="001062B0">
        <w:rPr>
          <w:szCs w:val="24"/>
        </w:rPr>
        <w:t xml:space="preserve">Pod względem opadowym rok 2020 został sklasyfikowany jako normalny. W skali kraju, w wartościach bezwzględnych, roczne sumy opadów wyniosły od 410 mm do 1810 mm. Na rysunkach poniżej przedstawiono przestrzenny rozkład wartości wybranych parametrów meteorologicznych w Polsce w roku 2020 w okresie letnim i zimowym </w:t>
      </w:r>
      <w:r w:rsidRPr="007B6366">
        <w:rPr>
          <w:szCs w:val="24"/>
        </w:rPr>
        <w:t>(</w:t>
      </w:r>
      <w:r w:rsidRPr="007B6366">
        <w:rPr>
          <w:szCs w:val="24"/>
        </w:rPr>
        <w:fldChar w:fldCharType="begin"/>
      </w:r>
      <w:r w:rsidRPr="007B6366">
        <w:rPr>
          <w:szCs w:val="24"/>
        </w:rPr>
        <w:instrText xml:space="preserve"> REF _Ref97033706 \h  \* MERGEFORMAT </w:instrText>
      </w:r>
      <w:r w:rsidRPr="007B6366">
        <w:rPr>
          <w:szCs w:val="24"/>
        </w:rPr>
      </w:r>
      <w:r w:rsidRPr="007B6366">
        <w:rPr>
          <w:szCs w:val="24"/>
        </w:rPr>
        <w:fldChar w:fldCharType="separate"/>
      </w:r>
      <w:r w:rsidR="002B5007" w:rsidRPr="002B5007">
        <w:rPr>
          <w:bCs/>
          <w:szCs w:val="24"/>
        </w:rPr>
        <w:t xml:space="preserve">Rysunek </w:t>
      </w:r>
      <w:r w:rsidR="002B5007" w:rsidRPr="002B5007">
        <w:rPr>
          <w:bCs/>
          <w:noProof/>
          <w:szCs w:val="24"/>
        </w:rPr>
        <w:t>23</w:t>
      </w:r>
      <w:r w:rsidRPr="007B6366">
        <w:rPr>
          <w:szCs w:val="24"/>
        </w:rPr>
        <w:fldChar w:fldCharType="end"/>
      </w:r>
      <w:r w:rsidRPr="007B6366">
        <w:rPr>
          <w:szCs w:val="24"/>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3"/>
        <w:gridCol w:w="4493"/>
      </w:tblGrid>
      <w:tr w:rsidR="00B83214" w:rsidRPr="001062B0" w14:paraId="4F4D25B9" w14:textId="77777777" w:rsidTr="00B83214">
        <w:trPr>
          <w:trHeight w:val="3568"/>
        </w:trPr>
        <w:tc>
          <w:tcPr>
            <w:tcW w:w="4493" w:type="dxa"/>
          </w:tcPr>
          <w:p w14:paraId="24B81D04" w14:textId="77777777" w:rsidR="00B83214" w:rsidRPr="001062B0" w:rsidRDefault="00B83214" w:rsidP="00B83214">
            <w:pPr>
              <w:spacing w:line="240" w:lineRule="auto"/>
              <w:jc w:val="right"/>
              <w:rPr>
                <w:rFonts w:cstheme="minorHAnsi"/>
                <w:sz w:val="22"/>
                <w:szCs w:val="24"/>
              </w:rPr>
            </w:pPr>
            <w:r w:rsidRPr="001062B0">
              <w:rPr>
                <w:noProof/>
                <w:sz w:val="22"/>
                <w:lang w:eastAsia="pl-PL"/>
              </w:rPr>
              <w:drawing>
                <wp:inline distT="0" distB="0" distL="0" distR="0" wp14:anchorId="02E0F11C" wp14:editId="0A8E7918">
                  <wp:extent cx="2398144" cy="2247644"/>
                  <wp:effectExtent l="0" t="0" r="2540" b="63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5292" t="17068" r="39734" b="28606"/>
                          <a:stretch/>
                        </pic:blipFill>
                        <pic:spPr bwMode="auto">
                          <a:xfrm>
                            <a:off x="0" y="0"/>
                            <a:ext cx="2399704" cy="2249106"/>
                          </a:xfrm>
                          <a:prstGeom prst="rect">
                            <a:avLst/>
                          </a:prstGeom>
                          <a:ln>
                            <a:noFill/>
                          </a:ln>
                          <a:extLst>
                            <a:ext uri="{53640926-AAD7-44D8-BBD7-CCE9431645EC}">
                              <a14:shadowObscured xmlns:a14="http://schemas.microsoft.com/office/drawing/2010/main"/>
                            </a:ext>
                          </a:extLst>
                        </pic:spPr>
                      </pic:pic>
                    </a:graphicData>
                  </a:graphic>
                </wp:inline>
              </w:drawing>
            </w:r>
          </w:p>
        </w:tc>
        <w:tc>
          <w:tcPr>
            <w:tcW w:w="4493" w:type="dxa"/>
          </w:tcPr>
          <w:p w14:paraId="463DE37E" w14:textId="77777777" w:rsidR="00B83214" w:rsidRPr="001062B0" w:rsidRDefault="00B83214" w:rsidP="00B83214">
            <w:pPr>
              <w:spacing w:line="240" w:lineRule="auto"/>
              <w:rPr>
                <w:rFonts w:cstheme="minorHAnsi"/>
                <w:sz w:val="22"/>
                <w:szCs w:val="24"/>
              </w:rPr>
            </w:pPr>
            <w:r w:rsidRPr="001062B0">
              <w:rPr>
                <w:noProof/>
                <w:sz w:val="22"/>
                <w:lang w:eastAsia="pl-PL"/>
              </w:rPr>
              <w:drawing>
                <wp:inline distT="0" distB="0" distL="0" distR="0" wp14:anchorId="16C850DC" wp14:editId="1DD2C8CE">
                  <wp:extent cx="2440130" cy="2260121"/>
                  <wp:effectExtent l="0" t="0" r="0" b="698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62000" t="17067" r="2737" b="28606"/>
                          <a:stretch/>
                        </pic:blipFill>
                        <pic:spPr bwMode="auto">
                          <a:xfrm>
                            <a:off x="0" y="0"/>
                            <a:ext cx="2441717" cy="2261591"/>
                          </a:xfrm>
                          <a:prstGeom prst="rect">
                            <a:avLst/>
                          </a:prstGeom>
                          <a:ln>
                            <a:noFill/>
                          </a:ln>
                          <a:extLst>
                            <a:ext uri="{53640926-AAD7-44D8-BBD7-CCE9431645EC}">
                              <a14:shadowObscured xmlns:a14="http://schemas.microsoft.com/office/drawing/2010/main"/>
                            </a:ext>
                          </a:extLst>
                        </pic:spPr>
                      </pic:pic>
                    </a:graphicData>
                  </a:graphic>
                </wp:inline>
              </w:drawing>
            </w:r>
          </w:p>
        </w:tc>
      </w:tr>
      <w:tr w:rsidR="00B83214" w:rsidRPr="001062B0" w14:paraId="0E5AFDCB" w14:textId="77777777" w:rsidTr="00B83214">
        <w:trPr>
          <w:trHeight w:val="3568"/>
        </w:trPr>
        <w:tc>
          <w:tcPr>
            <w:tcW w:w="4493" w:type="dxa"/>
          </w:tcPr>
          <w:p w14:paraId="5DAD18F3" w14:textId="77777777" w:rsidR="00B83214" w:rsidRPr="001062B0" w:rsidRDefault="00B83214" w:rsidP="00B83214">
            <w:pPr>
              <w:spacing w:line="240" w:lineRule="auto"/>
              <w:jc w:val="right"/>
              <w:rPr>
                <w:rFonts w:cstheme="minorHAnsi"/>
                <w:noProof/>
                <w:sz w:val="22"/>
                <w:szCs w:val="24"/>
                <w:lang w:eastAsia="pl-PL"/>
              </w:rPr>
            </w:pPr>
            <w:r w:rsidRPr="001062B0">
              <w:rPr>
                <w:noProof/>
                <w:sz w:val="22"/>
                <w:lang w:eastAsia="pl-PL"/>
              </w:rPr>
              <w:drawing>
                <wp:inline distT="0" distB="0" distL="0" distR="0" wp14:anchorId="3A6E369A" wp14:editId="31319723">
                  <wp:extent cx="2406770" cy="2294626"/>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5292" t="22356" r="39996" b="22597"/>
                          <a:stretch/>
                        </pic:blipFill>
                        <pic:spPr bwMode="auto">
                          <a:xfrm>
                            <a:off x="0" y="0"/>
                            <a:ext cx="2408337" cy="2296120"/>
                          </a:xfrm>
                          <a:prstGeom prst="rect">
                            <a:avLst/>
                          </a:prstGeom>
                          <a:ln>
                            <a:noFill/>
                          </a:ln>
                          <a:extLst>
                            <a:ext uri="{53640926-AAD7-44D8-BBD7-CCE9431645EC}">
                              <a14:shadowObscured xmlns:a14="http://schemas.microsoft.com/office/drawing/2010/main"/>
                            </a:ext>
                          </a:extLst>
                        </pic:spPr>
                      </pic:pic>
                    </a:graphicData>
                  </a:graphic>
                </wp:inline>
              </w:drawing>
            </w:r>
          </w:p>
        </w:tc>
        <w:tc>
          <w:tcPr>
            <w:tcW w:w="4493" w:type="dxa"/>
          </w:tcPr>
          <w:p w14:paraId="54A30DF3" w14:textId="77777777" w:rsidR="00B83214" w:rsidRPr="001062B0" w:rsidRDefault="00B83214" w:rsidP="00B83214">
            <w:pPr>
              <w:spacing w:line="240" w:lineRule="auto"/>
              <w:rPr>
                <w:rFonts w:cstheme="minorHAnsi"/>
                <w:sz w:val="22"/>
                <w:szCs w:val="24"/>
              </w:rPr>
            </w:pPr>
            <w:r w:rsidRPr="001062B0">
              <w:rPr>
                <w:noProof/>
                <w:sz w:val="22"/>
                <w:lang w:eastAsia="pl-PL"/>
              </w:rPr>
              <w:drawing>
                <wp:inline distT="0" distB="0" distL="0" distR="0" wp14:anchorId="567FEC23" wp14:editId="0492CD11">
                  <wp:extent cx="2439843" cy="2337758"/>
                  <wp:effectExtent l="0" t="0" r="0" b="571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62144" t="22356" r="3315" b="22597"/>
                          <a:stretch/>
                        </pic:blipFill>
                        <pic:spPr bwMode="auto">
                          <a:xfrm>
                            <a:off x="0" y="0"/>
                            <a:ext cx="2445208" cy="23428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3C71868" w14:textId="77777777" w:rsidR="00B83214" w:rsidRPr="001062B0" w:rsidRDefault="00B83214" w:rsidP="00B83214">
      <w:pPr>
        <w:pStyle w:val="Podpispodrysunkiem"/>
      </w:pPr>
      <w:bookmarkStart w:id="245" w:name="_Ref97033706"/>
      <w:bookmarkStart w:id="246" w:name="_Toc97537983"/>
      <w:bookmarkStart w:id="247" w:name="_Toc104790125"/>
      <w:r w:rsidRPr="001062B0">
        <w:t xml:space="preserve">Rysunek </w:t>
      </w:r>
      <w:r w:rsidRPr="001062B0">
        <w:fldChar w:fldCharType="begin"/>
      </w:r>
      <w:r w:rsidRPr="001062B0">
        <w:instrText>SEQ Rysunek \* ARABIC</w:instrText>
      </w:r>
      <w:r w:rsidRPr="001062B0">
        <w:fldChar w:fldCharType="separate"/>
      </w:r>
      <w:r w:rsidR="002B5007">
        <w:rPr>
          <w:noProof/>
        </w:rPr>
        <w:t>23</w:t>
      </w:r>
      <w:r w:rsidRPr="001062B0">
        <w:fldChar w:fldCharType="end"/>
      </w:r>
      <w:bookmarkEnd w:id="245"/>
      <w:r w:rsidRPr="001062B0">
        <w:t xml:space="preserve"> Przestrzenny rozkład wybranych parametrów meteorologicznych w Polsce w okresie letnim i zimowym 2020 r.</w:t>
      </w:r>
      <w:bookmarkEnd w:id="246"/>
      <w:bookmarkEnd w:id="247"/>
    </w:p>
    <w:p w14:paraId="18002872" w14:textId="77777777" w:rsidR="00B83214" w:rsidRPr="001062B0" w:rsidRDefault="00B83214" w:rsidP="00B83214">
      <w:pPr>
        <w:pStyle w:val="rdo"/>
      </w:pPr>
      <w:r w:rsidRPr="001062B0">
        <w:t>Źródło:</w:t>
      </w:r>
      <w:r w:rsidRPr="001062B0">
        <w:tab/>
      </w:r>
      <w:r>
        <w:t xml:space="preserve"> </w:t>
      </w:r>
      <w:r w:rsidRPr="001062B0">
        <w:t>Roczna ocena jakości powietrza w województwie zachodniopomorskim - raport wojewód</w:t>
      </w:r>
      <w:r>
        <w:t xml:space="preserve">zki za rok 2020. GIOŚ, Szczecin; </w:t>
      </w:r>
      <w:hyperlink r:id="rId71" w:history="1">
        <w:r w:rsidRPr="008D2F0E">
          <w:rPr>
            <w:rStyle w:val="Hipercze"/>
          </w:rPr>
          <w:t>https://powietrze.gios.gov.pl/pjp/rwms/publications/card/1426</w:t>
        </w:r>
      </w:hyperlink>
      <w:r>
        <w:t>; (dostęp z dn.: 06.05.2022)</w:t>
      </w:r>
    </w:p>
    <w:p w14:paraId="591C6F03" w14:textId="17F71814" w:rsidR="00B83214" w:rsidRPr="001062B0" w:rsidRDefault="00B83214" w:rsidP="00B83214">
      <w:pPr>
        <w:spacing w:before="240" w:after="0"/>
        <w:rPr>
          <w:i/>
          <w:szCs w:val="24"/>
        </w:rPr>
      </w:pPr>
      <w:r w:rsidRPr="001062B0">
        <w:rPr>
          <w:bCs/>
          <w:szCs w:val="24"/>
        </w:rPr>
        <w:t>W 2020 roku roczna suma opadów atmosferycznych w Szczecinie wynosiła 483,2</w:t>
      </w:r>
      <w:r>
        <w:rPr>
          <w:bCs/>
          <w:szCs w:val="24"/>
        </w:rPr>
        <w:t xml:space="preserve"> </w:t>
      </w:r>
      <w:r w:rsidRPr="001062B0">
        <w:rPr>
          <w:bCs/>
          <w:szCs w:val="24"/>
        </w:rPr>
        <w:t>mm. Najwyższą wartość opadów odnotowano we wrześniu (wysokość opadu atmosferycznego na poziomie 69,9 mm), natomiast najniższą wartość opadu atmosferycznego zanotowano w listopadzie (12,9 mm). Rozkład wysokości opadu atmosferycznego w Szczecinie w roku 2020 przedstawiono na rysunku poniżej (</w:t>
      </w:r>
      <w:r w:rsidRPr="001062B0">
        <w:rPr>
          <w:bCs/>
          <w:szCs w:val="24"/>
        </w:rPr>
        <w:fldChar w:fldCharType="begin"/>
      </w:r>
      <w:r w:rsidRPr="001062B0">
        <w:rPr>
          <w:bCs/>
          <w:szCs w:val="24"/>
        </w:rPr>
        <w:instrText xml:space="preserve"> REF _Ref102739860 \h  \* MERGEFORMAT </w:instrText>
      </w:r>
      <w:r w:rsidRPr="001062B0">
        <w:rPr>
          <w:bCs/>
          <w:szCs w:val="24"/>
        </w:rPr>
      </w:r>
      <w:r w:rsidRPr="001062B0">
        <w:rPr>
          <w:bCs/>
          <w:szCs w:val="24"/>
        </w:rPr>
        <w:fldChar w:fldCharType="separate"/>
      </w:r>
      <w:r w:rsidR="002B5007" w:rsidRPr="002B5007">
        <w:rPr>
          <w:bCs/>
          <w:szCs w:val="24"/>
        </w:rPr>
        <w:t xml:space="preserve">Rysunek </w:t>
      </w:r>
      <w:r w:rsidR="002B5007" w:rsidRPr="002B5007">
        <w:rPr>
          <w:bCs/>
          <w:noProof/>
          <w:szCs w:val="24"/>
        </w:rPr>
        <w:t>24</w:t>
      </w:r>
      <w:r w:rsidRPr="001062B0">
        <w:rPr>
          <w:bCs/>
          <w:szCs w:val="24"/>
        </w:rPr>
        <w:fldChar w:fldCharType="end"/>
      </w:r>
      <w:r w:rsidRPr="001062B0">
        <w:rPr>
          <w:bCs/>
          <w:szCs w:val="24"/>
        </w:rPr>
        <w:t>).</w:t>
      </w:r>
    </w:p>
    <w:p w14:paraId="32DB9883" w14:textId="77777777" w:rsidR="00B83214" w:rsidRPr="001062B0" w:rsidRDefault="00B83214" w:rsidP="00B83214">
      <w:pPr>
        <w:keepNext/>
        <w:spacing w:line="276" w:lineRule="auto"/>
        <w:rPr>
          <w:rFonts w:cstheme="minorHAnsi"/>
          <w:sz w:val="22"/>
          <w:szCs w:val="24"/>
        </w:rPr>
      </w:pPr>
      <w:r w:rsidRPr="001062B0">
        <w:rPr>
          <w:noProof/>
          <w:sz w:val="22"/>
          <w:lang w:eastAsia="pl-PL"/>
        </w:rPr>
        <w:drawing>
          <wp:inline distT="0" distB="0" distL="0" distR="0" wp14:anchorId="0ED1AA32" wp14:editId="1C7AE94D">
            <wp:extent cx="5723440" cy="2415396"/>
            <wp:effectExtent l="0" t="0" r="0" b="444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21706" t="33117" r="12876" b="20964"/>
                    <a:stretch/>
                  </pic:blipFill>
                  <pic:spPr bwMode="auto">
                    <a:xfrm>
                      <a:off x="0" y="0"/>
                      <a:ext cx="5734742" cy="2420166"/>
                    </a:xfrm>
                    <a:prstGeom prst="rect">
                      <a:avLst/>
                    </a:prstGeom>
                    <a:ln>
                      <a:noFill/>
                    </a:ln>
                    <a:extLst>
                      <a:ext uri="{53640926-AAD7-44D8-BBD7-CCE9431645EC}">
                        <a14:shadowObscured xmlns:a14="http://schemas.microsoft.com/office/drawing/2010/main"/>
                      </a:ext>
                    </a:extLst>
                  </pic:spPr>
                </pic:pic>
              </a:graphicData>
            </a:graphic>
          </wp:inline>
        </w:drawing>
      </w:r>
    </w:p>
    <w:p w14:paraId="2D76ABF0" w14:textId="77777777" w:rsidR="00B83214" w:rsidRPr="001062B0" w:rsidRDefault="00B83214" w:rsidP="00B83214">
      <w:pPr>
        <w:pStyle w:val="Podpispodrysunkiem"/>
      </w:pPr>
      <w:bookmarkStart w:id="248" w:name="_Ref102739860"/>
      <w:bookmarkStart w:id="249" w:name="_Toc97537984"/>
      <w:bookmarkStart w:id="250" w:name="_Toc104790126"/>
      <w:r w:rsidRPr="001062B0">
        <w:t xml:space="preserve">Rysunek </w:t>
      </w:r>
      <w:r>
        <w:fldChar w:fldCharType="begin"/>
      </w:r>
      <w:r>
        <w:instrText>SEQ Rysunek \* ARABIC</w:instrText>
      </w:r>
      <w:r>
        <w:fldChar w:fldCharType="separate"/>
      </w:r>
      <w:r w:rsidR="002B5007">
        <w:rPr>
          <w:noProof/>
        </w:rPr>
        <w:t>24</w:t>
      </w:r>
      <w:r>
        <w:fldChar w:fldCharType="end"/>
      </w:r>
      <w:bookmarkEnd w:id="248"/>
      <w:r w:rsidRPr="001062B0">
        <w:t xml:space="preserve"> Rozkład miesięczny wysokości opadu atmosferycznego uzyskany w Szczecinie w roku 2020</w:t>
      </w:r>
      <w:bookmarkEnd w:id="249"/>
      <w:bookmarkEnd w:id="250"/>
    </w:p>
    <w:p w14:paraId="3CAEE191" w14:textId="77777777" w:rsidR="00B83214" w:rsidRPr="001062B0" w:rsidRDefault="00B83214" w:rsidP="00B83214">
      <w:pPr>
        <w:pStyle w:val="rdo"/>
      </w:pPr>
      <w:r w:rsidRPr="001062B0">
        <w:t>Źródło:</w:t>
      </w:r>
      <w:r>
        <w:t xml:space="preserve"> </w:t>
      </w:r>
      <w:r w:rsidRPr="001062B0">
        <w:t>Roczna ocena jakości powietrza w województwie zachodniopomorskim - raport wojewód</w:t>
      </w:r>
      <w:r>
        <w:t xml:space="preserve">zki za rok 2020. GIOŚ, Szczecin; </w:t>
      </w:r>
      <w:hyperlink r:id="rId73" w:history="1">
        <w:r w:rsidRPr="008D2F0E">
          <w:rPr>
            <w:rStyle w:val="Hipercze"/>
          </w:rPr>
          <w:t>https://powietrze.gios.gov.pl/pjp/rwms/publications/card/1426</w:t>
        </w:r>
      </w:hyperlink>
      <w:r>
        <w:t>; (</w:t>
      </w:r>
      <w:r w:rsidRPr="001062B0">
        <w:t>dostęp</w:t>
      </w:r>
      <w:r>
        <w:t xml:space="preserve"> z dn.: 06.05.2022)</w:t>
      </w:r>
    </w:p>
    <w:p w14:paraId="37875879" w14:textId="77777777" w:rsidR="00B83214" w:rsidRPr="00B83214" w:rsidRDefault="00B83214" w:rsidP="00B83214">
      <w:pPr>
        <w:pStyle w:val="Nagwek1"/>
        <w:numPr>
          <w:ilvl w:val="0"/>
          <w:numId w:val="61"/>
        </w:numPr>
        <w:rPr>
          <w:sz w:val="24"/>
          <w:szCs w:val="20"/>
        </w:rPr>
      </w:pPr>
      <w:bookmarkStart w:id="251" w:name="_Toc104790662"/>
      <w:r w:rsidRPr="00B83214">
        <w:rPr>
          <w:sz w:val="24"/>
          <w:szCs w:val="20"/>
        </w:rPr>
        <w:t>ZASOBY NATURALNE</w:t>
      </w:r>
      <w:bookmarkEnd w:id="251"/>
    </w:p>
    <w:p w14:paraId="5E59EC9A" w14:textId="77777777" w:rsidR="00B83214" w:rsidRPr="00511D0D" w:rsidRDefault="00B83214" w:rsidP="00B83214">
      <w:pPr>
        <w:spacing w:after="0"/>
      </w:pPr>
      <w:r w:rsidRPr="00511D0D">
        <w:t xml:space="preserve">Zasoby surowców naturalnych na obszarze województwa </w:t>
      </w:r>
      <w:r>
        <w:t>zach</w:t>
      </w:r>
      <w:r w:rsidRPr="00511D0D">
        <w:t xml:space="preserve">odniopomorskiego charakteryzują się różnorodnością i zróżnicowaną </w:t>
      </w:r>
      <w:r>
        <w:t xml:space="preserve">ich wielkością. </w:t>
      </w:r>
      <w:r w:rsidRPr="00511D0D">
        <w:t>Według stanu na 31.12.2020</w:t>
      </w:r>
      <w:r>
        <w:t xml:space="preserve"> </w:t>
      </w:r>
      <w:r w:rsidRPr="00511D0D">
        <w:t>r.</w:t>
      </w:r>
      <w:r w:rsidRPr="00511D0D">
        <w:rPr>
          <w:vertAlign w:val="superscript"/>
        </w:rPr>
        <w:footnoteReference w:id="141"/>
      </w:r>
      <w:r w:rsidRPr="00511D0D">
        <w:t xml:space="preserve"> udokumentowano występowanie następujących podstawowych grup surowców:</w:t>
      </w:r>
    </w:p>
    <w:p w14:paraId="3AD6B732" w14:textId="77777777" w:rsidR="00B83214" w:rsidRPr="00511D0D" w:rsidRDefault="00B83214" w:rsidP="00B83214">
      <w:pPr>
        <w:numPr>
          <w:ilvl w:val="0"/>
          <w:numId w:val="13"/>
        </w:numPr>
        <w:spacing w:before="40" w:after="40"/>
        <w:ind w:left="708"/>
        <w:jc w:val="both"/>
        <w:rPr>
          <w:szCs w:val="24"/>
        </w:rPr>
      </w:pPr>
      <w:r w:rsidRPr="00511D0D">
        <w:rPr>
          <w:szCs w:val="24"/>
        </w:rPr>
        <w:t>Surowce energetyczne: azotowy gaz ziemny, gaz ziemny, ropa naftowa</w:t>
      </w:r>
    </w:p>
    <w:p w14:paraId="5A3EDE8A" w14:textId="77777777" w:rsidR="00B83214" w:rsidRPr="00511D0D" w:rsidRDefault="00B83214" w:rsidP="00B83214">
      <w:pPr>
        <w:numPr>
          <w:ilvl w:val="0"/>
          <w:numId w:val="13"/>
        </w:numPr>
        <w:spacing w:before="40" w:after="40"/>
        <w:ind w:left="708"/>
        <w:jc w:val="both"/>
        <w:rPr>
          <w:szCs w:val="24"/>
        </w:rPr>
      </w:pPr>
      <w:r w:rsidRPr="00511D0D">
        <w:rPr>
          <w:szCs w:val="24"/>
        </w:rPr>
        <w:t>Surowce chemiczne: siarka</w:t>
      </w:r>
    </w:p>
    <w:p w14:paraId="38EC4B1F" w14:textId="77777777" w:rsidR="00B83214" w:rsidRPr="00511D0D" w:rsidRDefault="00B83214" w:rsidP="00B83214">
      <w:pPr>
        <w:numPr>
          <w:ilvl w:val="0"/>
          <w:numId w:val="13"/>
        </w:numPr>
        <w:spacing w:before="40" w:after="40"/>
        <w:ind w:left="708"/>
        <w:jc w:val="both"/>
        <w:rPr>
          <w:szCs w:val="24"/>
        </w:rPr>
      </w:pPr>
      <w:r w:rsidRPr="00511D0D">
        <w:rPr>
          <w:szCs w:val="24"/>
        </w:rPr>
        <w:t>Wody podziemne zaliczane do kopalin: wody lecznicze i termalne</w:t>
      </w:r>
    </w:p>
    <w:p w14:paraId="5C0AA8D2" w14:textId="77777777" w:rsidR="00B83214" w:rsidRPr="00511D0D" w:rsidRDefault="00B83214" w:rsidP="00B83214">
      <w:pPr>
        <w:numPr>
          <w:ilvl w:val="0"/>
          <w:numId w:val="13"/>
        </w:numPr>
        <w:spacing w:before="40" w:after="40"/>
        <w:jc w:val="both"/>
        <w:rPr>
          <w:szCs w:val="24"/>
        </w:rPr>
      </w:pPr>
      <w:r w:rsidRPr="00511D0D">
        <w:rPr>
          <w:szCs w:val="24"/>
        </w:rPr>
        <w:t>Surowce skalne:</w:t>
      </w:r>
    </w:p>
    <w:p w14:paraId="1FFB61D9" w14:textId="77777777" w:rsidR="00B83214" w:rsidRPr="00511D0D" w:rsidRDefault="00B83214" w:rsidP="00B83214">
      <w:pPr>
        <w:numPr>
          <w:ilvl w:val="0"/>
          <w:numId w:val="14"/>
        </w:numPr>
        <w:spacing w:before="40" w:after="40"/>
        <w:contextualSpacing/>
        <w:rPr>
          <w:szCs w:val="24"/>
        </w:rPr>
      </w:pPr>
      <w:r w:rsidRPr="00511D0D">
        <w:rPr>
          <w:szCs w:val="24"/>
        </w:rPr>
        <w:t>Kamienie łamane i bloczne</w:t>
      </w:r>
      <w:r>
        <w:rPr>
          <w:szCs w:val="24"/>
        </w:rPr>
        <w:t>;</w:t>
      </w:r>
    </w:p>
    <w:p w14:paraId="09E58858" w14:textId="77777777" w:rsidR="00B83214" w:rsidRPr="00511D0D" w:rsidRDefault="00B83214" w:rsidP="00B83214">
      <w:pPr>
        <w:numPr>
          <w:ilvl w:val="0"/>
          <w:numId w:val="14"/>
        </w:numPr>
        <w:spacing w:before="40" w:after="40"/>
        <w:contextualSpacing/>
        <w:rPr>
          <w:szCs w:val="24"/>
        </w:rPr>
      </w:pPr>
      <w:r w:rsidRPr="00511D0D">
        <w:rPr>
          <w:szCs w:val="24"/>
        </w:rPr>
        <w:t>Kredy jeziorna i kreda pisząca</w:t>
      </w:r>
      <w:r>
        <w:rPr>
          <w:szCs w:val="24"/>
        </w:rPr>
        <w:t>;</w:t>
      </w:r>
    </w:p>
    <w:p w14:paraId="45AC4886" w14:textId="77777777" w:rsidR="00B83214" w:rsidRPr="00511D0D" w:rsidRDefault="00B83214" w:rsidP="00B83214">
      <w:pPr>
        <w:numPr>
          <w:ilvl w:val="0"/>
          <w:numId w:val="14"/>
        </w:numPr>
        <w:spacing w:before="40" w:after="40"/>
        <w:contextualSpacing/>
        <w:rPr>
          <w:szCs w:val="24"/>
        </w:rPr>
      </w:pPr>
      <w:r w:rsidRPr="00511D0D">
        <w:rPr>
          <w:szCs w:val="24"/>
        </w:rPr>
        <w:t>Piaski formierskie</w:t>
      </w:r>
      <w:r>
        <w:rPr>
          <w:szCs w:val="24"/>
        </w:rPr>
        <w:t>;</w:t>
      </w:r>
    </w:p>
    <w:p w14:paraId="7D670B20" w14:textId="77777777" w:rsidR="00B83214" w:rsidRPr="00511D0D" w:rsidRDefault="00B83214" w:rsidP="00B83214">
      <w:pPr>
        <w:numPr>
          <w:ilvl w:val="0"/>
          <w:numId w:val="14"/>
        </w:numPr>
        <w:spacing w:before="40" w:after="40"/>
        <w:contextualSpacing/>
        <w:rPr>
          <w:szCs w:val="24"/>
        </w:rPr>
      </w:pPr>
      <w:r w:rsidRPr="00511D0D">
        <w:rPr>
          <w:szCs w:val="24"/>
        </w:rPr>
        <w:t>Piaski i żwiry</w:t>
      </w:r>
      <w:r>
        <w:rPr>
          <w:szCs w:val="24"/>
        </w:rPr>
        <w:t>;</w:t>
      </w:r>
    </w:p>
    <w:p w14:paraId="7522D1A5" w14:textId="77777777" w:rsidR="00B83214" w:rsidRPr="00511D0D" w:rsidRDefault="00B83214" w:rsidP="00B83214">
      <w:pPr>
        <w:numPr>
          <w:ilvl w:val="0"/>
          <w:numId w:val="14"/>
        </w:numPr>
        <w:spacing w:before="40" w:after="40"/>
        <w:contextualSpacing/>
        <w:rPr>
          <w:szCs w:val="24"/>
        </w:rPr>
      </w:pPr>
      <w:r w:rsidRPr="00511D0D">
        <w:rPr>
          <w:szCs w:val="24"/>
        </w:rPr>
        <w:t>Piaski kwarcowe do produkcji betonów komórkowych</w:t>
      </w:r>
      <w:r>
        <w:rPr>
          <w:szCs w:val="24"/>
        </w:rPr>
        <w:t>;</w:t>
      </w:r>
    </w:p>
    <w:p w14:paraId="53D18CEB" w14:textId="77777777" w:rsidR="00B83214" w:rsidRPr="00511D0D" w:rsidRDefault="00B83214" w:rsidP="00B83214">
      <w:pPr>
        <w:numPr>
          <w:ilvl w:val="0"/>
          <w:numId w:val="14"/>
        </w:numPr>
        <w:spacing w:before="40" w:after="40"/>
        <w:contextualSpacing/>
        <w:rPr>
          <w:szCs w:val="24"/>
        </w:rPr>
      </w:pPr>
      <w:r w:rsidRPr="00511D0D">
        <w:rPr>
          <w:szCs w:val="24"/>
        </w:rPr>
        <w:t>Piaski kwarcowe do produkcji cegły wapienno-piaskowej</w:t>
      </w:r>
      <w:r>
        <w:rPr>
          <w:szCs w:val="24"/>
        </w:rPr>
        <w:t>;</w:t>
      </w:r>
    </w:p>
    <w:p w14:paraId="2917F574" w14:textId="77777777" w:rsidR="00B83214" w:rsidRPr="00511D0D" w:rsidRDefault="00B83214" w:rsidP="00B83214">
      <w:pPr>
        <w:numPr>
          <w:ilvl w:val="0"/>
          <w:numId w:val="14"/>
        </w:numPr>
        <w:spacing w:before="40" w:after="40"/>
        <w:contextualSpacing/>
        <w:rPr>
          <w:szCs w:val="24"/>
        </w:rPr>
      </w:pPr>
      <w:r w:rsidRPr="00511D0D">
        <w:rPr>
          <w:szCs w:val="24"/>
        </w:rPr>
        <w:t>Surowce dla prac inżynierskich</w:t>
      </w:r>
      <w:r>
        <w:rPr>
          <w:szCs w:val="24"/>
        </w:rPr>
        <w:t>;</w:t>
      </w:r>
    </w:p>
    <w:p w14:paraId="17303411" w14:textId="77777777" w:rsidR="00B83214" w:rsidRPr="00511D0D" w:rsidRDefault="00B83214" w:rsidP="00B83214">
      <w:pPr>
        <w:numPr>
          <w:ilvl w:val="0"/>
          <w:numId w:val="14"/>
        </w:numPr>
        <w:spacing w:before="40" w:after="40"/>
        <w:contextualSpacing/>
        <w:rPr>
          <w:szCs w:val="24"/>
        </w:rPr>
      </w:pPr>
      <w:r w:rsidRPr="00511D0D">
        <w:rPr>
          <w:szCs w:val="24"/>
        </w:rPr>
        <w:t>Surowce ilaste ceramiki budowlanej</w:t>
      </w:r>
      <w:r>
        <w:rPr>
          <w:szCs w:val="24"/>
        </w:rPr>
        <w:t>;</w:t>
      </w:r>
    </w:p>
    <w:p w14:paraId="2F4A2A3F" w14:textId="77777777" w:rsidR="00B83214" w:rsidRPr="00511D0D" w:rsidRDefault="00B83214" w:rsidP="00B83214">
      <w:pPr>
        <w:numPr>
          <w:ilvl w:val="0"/>
          <w:numId w:val="14"/>
        </w:numPr>
        <w:spacing w:before="40" w:after="40"/>
        <w:contextualSpacing/>
        <w:rPr>
          <w:szCs w:val="24"/>
        </w:rPr>
      </w:pPr>
      <w:r w:rsidRPr="00511D0D">
        <w:rPr>
          <w:szCs w:val="24"/>
        </w:rPr>
        <w:t>Surowce ilaste do produkcji kruszywa lekkiego</w:t>
      </w:r>
      <w:r>
        <w:rPr>
          <w:szCs w:val="24"/>
        </w:rPr>
        <w:t>;</w:t>
      </w:r>
    </w:p>
    <w:p w14:paraId="4B4383F5" w14:textId="77777777" w:rsidR="00B83214" w:rsidRPr="00511D0D" w:rsidRDefault="00B83214" w:rsidP="00B83214">
      <w:pPr>
        <w:numPr>
          <w:ilvl w:val="0"/>
          <w:numId w:val="14"/>
        </w:numPr>
        <w:spacing w:before="40" w:after="40"/>
        <w:contextualSpacing/>
        <w:rPr>
          <w:szCs w:val="24"/>
        </w:rPr>
      </w:pPr>
      <w:r w:rsidRPr="00511D0D">
        <w:rPr>
          <w:szCs w:val="24"/>
        </w:rPr>
        <w:t>Surowce szklarskie</w:t>
      </w:r>
      <w:r>
        <w:rPr>
          <w:szCs w:val="24"/>
        </w:rPr>
        <w:t>;</w:t>
      </w:r>
    </w:p>
    <w:p w14:paraId="782A3C5F" w14:textId="77777777" w:rsidR="00B83214" w:rsidRPr="00511D0D" w:rsidRDefault="00B83214" w:rsidP="00B83214">
      <w:pPr>
        <w:numPr>
          <w:ilvl w:val="0"/>
          <w:numId w:val="14"/>
        </w:numPr>
        <w:spacing w:before="40" w:after="40"/>
        <w:contextualSpacing/>
        <w:rPr>
          <w:szCs w:val="24"/>
        </w:rPr>
      </w:pPr>
      <w:r w:rsidRPr="00511D0D">
        <w:rPr>
          <w:szCs w:val="24"/>
        </w:rPr>
        <w:t>Torfy</w:t>
      </w:r>
      <w:r>
        <w:rPr>
          <w:szCs w:val="24"/>
        </w:rPr>
        <w:t>;</w:t>
      </w:r>
    </w:p>
    <w:p w14:paraId="075AF7B6" w14:textId="77777777" w:rsidR="00B83214" w:rsidRPr="00511D0D" w:rsidRDefault="00B83214" w:rsidP="00B83214">
      <w:pPr>
        <w:numPr>
          <w:ilvl w:val="0"/>
          <w:numId w:val="14"/>
        </w:numPr>
        <w:spacing w:before="40" w:after="40"/>
        <w:contextualSpacing/>
        <w:rPr>
          <w:szCs w:val="24"/>
        </w:rPr>
      </w:pPr>
      <w:r w:rsidRPr="00511D0D">
        <w:rPr>
          <w:szCs w:val="24"/>
        </w:rPr>
        <w:t>Borowiny</w:t>
      </w:r>
      <w:r>
        <w:rPr>
          <w:szCs w:val="24"/>
        </w:rPr>
        <w:t>;</w:t>
      </w:r>
    </w:p>
    <w:p w14:paraId="47DDA382" w14:textId="77777777" w:rsidR="00B83214" w:rsidRPr="00511D0D" w:rsidRDefault="00B83214" w:rsidP="00B83214">
      <w:pPr>
        <w:numPr>
          <w:ilvl w:val="0"/>
          <w:numId w:val="14"/>
        </w:numPr>
        <w:spacing w:before="40" w:after="40"/>
        <w:contextualSpacing/>
        <w:rPr>
          <w:szCs w:val="24"/>
        </w:rPr>
      </w:pPr>
      <w:r w:rsidRPr="00511D0D">
        <w:rPr>
          <w:szCs w:val="24"/>
        </w:rPr>
        <w:t>Wapienie i margle dla przemysłu cementowego</w:t>
      </w:r>
      <w:r>
        <w:rPr>
          <w:szCs w:val="24"/>
        </w:rPr>
        <w:t>.</w:t>
      </w:r>
    </w:p>
    <w:p w14:paraId="1CD69A61" w14:textId="6C363358" w:rsidR="00B83214" w:rsidRPr="00511D0D" w:rsidRDefault="00B83214" w:rsidP="00B83214">
      <w:r w:rsidRPr="00511D0D">
        <w:t>Lokalizację złóż w granicach województwa zachodniopomorskiego przedstawiono na rysunku poniżej (</w:t>
      </w:r>
      <w:r w:rsidRPr="00511D0D">
        <w:fldChar w:fldCharType="begin"/>
      </w:r>
      <w:r w:rsidRPr="00511D0D">
        <w:instrText xml:space="preserve"> REF _Ref66619535 \h  \* MERGEFORMAT </w:instrText>
      </w:r>
      <w:r w:rsidRPr="00511D0D">
        <w:fldChar w:fldCharType="separate"/>
      </w:r>
      <w:r w:rsidR="002B5007" w:rsidRPr="00511D0D">
        <w:t xml:space="preserve">Rysunek </w:t>
      </w:r>
      <w:r w:rsidR="002B5007">
        <w:rPr>
          <w:noProof/>
        </w:rPr>
        <w:t>25</w:t>
      </w:r>
      <w:r w:rsidRPr="00511D0D">
        <w:fldChar w:fldCharType="end"/>
      </w:r>
      <w:r w:rsidRPr="00511D0D">
        <w:t>).</w:t>
      </w:r>
    </w:p>
    <w:p w14:paraId="6FED4125" w14:textId="77777777" w:rsidR="00B83214" w:rsidRPr="00511D0D" w:rsidRDefault="00B83214" w:rsidP="00B83214">
      <w:pPr>
        <w:spacing w:line="276" w:lineRule="auto"/>
        <w:jc w:val="center"/>
        <w:rPr>
          <w:sz w:val="22"/>
          <w:highlight w:val="red"/>
        </w:rPr>
      </w:pPr>
      <w:r w:rsidRPr="00511D0D">
        <w:rPr>
          <w:noProof/>
          <w:sz w:val="22"/>
          <w:lang w:eastAsia="pl-PL"/>
        </w:rPr>
        <w:drawing>
          <wp:inline distT="0" distB="0" distL="0" distR="0" wp14:anchorId="3254FE19" wp14:editId="01A4D7BB">
            <wp:extent cx="4864608" cy="3442548"/>
            <wp:effectExtent l="0" t="0" r="0" b="571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C1E8D.tmp"/>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870385" cy="3446636"/>
                    </a:xfrm>
                    <a:prstGeom prst="rect">
                      <a:avLst/>
                    </a:prstGeom>
                  </pic:spPr>
                </pic:pic>
              </a:graphicData>
            </a:graphic>
          </wp:inline>
        </w:drawing>
      </w:r>
    </w:p>
    <w:p w14:paraId="7BE91456" w14:textId="77777777" w:rsidR="00B83214" w:rsidRPr="00511D0D" w:rsidRDefault="00B83214" w:rsidP="00B83214">
      <w:pPr>
        <w:pStyle w:val="Podpispodrysunkiem"/>
      </w:pPr>
      <w:bookmarkStart w:id="252" w:name="_Ref66619535"/>
      <w:bookmarkStart w:id="253" w:name="_Toc68068889"/>
      <w:bookmarkStart w:id="254" w:name="_Toc97537985"/>
      <w:bookmarkStart w:id="255" w:name="_Toc104790127"/>
      <w:r w:rsidRPr="00511D0D">
        <w:t xml:space="preserve">Rysunek </w:t>
      </w:r>
      <w:r>
        <w:fldChar w:fldCharType="begin"/>
      </w:r>
      <w:r>
        <w:instrText>SEQ Rysunek \* ARABIC</w:instrText>
      </w:r>
      <w:r>
        <w:fldChar w:fldCharType="separate"/>
      </w:r>
      <w:r w:rsidR="002B5007">
        <w:rPr>
          <w:noProof/>
        </w:rPr>
        <w:t>25</w:t>
      </w:r>
      <w:r>
        <w:fldChar w:fldCharType="end"/>
      </w:r>
      <w:bookmarkEnd w:id="252"/>
      <w:r w:rsidRPr="00511D0D">
        <w:t xml:space="preserve"> Lokalizacja złóż w granicach województwa zachodniopomorskiego wg stanu na 05.202</w:t>
      </w:r>
      <w:bookmarkEnd w:id="253"/>
      <w:r w:rsidRPr="00511D0D">
        <w:t>2</w:t>
      </w:r>
      <w:bookmarkEnd w:id="254"/>
      <w:bookmarkEnd w:id="255"/>
    </w:p>
    <w:p w14:paraId="37BE16A9" w14:textId="77777777" w:rsidR="00B83214" w:rsidRPr="00511D0D" w:rsidRDefault="00B83214" w:rsidP="00B83214">
      <w:pPr>
        <w:pStyle w:val="rdo"/>
      </w:pPr>
      <w:r w:rsidRPr="00511D0D">
        <w:t>Źródło: Centralna Baza Danych Geologicznych, Państwowy Instytut Badawczy</w:t>
      </w:r>
    </w:p>
    <w:p w14:paraId="12782F22" w14:textId="77777777" w:rsidR="00B83214" w:rsidRPr="00511D0D" w:rsidRDefault="00B83214" w:rsidP="00B83214">
      <w:r w:rsidRPr="00511D0D">
        <w:t>Spośród złóż surowców energetycznych zidentyfikowanych w granicach województwa zachodniopomorskiego można wymienić gaz azotowy, gaz ziemny, ropa naftowa (udział województwa w wydobyciu krajowym stanowi o</w:t>
      </w:r>
      <w:r>
        <w:t>k. 10% gazu ziemnego i ok. 36,5</w:t>
      </w:r>
      <w:r w:rsidRPr="00511D0D">
        <w:t>% ropy naftowej). Na Pomorzu Zachodnim złoża gazu ziemnego występują w utworach karbonu i permu. W tym obszarze jedynie kilka złóż zawiera gaz wysokometanowy, w pozostałych złożach dominuje gaz ziemny zaazotowany, zawierający od 30</w:t>
      </w:r>
      <w:r>
        <w:t>%</w:t>
      </w:r>
      <w:r w:rsidRPr="00511D0D">
        <w:t xml:space="preserve"> do ponad 80% metanu. Jest to często mieszanina metanowo-azotowa albo azotowo-metanowa. Złoża, w których gaz ziemny za</w:t>
      </w:r>
      <w:r>
        <w:t>wiera ponad 90% azotu, określane są</w:t>
      </w:r>
      <w:r w:rsidRPr="00511D0D">
        <w:t xml:space="preserve"> nazwą „azotowy gaz ziemny”. W udokumentowanych złożach Niżu Polskiego (w tym na Pomorzu Zachodnim) występuje obecnie 73,4% wydobywanych zasobów gazu ziemnego w kraju. Aktualnie wydobycie azotowego gazu ziemnego prowadzi się tylko w województwie zachodniopomorskim ze złoża Cychry. W 2018 r. wydobycie wyniosło 10,18 mln m</w:t>
      </w:r>
      <w:r w:rsidRPr="00511D0D">
        <w:rPr>
          <w:vertAlign w:val="superscript"/>
        </w:rPr>
        <w:t>3</w:t>
      </w:r>
      <w:r w:rsidRPr="00511D0D">
        <w:t>, co stanowiło 100% wydobycia krajowego. Głównym regionem występowania złóż gazu ziemnego w kraju jest Niż Polski, a złoże ropy naftowej i gazu ziemnego Barnówko-Mostno-Buszewo (BMB) zlokalizowane na pograniczu województw zachodniopomorskiego i lubuskiego uważane jest za największe w Polsce.</w:t>
      </w:r>
    </w:p>
    <w:p w14:paraId="27B4E7BF" w14:textId="77777777" w:rsidR="00B83214" w:rsidRPr="00511D0D" w:rsidRDefault="00B83214" w:rsidP="00B83214">
      <w:r w:rsidRPr="00511D0D">
        <w:t>Obecnie w Polsce zasoby ropy naftowej są na wyczerpaniu, a największe znaczenie gospodarcze mają złoża ropy naftowej występujące również na Niżu Polskim, w tym na Pomorzu Zachodnim, do których zalicza się Barnówko-Mostno-Buszewo koło Gorzowa Wielkopolskiego, Cychry. Udokumentowane złoża ropy naftowej na Niżu Polskim występują w utworach permu, karbonu i kambru. Złoża te w większości należą do masywowych, z pasywną wodą podścielającą, o gazowo-ekspansywnych warunkach produkcji.</w:t>
      </w:r>
    </w:p>
    <w:p w14:paraId="622B4D4C" w14:textId="77777777" w:rsidR="00B83214" w:rsidRPr="00511D0D" w:rsidRDefault="00B83214" w:rsidP="00B83214">
      <w:r w:rsidRPr="00511D0D">
        <w:t xml:space="preserve">Zasoby chemicznych surowców w województwie zachodniopomorskim to siarka występująca w trzech złożach zasiarczonej ropy naftowej i gazu ziemnego: Barnówko – Mostno – Buszewo, Cychry, Zielin. W wyniku odsiarczania złóż gazu ziemnego i ropy naftowej uzyskano w kraju 4,74 tys. t siarki, z czego 23,6 tys. t ze złoża BMB (Barnówko – Mostno – Buszewo). </w:t>
      </w:r>
    </w:p>
    <w:p w14:paraId="32413E51" w14:textId="5D8A2920" w:rsidR="00B83214" w:rsidRPr="00511D0D" w:rsidRDefault="00B83214" w:rsidP="00B83214">
      <w:pPr>
        <w:rPr>
          <w:szCs w:val="22"/>
        </w:rPr>
      </w:pPr>
      <w:r w:rsidRPr="00511D0D">
        <w:t>Województwo zachodniopomorskie posiada zasoby wód podziemnych zaliczonych do kopalin (solanek, wód leczniczych i wód termalnych)</w:t>
      </w:r>
      <w:r w:rsidRPr="00511D0D">
        <w:rPr>
          <w:vertAlign w:val="superscript"/>
        </w:rPr>
        <w:footnoteReference w:id="142"/>
      </w:r>
      <w:r>
        <w:t>. Eksploatowanych jest 7</w:t>
      </w:r>
      <w:r w:rsidRPr="00511D0D">
        <w:t xml:space="preserve"> złóż wód podziemnych z 10 złóż. Złoża zlokalizowane są w obrębie powiatów: kamieński, koszaliński, kołobrzeski, świdwiński, pyrzycki, starogardzki, gryficki i m. Świnoujście. W 2020 roku ł</w:t>
      </w:r>
      <w:r w:rsidRPr="00511D0D">
        <w:rPr>
          <w:szCs w:val="22"/>
        </w:rPr>
        <w:t>ączny pobór wyniósł 2 452 135 m</w:t>
      </w:r>
      <w:r w:rsidRPr="00511D0D">
        <w:rPr>
          <w:szCs w:val="22"/>
          <w:vertAlign w:val="superscript"/>
        </w:rPr>
        <w:t>3</w:t>
      </w:r>
      <w:r w:rsidRPr="00511D0D">
        <w:rPr>
          <w:szCs w:val="22"/>
        </w:rPr>
        <w:t>/rok</w:t>
      </w:r>
      <w:r w:rsidRPr="00511D0D">
        <w:t xml:space="preserve"> (</w:t>
      </w:r>
      <w:r w:rsidRPr="00511D0D">
        <w:fldChar w:fldCharType="begin"/>
      </w:r>
      <w:r w:rsidRPr="00511D0D">
        <w:instrText xml:space="preserve"> REF _Ref60065847 \h  \* MERGEFORMAT </w:instrText>
      </w:r>
      <w:r w:rsidRPr="00511D0D">
        <w:fldChar w:fldCharType="separate"/>
      </w:r>
      <w:r w:rsidR="002B5007" w:rsidRPr="002B5007">
        <w:rPr>
          <w:szCs w:val="16"/>
        </w:rPr>
        <w:t xml:space="preserve">Tabela </w:t>
      </w:r>
      <w:r w:rsidR="002B5007" w:rsidRPr="002B5007">
        <w:rPr>
          <w:noProof/>
          <w:szCs w:val="16"/>
        </w:rPr>
        <w:t>25</w:t>
      </w:r>
      <w:r w:rsidRPr="00511D0D">
        <w:fldChar w:fldCharType="end"/>
      </w:r>
      <w:r w:rsidRPr="00511D0D">
        <w:t>).</w:t>
      </w:r>
    </w:p>
    <w:p w14:paraId="0C007DE0" w14:textId="77777777" w:rsidR="00B83214" w:rsidRPr="007C07ED" w:rsidRDefault="00B83214" w:rsidP="00B83214">
      <w:pPr>
        <w:pStyle w:val="Podpispodrysunkiem"/>
      </w:pPr>
      <w:bookmarkStart w:id="256" w:name="_Ref60065847"/>
      <w:bookmarkStart w:id="257" w:name="_Ref60065807"/>
      <w:bookmarkStart w:id="258" w:name="_Toc62243132"/>
      <w:bookmarkStart w:id="259" w:name="_Toc63844162"/>
      <w:bookmarkStart w:id="260" w:name="_Toc68068863"/>
      <w:bookmarkStart w:id="261" w:name="_Toc97537953"/>
      <w:bookmarkStart w:id="262" w:name="_Toc104790095"/>
      <w:r w:rsidRPr="007C07ED">
        <w:t xml:space="preserve">Tabela </w:t>
      </w:r>
      <w:r>
        <w:fldChar w:fldCharType="begin"/>
      </w:r>
      <w:r>
        <w:instrText>SEQ Tabela \* ARABIC</w:instrText>
      </w:r>
      <w:r>
        <w:fldChar w:fldCharType="separate"/>
      </w:r>
      <w:r w:rsidR="002B5007">
        <w:rPr>
          <w:noProof/>
        </w:rPr>
        <w:t>25</w:t>
      </w:r>
      <w:r>
        <w:fldChar w:fldCharType="end"/>
      </w:r>
      <w:bookmarkEnd w:id="256"/>
      <w:r w:rsidRPr="007C07ED">
        <w:t xml:space="preserve"> Solanki, wody lecznicze i termalne w woj</w:t>
      </w:r>
      <w:bookmarkEnd w:id="257"/>
      <w:bookmarkEnd w:id="258"/>
      <w:bookmarkEnd w:id="259"/>
      <w:r w:rsidRPr="007C07ED">
        <w:t xml:space="preserve">ewództwie </w:t>
      </w:r>
      <w:bookmarkEnd w:id="260"/>
      <w:bookmarkEnd w:id="261"/>
      <w:r w:rsidRPr="007C07ED">
        <w:t>zachodniopomorskim</w:t>
      </w:r>
      <w:bookmarkEnd w:id="262"/>
    </w:p>
    <w:tbl>
      <w:tblPr>
        <w:tblStyle w:val="GridTable1LightAccent112"/>
        <w:tblW w:w="5000" w:type="pct"/>
        <w:tblLayout w:type="fixed"/>
        <w:tblLook w:val="04A0" w:firstRow="1" w:lastRow="0" w:firstColumn="1" w:lastColumn="0" w:noHBand="0" w:noVBand="1"/>
        <w:tblCaption w:val="Solanki, wody lecznicze i termalne w województwie śląskim"/>
        <w:tblDescription w:val="Solanki, wody lecznicze i termalne w województwie śląskim"/>
      </w:tblPr>
      <w:tblGrid>
        <w:gridCol w:w="685"/>
        <w:gridCol w:w="2508"/>
        <w:gridCol w:w="1161"/>
        <w:gridCol w:w="1889"/>
        <w:gridCol w:w="1163"/>
        <w:gridCol w:w="1882"/>
      </w:tblGrid>
      <w:tr w:rsidR="00817B74" w:rsidRPr="00D971ED" w14:paraId="040A2206" w14:textId="77777777" w:rsidTr="00817B7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9" w:type="pct"/>
          </w:tcPr>
          <w:p w14:paraId="09E9A2B1" w14:textId="77777777" w:rsidR="00B83214" w:rsidRPr="00D971ED" w:rsidRDefault="00B83214" w:rsidP="00B83214">
            <w:pPr>
              <w:spacing w:before="0" w:line="240" w:lineRule="auto"/>
              <w:jc w:val="center"/>
              <w:rPr>
                <w:szCs w:val="24"/>
              </w:rPr>
            </w:pPr>
            <w:r w:rsidRPr="00D971ED">
              <w:rPr>
                <w:szCs w:val="24"/>
              </w:rPr>
              <w:t>Lp.</w:t>
            </w:r>
          </w:p>
        </w:tc>
        <w:tc>
          <w:tcPr>
            <w:tcW w:w="1350" w:type="pct"/>
          </w:tcPr>
          <w:p w14:paraId="63130923" w14:textId="77777777" w:rsidR="00B83214" w:rsidRPr="00D971ED"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szCs w:val="24"/>
              </w:rPr>
            </w:pPr>
            <w:r w:rsidRPr="00D971ED">
              <w:rPr>
                <w:szCs w:val="24"/>
              </w:rPr>
              <w:t>Nazwa złoża lub odwiertu w obrębie złoża nieudostępnionego</w:t>
            </w:r>
          </w:p>
        </w:tc>
        <w:tc>
          <w:tcPr>
            <w:tcW w:w="625" w:type="pct"/>
          </w:tcPr>
          <w:p w14:paraId="6C525D54" w14:textId="77777777" w:rsidR="00B83214" w:rsidRPr="00D971ED"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szCs w:val="24"/>
              </w:rPr>
            </w:pPr>
            <w:r w:rsidRPr="00D971ED">
              <w:rPr>
                <w:szCs w:val="24"/>
              </w:rPr>
              <w:t>Typ wody</w:t>
            </w:r>
          </w:p>
        </w:tc>
        <w:tc>
          <w:tcPr>
            <w:tcW w:w="1017" w:type="pct"/>
          </w:tcPr>
          <w:p w14:paraId="2ED342A6" w14:textId="77777777" w:rsidR="00B83214" w:rsidRPr="00D971ED"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szCs w:val="24"/>
              </w:rPr>
            </w:pPr>
            <w:r w:rsidRPr="00D971ED">
              <w:rPr>
                <w:szCs w:val="24"/>
              </w:rPr>
              <w:t>Zasoby geologiczne bilansowe eksploatacyjne</w:t>
            </w:r>
          </w:p>
          <w:p w14:paraId="79B099C4" w14:textId="77777777" w:rsidR="00B83214" w:rsidRPr="00D971ED"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szCs w:val="24"/>
              </w:rPr>
            </w:pPr>
            <w:r>
              <w:rPr>
                <w:szCs w:val="24"/>
              </w:rPr>
              <w:t>[</w:t>
            </w:r>
            <w:r w:rsidRPr="00D971ED">
              <w:rPr>
                <w:szCs w:val="24"/>
              </w:rPr>
              <w:t>m</w:t>
            </w:r>
            <w:r w:rsidRPr="00D971ED">
              <w:rPr>
                <w:szCs w:val="24"/>
                <w:vertAlign w:val="superscript"/>
              </w:rPr>
              <w:t>3</w:t>
            </w:r>
            <w:r>
              <w:rPr>
                <w:szCs w:val="24"/>
              </w:rPr>
              <w:t>/h]</w:t>
            </w:r>
          </w:p>
        </w:tc>
        <w:tc>
          <w:tcPr>
            <w:tcW w:w="626" w:type="pct"/>
          </w:tcPr>
          <w:p w14:paraId="0707EEA4" w14:textId="77777777" w:rsidR="00B83214" w:rsidRPr="00D971ED"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szCs w:val="24"/>
              </w:rPr>
            </w:pPr>
            <w:r w:rsidRPr="00D971ED">
              <w:rPr>
                <w:szCs w:val="24"/>
              </w:rPr>
              <w:t>Pobór</w:t>
            </w:r>
          </w:p>
          <w:p w14:paraId="565AB569" w14:textId="77777777" w:rsidR="00B83214" w:rsidRPr="00D971ED"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szCs w:val="24"/>
              </w:rPr>
            </w:pPr>
            <w:r>
              <w:rPr>
                <w:szCs w:val="24"/>
              </w:rPr>
              <w:t>[</w:t>
            </w:r>
            <w:r w:rsidRPr="00D971ED">
              <w:rPr>
                <w:szCs w:val="24"/>
              </w:rPr>
              <w:t>m</w:t>
            </w:r>
            <w:r w:rsidRPr="00D971ED">
              <w:rPr>
                <w:szCs w:val="24"/>
                <w:vertAlign w:val="superscript"/>
              </w:rPr>
              <w:t>3</w:t>
            </w:r>
            <w:r>
              <w:rPr>
                <w:szCs w:val="24"/>
              </w:rPr>
              <w:t>/rok]</w:t>
            </w:r>
          </w:p>
        </w:tc>
        <w:tc>
          <w:tcPr>
            <w:tcW w:w="1013" w:type="pct"/>
          </w:tcPr>
          <w:p w14:paraId="70EE60F2" w14:textId="77777777" w:rsidR="00B83214" w:rsidRPr="00D971ED" w:rsidRDefault="00B83214" w:rsidP="00B83214">
            <w:pPr>
              <w:spacing w:before="0" w:line="240" w:lineRule="auto"/>
              <w:jc w:val="center"/>
              <w:cnfStyle w:val="100000000000" w:firstRow="1" w:lastRow="0" w:firstColumn="0" w:lastColumn="0" w:oddVBand="0" w:evenVBand="0" w:oddHBand="0" w:evenHBand="0" w:firstRowFirstColumn="0" w:firstRowLastColumn="0" w:lastRowFirstColumn="0" w:lastRowLastColumn="0"/>
              <w:rPr>
                <w:szCs w:val="24"/>
              </w:rPr>
            </w:pPr>
            <w:r w:rsidRPr="00D971ED">
              <w:rPr>
                <w:szCs w:val="24"/>
              </w:rPr>
              <w:t>Powiat</w:t>
            </w:r>
          </w:p>
        </w:tc>
      </w:tr>
      <w:tr w:rsidR="00817B74" w:rsidRPr="00D971ED" w14:paraId="75948C60" w14:textId="77777777" w:rsidTr="00817B74">
        <w:trPr>
          <w:trHeight w:val="555"/>
        </w:trPr>
        <w:tc>
          <w:tcPr>
            <w:cnfStyle w:val="001000000000" w:firstRow="0" w:lastRow="0" w:firstColumn="1" w:lastColumn="0" w:oddVBand="0" w:evenVBand="0" w:oddHBand="0" w:evenHBand="0" w:firstRowFirstColumn="0" w:firstRowLastColumn="0" w:lastRowFirstColumn="0" w:lastRowLastColumn="0"/>
            <w:tcW w:w="369" w:type="pct"/>
          </w:tcPr>
          <w:p w14:paraId="13C7E845" w14:textId="77777777" w:rsidR="00B83214" w:rsidRPr="00D971ED" w:rsidRDefault="00B83214" w:rsidP="00B83214">
            <w:pPr>
              <w:spacing w:before="0" w:line="240" w:lineRule="auto"/>
              <w:jc w:val="center"/>
              <w:rPr>
                <w:szCs w:val="24"/>
              </w:rPr>
            </w:pPr>
            <w:r w:rsidRPr="00D971ED">
              <w:rPr>
                <w:szCs w:val="24"/>
              </w:rPr>
              <w:t>1</w:t>
            </w:r>
          </w:p>
        </w:tc>
        <w:tc>
          <w:tcPr>
            <w:tcW w:w="1350" w:type="pct"/>
          </w:tcPr>
          <w:p w14:paraId="7726595C"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szCs w:val="24"/>
              </w:rPr>
            </w:pPr>
            <w:r w:rsidRPr="00D971ED">
              <w:rPr>
                <w:szCs w:val="24"/>
              </w:rPr>
              <w:t>Dziwnówek Józef</w:t>
            </w:r>
          </w:p>
        </w:tc>
        <w:tc>
          <w:tcPr>
            <w:tcW w:w="625" w:type="pct"/>
          </w:tcPr>
          <w:p w14:paraId="153F0467"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LzT</w:t>
            </w:r>
          </w:p>
        </w:tc>
        <w:tc>
          <w:tcPr>
            <w:tcW w:w="1017" w:type="pct"/>
          </w:tcPr>
          <w:p w14:paraId="2D989F23"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30</w:t>
            </w:r>
          </w:p>
        </w:tc>
        <w:tc>
          <w:tcPr>
            <w:tcW w:w="626" w:type="pct"/>
          </w:tcPr>
          <w:p w14:paraId="531DD2A3"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w:t>
            </w:r>
          </w:p>
        </w:tc>
        <w:tc>
          <w:tcPr>
            <w:tcW w:w="1013" w:type="pct"/>
          </w:tcPr>
          <w:p w14:paraId="3A2697A6"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kamieński</w:t>
            </w:r>
          </w:p>
        </w:tc>
      </w:tr>
      <w:tr w:rsidR="00817B74" w:rsidRPr="00D971ED" w14:paraId="52E30F58" w14:textId="77777777" w:rsidTr="00817B74">
        <w:trPr>
          <w:trHeight w:val="555"/>
        </w:trPr>
        <w:tc>
          <w:tcPr>
            <w:cnfStyle w:val="001000000000" w:firstRow="0" w:lastRow="0" w:firstColumn="1" w:lastColumn="0" w:oddVBand="0" w:evenVBand="0" w:oddHBand="0" w:evenHBand="0" w:firstRowFirstColumn="0" w:firstRowLastColumn="0" w:lastRowFirstColumn="0" w:lastRowLastColumn="0"/>
            <w:tcW w:w="369" w:type="pct"/>
          </w:tcPr>
          <w:p w14:paraId="5EDA2D3E" w14:textId="77777777" w:rsidR="00B83214" w:rsidRPr="00D971ED" w:rsidRDefault="00B83214" w:rsidP="00B83214">
            <w:pPr>
              <w:spacing w:before="0" w:line="240" w:lineRule="auto"/>
              <w:jc w:val="center"/>
              <w:rPr>
                <w:szCs w:val="24"/>
              </w:rPr>
            </w:pPr>
            <w:r w:rsidRPr="00D971ED">
              <w:rPr>
                <w:szCs w:val="24"/>
              </w:rPr>
              <w:t>2</w:t>
            </w:r>
          </w:p>
        </w:tc>
        <w:tc>
          <w:tcPr>
            <w:tcW w:w="1350" w:type="pct"/>
          </w:tcPr>
          <w:p w14:paraId="730692CA"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szCs w:val="24"/>
              </w:rPr>
            </w:pPr>
            <w:r w:rsidRPr="00D971ED">
              <w:rPr>
                <w:szCs w:val="24"/>
              </w:rPr>
              <w:t>Jamno IG-3</w:t>
            </w:r>
          </w:p>
        </w:tc>
        <w:tc>
          <w:tcPr>
            <w:tcW w:w="625" w:type="pct"/>
          </w:tcPr>
          <w:p w14:paraId="5E3A4578"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LzT</w:t>
            </w:r>
          </w:p>
        </w:tc>
        <w:tc>
          <w:tcPr>
            <w:tcW w:w="1017" w:type="pct"/>
          </w:tcPr>
          <w:p w14:paraId="7C87F09F"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5,4</w:t>
            </w:r>
          </w:p>
        </w:tc>
        <w:tc>
          <w:tcPr>
            <w:tcW w:w="626" w:type="pct"/>
          </w:tcPr>
          <w:p w14:paraId="0626F069"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w:t>
            </w:r>
          </w:p>
        </w:tc>
        <w:tc>
          <w:tcPr>
            <w:tcW w:w="1013" w:type="pct"/>
          </w:tcPr>
          <w:p w14:paraId="1EE1AE29"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koszaliński</w:t>
            </w:r>
          </w:p>
        </w:tc>
      </w:tr>
      <w:tr w:rsidR="00817B74" w:rsidRPr="00D971ED" w14:paraId="6E4B7432" w14:textId="77777777" w:rsidTr="00817B74">
        <w:trPr>
          <w:trHeight w:val="555"/>
        </w:trPr>
        <w:tc>
          <w:tcPr>
            <w:cnfStyle w:val="001000000000" w:firstRow="0" w:lastRow="0" w:firstColumn="1" w:lastColumn="0" w:oddVBand="0" w:evenVBand="0" w:oddHBand="0" w:evenHBand="0" w:firstRowFirstColumn="0" w:firstRowLastColumn="0" w:lastRowFirstColumn="0" w:lastRowLastColumn="0"/>
            <w:tcW w:w="369" w:type="pct"/>
          </w:tcPr>
          <w:p w14:paraId="6BD08280" w14:textId="77777777" w:rsidR="00B83214" w:rsidRPr="00D971ED" w:rsidRDefault="00B83214" w:rsidP="00B83214">
            <w:pPr>
              <w:spacing w:before="0" w:line="240" w:lineRule="auto"/>
              <w:jc w:val="center"/>
              <w:rPr>
                <w:szCs w:val="24"/>
              </w:rPr>
            </w:pPr>
            <w:r w:rsidRPr="00D971ED">
              <w:rPr>
                <w:szCs w:val="24"/>
              </w:rPr>
              <w:t>3</w:t>
            </w:r>
          </w:p>
        </w:tc>
        <w:tc>
          <w:tcPr>
            <w:tcW w:w="1350" w:type="pct"/>
          </w:tcPr>
          <w:p w14:paraId="392B590B"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szCs w:val="24"/>
              </w:rPr>
            </w:pPr>
            <w:r w:rsidRPr="00D971ED">
              <w:rPr>
                <w:szCs w:val="24"/>
              </w:rPr>
              <w:t>Kamień Pomorski*</w:t>
            </w:r>
          </w:p>
        </w:tc>
        <w:tc>
          <w:tcPr>
            <w:tcW w:w="625" w:type="pct"/>
          </w:tcPr>
          <w:p w14:paraId="4F03CE17"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Lz</w:t>
            </w:r>
          </w:p>
        </w:tc>
        <w:tc>
          <w:tcPr>
            <w:tcW w:w="1017" w:type="pct"/>
          </w:tcPr>
          <w:p w14:paraId="6006330D"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15</w:t>
            </w:r>
          </w:p>
        </w:tc>
        <w:tc>
          <w:tcPr>
            <w:tcW w:w="626" w:type="pct"/>
          </w:tcPr>
          <w:p w14:paraId="68E16CBC"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1 004</w:t>
            </w:r>
          </w:p>
        </w:tc>
        <w:tc>
          <w:tcPr>
            <w:tcW w:w="1013" w:type="pct"/>
          </w:tcPr>
          <w:p w14:paraId="2B156188"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kamieński</w:t>
            </w:r>
          </w:p>
        </w:tc>
      </w:tr>
      <w:tr w:rsidR="00817B74" w:rsidRPr="00D971ED" w14:paraId="116E01BB" w14:textId="77777777" w:rsidTr="00817B74">
        <w:trPr>
          <w:trHeight w:val="555"/>
        </w:trPr>
        <w:tc>
          <w:tcPr>
            <w:cnfStyle w:val="001000000000" w:firstRow="0" w:lastRow="0" w:firstColumn="1" w:lastColumn="0" w:oddVBand="0" w:evenVBand="0" w:oddHBand="0" w:evenHBand="0" w:firstRowFirstColumn="0" w:firstRowLastColumn="0" w:lastRowFirstColumn="0" w:lastRowLastColumn="0"/>
            <w:tcW w:w="369" w:type="pct"/>
          </w:tcPr>
          <w:p w14:paraId="5FB5A18A" w14:textId="77777777" w:rsidR="00B83214" w:rsidRPr="00D971ED" w:rsidRDefault="00B83214" w:rsidP="00B83214">
            <w:pPr>
              <w:spacing w:before="0" w:line="240" w:lineRule="auto"/>
              <w:jc w:val="center"/>
              <w:rPr>
                <w:szCs w:val="24"/>
              </w:rPr>
            </w:pPr>
            <w:r w:rsidRPr="00D971ED">
              <w:rPr>
                <w:szCs w:val="24"/>
              </w:rPr>
              <w:t>4</w:t>
            </w:r>
          </w:p>
        </w:tc>
        <w:tc>
          <w:tcPr>
            <w:tcW w:w="1350" w:type="pct"/>
          </w:tcPr>
          <w:p w14:paraId="5603233E"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szCs w:val="24"/>
              </w:rPr>
            </w:pPr>
            <w:r w:rsidRPr="00D971ED">
              <w:rPr>
                <w:szCs w:val="24"/>
              </w:rPr>
              <w:t>Kołobrzeg II*</w:t>
            </w:r>
          </w:p>
        </w:tc>
        <w:tc>
          <w:tcPr>
            <w:tcW w:w="625" w:type="pct"/>
          </w:tcPr>
          <w:p w14:paraId="516BE1E1"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Lz</w:t>
            </w:r>
          </w:p>
        </w:tc>
        <w:tc>
          <w:tcPr>
            <w:tcW w:w="1017" w:type="pct"/>
          </w:tcPr>
          <w:p w14:paraId="32C56535"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109,32</w:t>
            </w:r>
          </w:p>
        </w:tc>
        <w:tc>
          <w:tcPr>
            <w:tcW w:w="626" w:type="pct"/>
          </w:tcPr>
          <w:p w14:paraId="59C86E61"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10 075</w:t>
            </w:r>
          </w:p>
        </w:tc>
        <w:tc>
          <w:tcPr>
            <w:tcW w:w="1013" w:type="pct"/>
          </w:tcPr>
          <w:p w14:paraId="793F6E0E"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kołobrzeski</w:t>
            </w:r>
          </w:p>
        </w:tc>
      </w:tr>
      <w:tr w:rsidR="00817B74" w:rsidRPr="00D971ED" w14:paraId="2B9CE144" w14:textId="77777777" w:rsidTr="00817B74">
        <w:trPr>
          <w:trHeight w:val="555"/>
        </w:trPr>
        <w:tc>
          <w:tcPr>
            <w:cnfStyle w:val="001000000000" w:firstRow="0" w:lastRow="0" w:firstColumn="1" w:lastColumn="0" w:oddVBand="0" w:evenVBand="0" w:oddHBand="0" w:evenHBand="0" w:firstRowFirstColumn="0" w:firstRowLastColumn="0" w:lastRowFirstColumn="0" w:lastRowLastColumn="0"/>
            <w:tcW w:w="369" w:type="pct"/>
          </w:tcPr>
          <w:p w14:paraId="444512F6" w14:textId="77777777" w:rsidR="00B83214" w:rsidRPr="00D971ED" w:rsidRDefault="00B83214" w:rsidP="00B83214">
            <w:pPr>
              <w:spacing w:before="0" w:line="240" w:lineRule="auto"/>
              <w:jc w:val="center"/>
              <w:rPr>
                <w:szCs w:val="24"/>
              </w:rPr>
            </w:pPr>
            <w:r w:rsidRPr="00D971ED">
              <w:rPr>
                <w:szCs w:val="24"/>
              </w:rPr>
              <w:t>5</w:t>
            </w:r>
          </w:p>
        </w:tc>
        <w:tc>
          <w:tcPr>
            <w:tcW w:w="1350" w:type="pct"/>
          </w:tcPr>
          <w:p w14:paraId="28F551C4" w14:textId="77777777" w:rsidR="00B83214" w:rsidRPr="00D971ED" w:rsidRDefault="00B83214" w:rsidP="00B83214">
            <w:pPr>
              <w:spacing w:line="240" w:lineRule="auto"/>
              <w:cnfStyle w:val="000000000000" w:firstRow="0" w:lastRow="0" w:firstColumn="0" w:lastColumn="0" w:oddVBand="0" w:evenVBand="0" w:oddHBand="0" w:evenHBand="0" w:firstRowFirstColumn="0" w:firstRowLastColumn="0" w:lastRowFirstColumn="0" w:lastRowLastColumn="0"/>
              <w:rPr>
                <w:szCs w:val="24"/>
              </w:rPr>
            </w:pPr>
            <w:r w:rsidRPr="00D971ED">
              <w:rPr>
                <w:szCs w:val="24"/>
              </w:rPr>
              <w:t>Międzywodzie (Kamień Pomorski IG-1)</w:t>
            </w:r>
          </w:p>
        </w:tc>
        <w:tc>
          <w:tcPr>
            <w:tcW w:w="625" w:type="pct"/>
          </w:tcPr>
          <w:p w14:paraId="664EA358"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Lz</w:t>
            </w:r>
          </w:p>
        </w:tc>
        <w:tc>
          <w:tcPr>
            <w:tcW w:w="1017" w:type="pct"/>
          </w:tcPr>
          <w:p w14:paraId="71DD4A52"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1,4</w:t>
            </w:r>
          </w:p>
        </w:tc>
        <w:tc>
          <w:tcPr>
            <w:tcW w:w="626" w:type="pct"/>
          </w:tcPr>
          <w:p w14:paraId="51792672"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w:t>
            </w:r>
          </w:p>
        </w:tc>
        <w:tc>
          <w:tcPr>
            <w:tcW w:w="1013" w:type="pct"/>
          </w:tcPr>
          <w:p w14:paraId="2FC4CA97"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kamieński</w:t>
            </w:r>
          </w:p>
        </w:tc>
      </w:tr>
      <w:tr w:rsidR="00817B74" w:rsidRPr="00D971ED" w14:paraId="13A56A52" w14:textId="77777777" w:rsidTr="00817B74">
        <w:trPr>
          <w:trHeight w:val="555"/>
        </w:trPr>
        <w:tc>
          <w:tcPr>
            <w:cnfStyle w:val="001000000000" w:firstRow="0" w:lastRow="0" w:firstColumn="1" w:lastColumn="0" w:oddVBand="0" w:evenVBand="0" w:oddHBand="0" w:evenHBand="0" w:firstRowFirstColumn="0" w:firstRowLastColumn="0" w:lastRowFirstColumn="0" w:lastRowLastColumn="0"/>
            <w:tcW w:w="369" w:type="pct"/>
          </w:tcPr>
          <w:p w14:paraId="3C7AC273" w14:textId="77777777" w:rsidR="00B83214" w:rsidRPr="00D971ED" w:rsidRDefault="00B83214" w:rsidP="00B83214">
            <w:pPr>
              <w:spacing w:before="0" w:line="240" w:lineRule="auto"/>
              <w:jc w:val="center"/>
              <w:rPr>
                <w:szCs w:val="24"/>
              </w:rPr>
            </w:pPr>
            <w:r w:rsidRPr="00D971ED">
              <w:rPr>
                <w:szCs w:val="24"/>
              </w:rPr>
              <w:t>6</w:t>
            </w:r>
          </w:p>
        </w:tc>
        <w:tc>
          <w:tcPr>
            <w:tcW w:w="1350" w:type="pct"/>
          </w:tcPr>
          <w:p w14:paraId="4C8279F6"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szCs w:val="24"/>
              </w:rPr>
            </w:pPr>
            <w:r w:rsidRPr="00D971ED">
              <w:rPr>
                <w:szCs w:val="24"/>
              </w:rPr>
              <w:t>Połczyn*</w:t>
            </w:r>
          </w:p>
        </w:tc>
        <w:tc>
          <w:tcPr>
            <w:tcW w:w="625" w:type="pct"/>
          </w:tcPr>
          <w:p w14:paraId="448DB772"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Lz</w:t>
            </w:r>
          </w:p>
        </w:tc>
        <w:tc>
          <w:tcPr>
            <w:tcW w:w="1017" w:type="pct"/>
          </w:tcPr>
          <w:p w14:paraId="0BC36B88"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2,8</w:t>
            </w:r>
          </w:p>
        </w:tc>
        <w:tc>
          <w:tcPr>
            <w:tcW w:w="626" w:type="pct"/>
          </w:tcPr>
          <w:p w14:paraId="6300EF16"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2 452</w:t>
            </w:r>
          </w:p>
        </w:tc>
        <w:tc>
          <w:tcPr>
            <w:tcW w:w="1013" w:type="pct"/>
          </w:tcPr>
          <w:p w14:paraId="35E0FF0D"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świdwiński</w:t>
            </w:r>
          </w:p>
        </w:tc>
      </w:tr>
      <w:tr w:rsidR="00817B74" w:rsidRPr="00D971ED" w14:paraId="55A67B9A" w14:textId="77777777" w:rsidTr="00817B74">
        <w:trPr>
          <w:trHeight w:val="555"/>
        </w:trPr>
        <w:tc>
          <w:tcPr>
            <w:cnfStyle w:val="001000000000" w:firstRow="0" w:lastRow="0" w:firstColumn="1" w:lastColumn="0" w:oddVBand="0" w:evenVBand="0" w:oddHBand="0" w:evenHBand="0" w:firstRowFirstColumn="0" w:firstRowLastColumn="0" w:lastRowFirstColumn="0" w:lastRowLastColumn="0"/>
            <w:tcW w:w="369" w:type="pct"/>
          </w:tcPr>
          <w:p w14:paraId="4BEC8209" w14:textId="77777777" w:rsidR="00B83214" w:rsidRPr="00D971ED" w:rsidRDefault="00B83214" w:rsidP="00B83214">
            <w:pPr>
              <w:spacing w:before="0" w:line="240" w:lineRule="auto"/>
              <w:jc w:val="center"/>
              <w:rPr>
                <w:szCs w:val="24"/>
              </w:rPr>
            </w:pPr>
            <w:r w:rsidRPr="00D971ED">
              <w:rPr>
                <w:szCs w:val="24"/>
              </w:rPr>
              <w:t>7</w:t>
            </w:r>
          </w:p>
        </w:tc>
        <w:tc>
          <w:tcPr>
            <w:tcW w:w="1350" w:type="pct"/>
          </w:tcPr>
          <w:p w14:paraId="4B458097"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szCs w:val="24"/>
              </w:rPr>
            </w:pPr>
            <w:r w:rsidRPr="00D971ED">
              <w:rPr>
                <w:szCs w:val="24"/>
              </w:rPr>
              <w:t>Pyrzyce*</w:t>
            </w:r>
          </w:p>
        </w:tc>
        <w:tc>
          <w:tcPr>
            <w:tcW w:w="625" w:type="pct"/>
          </w:tcPr>
          <w:p w14:paraId="4462FB38"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T</w:t>
            </w:r>
          </w:p>
        </w:tc>
        <w:tc>
          <w:tcPr>
            <w:tcW w:w="1017" w:type="pct"/>
          </w:tcPr>
          <w:p w14:paraId="244C6F6F"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340</w:t>
            </w:r>
          </w:p>
        </w:tc>
        <w:tc>
          <w:tcPr>
            <w:tcW w:w="626" w:type="pct"/>
          </w:tcPr>
          <w:p w14:paraId="235BB1DE"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868 270</w:t>
            </w:r>
          </w:p>
        </w:tc>
        <w:tc>
          <w:tcPr>
            <w:tcW w:w="1013" w:type="pct"/>
          </w:tcPr>
          <w:p w14:paraId="0FC36280"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pyrzycki</w:t>
            </w:r>
          </w:p>
        </w:tc>
      </w:tr>
      <w:tr w:rsidR="00817B74" w:rsidRPr="00D971ED" w14:paraId="508C1E4C" w14:textId="77777777" w:rsidTr="00817B74">
        <w:tc>
          <w:tcPr>
            <w:cnfStyle w:val="001000000000" w:firstRow="0" w:lastRow="0" w:firstColumn="1" w:lastColumn="0" w:oddVBand="0" w:evenVBand="0" w:oddHBand="0" w:evenHBand="0" w:firstRowFirstColumn="0" w:firstRowLastColumn="0" w:lastRowFirstColumn="0" w:lastRowLastColumn="0"/>
            <w:tcW w:w="369" w:type="pct"/>
          </w:tcPr>
          <w:p w14:paraId="6EE09823" w14:textId="77777777" w:rsidR="00B83214" w:rsidRPr="00D971ED" w:rsidRDefault="00B83214" w:rsidP="00B83214">
            <w:pPr>
              <w:spacing w:before="0" w:line="240" w:lineRule="auto"/>
              <w:jc w:val="center"/>
              <w:rPr>
                <w:szCs w:val="24"/>
              </w:rPr>
            </w:pPr>
            <w:r w:rsidRPr="00D971ED">
              <w:rPr>
                <w:szCs w:val="24"/>
              </w:rPr>
              <w:t>8</w:t>
            </w:r>
          </w:p>
        </w:tc>
        <w:tc>
          <w:tcPr>
            <w:tcW w:w="1350" w:type="pct"/>
          </w:tcPr>
          <w:p w14:paraId="393964B6"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szCs w:val="24"/>
              </w:rPr>
            </w:pPr>
            <w:r w:rsidRPr="00D971ED">
              <w:rPr>
                <w:szCs w:val="24"/>
              </w:rPr>
              <w:t>Stargard Szczeciński I*</w:t>
            </w:r>
          </w:p>
        </w:tc>
        <w:tc>
          <w:tcPr>
            <w:tcW w:w="625" w:type="pct"/>
          </w:tcPr>
          <w:p w14:paraId="69D96678"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T</w:t>
            </w:r>
          </w:p>
        </w:tc>
        <w:tc>
          <w:tcPr>
            <w:tcW w:w="1017" w:type="pct"/>
          </w:tcPr>
          <w:p w14:paraId="543CE6F4"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200</w:t>
            </w:r>
          </w:p>
        </w:tc>
        <w:tc>
          <w:tcPr>
            <w:tcW w:w="626" w:type="pct"/>
          </w:tcPr>
          <w:p w14:paraId="3F7504EB"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1 392 613</w:t>
            </w:r>
          </w:p>
        </w:tc>
        <w:tc>
          <w:tcPr>
            <w:tcW w:w="1013" w:type="pct"/>
          </w:tcPr>
          <w:p w14:paraId="074A82E4"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stargardzki</w:t>
            </w:r>
          </w:p>
        </w:tc>
      </w:tr>
      <w:tr w:rsidR="00817B74" w:rsidRPr="00D971ED" w14:paraId="4AD447A7" w14:textId="77777777" w:rsidTr="00817B74">
        <w:tc>
          <w:tcPr>
            <w:cnfStyle w:val="001000000000" w:firstRow="0" w:lastRow="0" w:firstColumn="1" w:lastColumn="0" w:oddVBand="0" w:evenVBand="0" w:oddHBand="0" w:evenHBand="0" w:firstRowFirstColumn="0" w:firstRowLastColumn="0" w:lastRowFirstColumn="0" w:lastRowLastColumn="0"/>
            <w:tcW w:w="369" w:type="pct"/>
          </w:tcPr>
          <w:p w14:paraId="2A732FAA" w14:textId="77777777" w:rsidR="00B83214" w:rsidRPr="00D971ED" w:rsidRDefault="00B83214" w:rsidP="00B83214">
            <w:pPr>
              <w:spacing w:before="0" w:line="240" w:lineRule="auto"/>
              <w:jc w:val="center"/>
              <w:rPr>
                <w:szCs w:val="24"/>
              </w:rPr>
            </w:pPr>
            <w:r w:rsidRPr="00D971ED">
              <w:rPr>
                <w:szCs w:val="24"/>
              </w:rPr>
              <w:t>9</w:t>
            </w:r>
          </w:p>
        </w:tc>
        <w:tc>
          <w:tcPr>
            <w:tcW w:w="1350" w:type="pct"/>
          </w:tcPr>
          <w:p w14:paraId="1FF84F5F"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szCs w:val="24"/>
              </w:rPr>
            </w:pPr>
            <w:r w:rsidRPr="00D971ED">
              <w:rPr>
                <w:szCs w:val="24"/>
              </w:rPr>
              <w:t>Świnoujście I*</w:t>
            </w:r>
          </w:p>
        </w:tc>
        <w:tc>
          <w:tcPr>
            <w:tcW w:w="625" w:type="pct"/>
          </w:tcPr>
          <w:p w14:paraId="1409B559"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Lz</w:t>
            </w:r>
          </w:p>
        </w:tc>
        <w:tc>
          <w:tcPr>
            <w:tcW w:w="1017" w:type="pct"/>
          </w:tcPr>
          <w:p w14:paraId="537ED5E5"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10,55</w:t>
            </w:r>
          </w:p>
        </w:tc>
        <w:tc>
          <w:tcPr>
            <w:tcW w:w="626" w:type="pct"/>
          </w:tcPr>
          <w:p w14:paraId="43E0A5BB"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3 284</w:t>
            </w:r>
          </w:p>
        </w:tc>
        <w:tc>
          <w:tcPr>
            <w:tcW w:w="1013" w:type="pct"/>
          </w:tcPr>
          <w:p w14:paraId="1C42D439" w14:textId="668DBBFE"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m.</w:t>
            </w:r>
            <w:r w:rsidR="00D95AB0">
              <w:rPr>
                <w:szCs w:val="24"/>
              </w:rPr>
              <w:t xml:space="preserve"> </w:t>
            </w:r>
            <w:r w:rsidRPr="00D971ED">
              <w:rPr>
                <w:szCs w:val="24"/>
              </w:rPr>
              <w:t>Świnoujście</w:t>
            </w:r>
          </w:p>
        </w:tc>
      </w:tr>
      <w:tr w:rsidR="00817B74" w:rsidRPr="00D971ED" w14:paraId="03BE6BA7" w14:textId="77777777" w:rsidTr="00817B74">
        <w:tc>
          <w:tcPr>
            <w:cnfStyle w:val="001000000000" w:firstRow="0" w:lastRow="0" w:firstColumn="1" w:lastColumn="0" w:oddVBand="0" w:evenVBand="0" w:oddHBand="0" w:evenHBand="0" w:firstRowFirstColumn="0" w:firstRowLastColumn="0" w:lastRowFirstColumn="0" w:lastRowLastColumn="0"/>
            <w:tcW w:w="369" w:type="pct"/>
          </w:tcPr>
          <w:p w14:paraId="4CCDAD4E" w14:textId="77777777" w:rsidR="00B83214" w:rsidRPr="00D971ED" w:rsidRDefault="00B83214" w:rsidP="00B83214">
            <w:pPr>
              <w:spacing w:before="0" w:line="240" w:lineRule="auto"/>
              <w:jc w:val="center"/>
              <w:rPr>
                <w:szCs w:val="24"/>
              </w:rPr>
            </w:pPr>
            <w:r w:rsidRPr="00D971ED">
              <w:rPr>
                <w:szCs w:val="24"/>
              </w:rPr>
              <w:t>10</w:t>
            </w:r>
          </w:p>
        </w:tc>
        <w:tc>
          <w:tcPr>
            <w:tcW w:w="1350" w:type="pct"/>
          </w:tcPr>
          <w:p w14:paraId="097E68CC"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szCs w:val="24"/>
              </w:rPr>
            </w:pPr>
            <w:r w:rsidRPr="00D971ED">
              <w:rPr>
                <w:szCs w:val="24"/>
              </w:rPr>
              <w:t>Trzęsacz GT-1*</w:t>
            </w:r>
          </w:p>
        </w:tc>
        <w:tc>
          <w:tcPr>
            <w:tcW w:w="625" w:type="pct"/>
          </w:tcPr>
          <w:p w14:paraId="51871D52"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T</w:t>
            </w:r>
          </w:p>
        </w:tc>
        <w:tc>
          <w:tcPr>
            <w:tcW w:w="1017" w:type="pct"/>
          </w:tcPr>
          <w:p w14:paraId="477CAA01"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180</w:t>
            </w:r>
          </w:p>
        </w:tc>
        <w:tc>
          <w:tcPr>
            <w:tcW w:w="626" w:type="pct"/>
          </w:tcPr>
          <w:p w14:paraId="1492D2B1"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174 437</w:t>
            </w:r>
          </w:p>
        </w:tc>
        <w:tc>
          <w:tcPr>
            <w:tcW w:w="1013" w:type="pct"/>
          </w:tcPr>
          <w:p w14:paraId="5FA97A1C" w14:textId="77777777" w:rsidR="00B83214" w:rsidRPr="00D971ED"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24"/>
              </w:rPr>
            </w:pPr>
            <w:r w:rsidRPr="00D971ED">
              <w:rPr>
                <w:szCs w:val="24"/>
              </w:rPr>
              <w:t>gryficki</w:t>
            </w:r>
          </w:p>
        </w:tc>
      </w:tr>
    </w:tbl>
    <w:p w14:paraId="3B34933A" w14:textId="77777777" w:rsidR="00B83214" w:rsidRPr="00511D0D" w:rsidRDefault="00B83214" w:rsidP="00B83214">
      <w:pPr>
        <w:spacing w:line="240" w:lineRule="auto"/>
        <w:jc w:val="both"/>
        <w:rPr>
          <w:sz w:val="20"/>
          <w:szCs w:val="18"/>
        </w:rPr>
      </w:pPr>
      <w:r w:rsidRPr="00511D0D">
        <w:rPr>
          <w:sz w:val="20"/>
          <w:szCs w:val="18"/>
        </w:rPr>
        <w:t>Lz – wody lecznicze zmineralizowane (mineralizacja &gt; 1 g/dm</w:t>
      </w:r>
      <w:r w:rsidRPr="00511D0D">
        <w:rPr>
          <w:sz w:val="20"/>
          <w:szCs w:val="18"/>
          <w:vertAlign w:val="superscript"/>
        </w:rPr>
        <w:t>3</w:t>
      </w:r>
      <w:r w:rsidRPr="00511D0D">
        <w:rPr>
          <w:sz w:val="20"/>
          <w:szCs w:val="18"/>
        </w:rPr>
        <w:t>)</w:t>
      </w:r>
    </w:p>
    <w:p w14:paraId="6B00DC54" w14:textId="77777777" w:rsidR="00B83214" w:rsidRPr="00511D0D" w:rsidRDefault="00B83214" w:rsidP="00B83214">
      <w:pPr>
        <w:spacing w:line="240" w:lineRule="auto"/>
        <w:jc w:val="both"/>
        <w:rPr>
          <w:sz w:val="20"/>
          <w:szCs w:val="18"/>
        </w:rPr>
      </w:pPr>
      <w:r w:rsidRPr="00511D0D">
        <w:rPr>
          <w:sz w:val="20"/>
          <w:szCs w:val="18"/>
        </w:rPr>
        <w:t>LzT – wody lecznicze słabomineralizowane (mineralizacja &lt; 1 g/dm</w:t>
      </w:r>
      <w:r w:rsidRPr="00511D0D">
        <w:rPr>
          <w:sz w:val="20"/>
          <w:szCs w:val="18"/>
          <w:vertAlign w:val="superscript"/>
        </w:rPr>
        <w:t>3</w:t>
      </w:r>
      <w:r w:rsidRPr="00511D0D">
        <w:rPr>
          <w:sz w:val="20"/>
          <w:szCs w:val="18"/>
        </w:rPr>
        <w:t>)</w:t>
      </w:r>
    </w:p>
    <w:p w14:paraId="1B116E91" w14:textId="77777777" w:rsidR="00B83214" w:rsidRPr="00511D0D" w:rsidRDefault="00B83214" w:rsidP="00B83214">
      <w:pPr>
        <w:spacing w:line="240" w:lineRule="auto"/>
        <w:jc w:val="both"/>
        <w:rPr>
          <w:sz w:val="20"/>
          <w:szCs w:val="18"/>
        </w:rPr>
      </w:pPr>
      <w:r w:rsidRPr="00511D0D">
        <w:rPr>
          <w:sz w:val="20"/>
          <w:szCs w:val="18"/>
        </w:rPr>
        <w:t>T – wody termalne</w:t>
      </w:r>
    </w:p>
    <w:p w14:paraId="06CB614F" w14:textId="77777777" w:rsidR="00B83214" w:rsidRPr="00511D0D" w:rsidRDefault="00B83214" w:rsidP="00B83214">
      <w:pPr>
        <w:spacing w:line="240" w:lineRule="auto"/>
        <w:jc w:val="both"/>
        <w:rPr>
          <w:sz w:val="20"/>
          <w:szCs w:val="18"/>
        </w:rPr>
      </w:pPr>
      <w:r w:rsidRPr="00511D0D">
        <w:rPr>
          <w:sz w:val="20"/>
          <w:szCs w:val="18"/>
        </w:rPr>
        <w:t xml:space="preserve">* złoża objęte koncesją na wydobywanie kopaliny ze złoża </w:t>
      </w:r>
    </w:p>
    <w:p w14:paraId="4360C2C1" w14:textId="77777777" w:rsidR="00B83214" w:rsidRPr="00511D0D" w:rsidRDefault="00B83214" w:rsidP="00B83214">
      <w:pPr>
        <w:pStyle w:val="rdo"/>
      </w:pPr>
      <w:r w:rsidRPr="00511D0D">
        <w:t>Źródło: Bilans zasobów złóż kopalin w Polsce wg stanu na 31 XII 2020r., Państwowy Instytut Geologiczny – PIB, Warszawa, 2021</w:t>
      </w:r>
    </w:p>
    <w:p w14:paraId="721C42A6" w14:textId="77777777" w:rsidR="00B83214" w:rsidRPr="00511D0D" w:rsidRDefault="00B83214" w:rsidP="00B83214">
      <w:r w:rsidRPr="00511D0D">
        <w:t>Na obszarze województwa licznie występują zasoby surowców skalnych, wśród których należy wymienić wapienie i margle (dla potrzeb przemysłu cementowego), kruszywo naturalne, piaski kwarcowe do produkcji cegły piaskowo-wapiennej, surowce ilaste do produkcji ceramiki budowlanej i kruszywa lekkiego oraz kreda jeziorna, torfy i borowiny. Istotnym problemem jest nielegalna eksploatacja głównie piasków i żwirów - skala eksploatacji kruszyw naturalnych piaskowo-żwirowych bez wymaganej koncesji.</w:t>
      </w:r>
      <w:r w:rsidRPr="00511D0D">
        <w:rPr>
          <w:vertAlign w:val="superscript"/>
        </w:rPr>
        <w:footnoteReference w:id="143"/>
      </w:r>
    </w:p>
    <w:p w14:paraId="4135C0A8" w14:textId="1C81D254" w:rsidR="00B83214" w:rsidRPr="00511D0D" w:rsidRDefault="00B83214" w:rsidP="00B83214">
      <w:r w:rsidRPr="00511D0D">
        <w:t>Zidentyfikowane złoża leżące w granicach województwa zachodniopomorskiego przedstawiono syntetycznie w</w:t>
      </w:r>
      <w:r>
        <w:t xml:space="preserve"> tabeli poniżej </w:t>
      </w:r>
      <w:r w:rsidRPr="00511D0D">
        <w:t>(</w:t>
      </w:r>
      <w:r w:rsidRPr="00511D0D">
        <w:fldChar w:fldCharType="begin"/>
      </w:r>
      <w:r w:rsidRPr="00511D0D">
        <w:instrText xml:space="preserve"> REF _Ref66632492 \h  \* MERGEFORMAT </w:instrText>
      </w:r>
      <w:r w:rsidRPr="00511D0D">
        <w:fldChar w:fldCharType="separate"/>
      </w:r>
      <w:r w:rsidR="002B5007" w:rsidRPr="002B5007">
        <w:rPr>
          <w:szCs w:val="16"/>
        </w:rPr>
        <w:t xml:space="preserve">Tabela </w:t>
      </w:r>
      <w:r w:rsidR="002B5007" w:rsidRPr="002B5007">
        <w:rPr>
          <w:noProof/>
          <w:szCs w:val="16"/>
        </w:rPr>
        <w:t>26</w:t>
      </w:r>
      <w:r w:rsidRPr="00511D0D">
        <w:fldChar w:fldCharType="end"/>
      </w:r>
      <w:r w:rsidRPr="00511D0D">
        <w:t>).</w:t>
      </w:r>
    </w:p>
    <w:p w14:paraId="462CCB84" w14:textId="77777777" w:rsidR="00B83214" w:rsidRPr="00511D0D" w:rsidRDefault="00B83214" w:rsidP="00B83214">
      <w:pPr>
        <w:spacing w:line="276" w:lineRule="auto"/>
        <w:rPr>
          <w:sz w:val="22"/>
        </w:rPr>
        <w:sectPr w:rsidR="00B83214" w:rsidRPr="00511D0D" w:rsidSect="00E27A91">
          <w:pgSz w:w="11906" w:h="16838"/>
          <w:pgMar w:top="1417" w:right="1417" w:bottom="1417" w:left="1417" w:header="708" w:footer="708" w:gutter="0"/>
          <w:pgNumType w:fmt="lowerRoman"/>
          <w:cols w:space="708"/>
          <w:titlePg/>
          <w:docGrid w:linePitch="360"/>
        </w:sectPr>
      </w:pPr>
    </w:p>
    <w:p w14:paraId="3F8862AA" w14:textId="77777777" w:rsidR="00B83214" w:rsidRPr="00511D0D" w:rsidRDefault="00B83214" w:rsidP="00B83214">
      <w:pPr>
        <w:pStyle w:val="Podpispodrysunkiem"/>
      </w:pPr>
      <w:bookmarkStart w:id="263" w:name="_Ref66632492"/>
      <w:bookmarkStart w:id="264" w:name="_Toc68068864"/>
      <w:bookmarkStart w:id="265" w:name="_Toc97537954"/>
      <w:bookmarkStart w:id="266" w:name="_Toc104790096"/>
      <w:r w:rsidRPr="00511D0D">
        <w:t xml:space="preserve">Tabela </w:t>
      </w:r>
      <w:r w:rsidRPr="00511D0D">
        <w:rPr>
          <w:noProof/>
        </w:rPr>
        <w:fldChar w:fldCharType="begin"/>
      </w:r>
      <w:r w:rsidRPr="00511D0D">
        <w:rPr>
          <w:noProof/>
        </w:rPr>
        <w:instrText xml:space="preserve"> SEQ Tabela \* ARABIC </w:instrText>
      </w:r>
      <w:r w:rsidRPr="00511D0D">
        <w:rPr>
          <w:noProof/>
        </w:rPr>
        <w:fldChar w:fldCharType="separate"/>
      </w:r>
      <w:r w:rsidR="002B5007">
        <w:rPr>
          <w:noProof/>
        </w:rPr>
        <w:t>26</w:t>
      </w:r>
      <w:r w:rsidRPr="00511D0D">
        <w:rPr>
          <w:noProof/>
        </w:rPr>
        <w:fldChar w:fldCharType="end"/>
      </w:r>
      <w:bookmarkEnd w:id="263"/>
      <w:r w:rsidRPr="00511D0D">
        <w:t xml:space="preserve"> Wykaz złóż surowców skalnych w województwie zachodniopomorskim wg stanu na 31 XII 2020r.</w:t>
      </w:r>
      <w:bookmarkEnd w:id="264"/>
      <w:bookmarkEnd w:id="265"/>
      <w:bookmarkEnd w:id="266"/>
    </w:p>
    <w:tbl>
      <w:tblPr>
        <w:tblStyle w:val="GridTable1LightAccent112"/>
        <w:tblW w:w="4894" w:type="pct"/>
        <w:tblLook w:val="04A0" w:firstRow="1" w:lastRow="0" w:firstColumn="1" w:lastColumn="0" w:noHBand="0" w:noVBand="1"/>
        <w:tblCaption w:val="Wykaz złóż surowców skalnych w województwie śląskim wg stanu na 31 XII 2019r."/>
        <w:tblDescription w:val="Wykaz złóż surowców skalnych w województwie śląskim wg stanu na 31 XII 2019r."/>
      </w:tblPr>
      <w:tblGrid>
        <w:gridCol w:w="2444"/>
        <w:gridCol w:w="2305"/>
        <w:gridCol w:w="1008"/>
        <w:gridCol w:w="2305"/>
        <w:gridCol w:w="1729"/>
        <w:gridCol w:w="4128"/>
      </w:tblGrid>
      <w:tr w:rsidR="00B83214" w:rsidRPr="00D971ED" w14:paraId="11205D0B" w14:textId="77777777" w:rsidTr="00B832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78" w:type="pct"/>
            <w:vAlign w:val="center"/>
            <w:hideMark/>
          </w:tcPr>
          <w:p w14:paraId="6E3DFA2F" w14:textId="77777777" w:rsidR="00B83214" w:rsidRPr="00D971ED" w:rsidRDefault="00B83214" w:rsidP="00B83214">
            <w:pPr>
              <w:spacing w:before="0" w:line="240" w:lineRule="auto"/>
              <w:rPr>
                <w:rFonts w:cstheme="minorHAnsi"/>
                <w:szCs w:val="24"/>
              </w:rPr>
            </w:pPr>
            <w:r w:rsidRPr="00D971ED">
              <w:rPr>
                <w:rFonts w:cstheme="minorHAnsi"/>
                <w:szCs w:val="24"/>
              </w:rPr>
              <w:t>Surowiec naturalny</w:t>
            </w:r>
          </w:p>
        </w:tc>
        <w:tc>
          <w:tcPr>
            <w:tcW w:w="828" w:type="pct"/>
            <w:vAlign w:val="center"/>
          </w:tcPr>
          <w:p w14:paraId="5AB3C287" w14:textId="77777777" w:rsidR="00B83214" w:rsidRPr="00D971ED" w:rsidRDefault="00B83214" w:rsidP="00B83214">
            <w:pPr>
              <w:spacing w:before="0" w:line="240" w:lineRule="auto"/>
              <w:cnfStyle w:val="100000000000" w:firstRow="1"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Zasoby geologiczne w kraju [tys. t]</w:t>
            </w:r>
          </w:p>
        </w:tc>
        <w:tc>
          <w:tcPr>
            <w:tcW w:w="362" w:type="pct"/>
            <w:vAlign w:val="center"/>
          </w:tcPr>
          <w:p w14:paraId="3D3A8CA2" w14:textId="77777777" w:rsidR="00B83214" w:rsidRPr="00D971ED" w:rsidRDefault="00B83214" w:rsidP="00B83214">
            <w:pPr>
              <w:spacing w:before="0" w:line="240" w:lineRule="auto"/>
              <w:cnfStyle w:val="100000000000" w:firstRow="1"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Ilość złóż</w:t>
            </w:r>
          </w:p>
        </w:tc>
        <w:tc>
          <w:tcPr>
            <w:tcW w:w="828" w:type="pct"/>
            <w:vAlign w:val="center"/>
          </w:tcPr>
          <w:p w14:paraId="0A3209A8" w14:textId="77777777" w:rsidR="00B83214" w:rsidRPr="00D971ED" w:rsidRDefault="00B83214" w:rsidP="00B83214">
            <w:pPr>
              <w:spacing w:before="0" w:line="240" w:lineRule="auto"/>
              <w:cnfStyle w:val="100000000000" w:firstRow="1"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Zasoby geologiczne bilansowe [tys. t]</w:t>
            </w:r>
          </w:p>
        </w:tc>
        <w:tc>
          <w:tcPr>
            <w:tcW w:w="621" w:type="pct"/>
            <w:vAlign w:val="center"/>
          </w:tcPr>
          <w:p w14:paraId="3CA92D9A" w14:textId="77777777" w:rsidR="00B83214" w:rsidRPr="00D971ED" w:rsidRDefault="00B83214" w:rsidP="00B83214">
            <w:pPr>
              <w:spacing w:before="0" w:line="240" w:lineRule="auto"/>
              <w:cnfStyle w:val="100000000000" w:firstRow="1" w:lastRow="0" w:firstColumn="0" w:lastColumn="0" w:oddVBand="0" w:evenVBand="0" w:oddHBand="0" w:evenHBand="0" w:firstRowFirstColumn="0" w:firstRowLastColumn="0" w:lastRowFirstColumn="0" w:lastRowLastColumn="0"/>
              <w:rPr>
                <w:rFonts w:cstheme="minorHAnsi"/>
                <w:b w:val="0"/>
                <w:bCs w:val="0"/>
                <w:szCs w:val="24"/>
              </w:rPr>
            </w:pPr>
            <w:r w:rsidRPr="00D971ED">
              <w:rPr>
                <w:rFonts w:cstheme="minorHAnsi"/>
                <w:szCs w:val="24"/>
              </w:rPr>
              <w:t>Wydobycie</w:t>
            </w:r>
          </w:p>
          <w:p w14:paraId="41472FEE" w14:textId="77777777" w:rsidR="00B83214" w:rsidRPr="00D971ED" w:rsidRDefault="00B83214" w:rsidP="00B83214">
            <w:pPr>
              <w:spacing w:before="0" w:line="240" w:lineRule="auto"/>
              <w:cnfStyle w:val="100000000000" w:firstRow="1"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[tys. t]</w:t>
            </w:r>
          </w:p>
        </w:tc>
        <w:tc>
          <w:tcPr>
            <w:tcW w:w="1483" w:type="pct"/>
            <w:vAlign w:val="center"/>
          </w:tcPr>
          <w:p w14:paraId="6306A622" w14:textId="77777777" w:rsidR="00B83214" w:rsidRPr="00D971ED" w:rsidRDefault="00B83214" w:rsidP="00B83214">
            <w:pPr>
              <w:spacing w:before="0" w:line="240" w:lineRule="auto"/>
              <w:cnfStyle w:val="100000000000" w:firstRow="1"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Szczegóły</w:t>
            </w:r>
          </w:p>
        </w:tc>
      </w:tr>
      <w:tr w:rsidR="00B83214" w:rsidRPr="00D971ED" w14:paraId="09779FD3" w14:textId="77777777" w:rsidTr="00B83214">
        <w:tc>
          <w:tcPr>
            <w:cnfStyle w:val="001000000000" w:firstRow="0" w:lastRow="0" w:firstColumn="1" w:lastColumn="0" w:oddVBand="0" w:evenVBand="0" w:oddHBand="0" w:evenHBand="0" w:firstRowFirstColumn="0" w:firstRowLastColumn="0" w:lastRowFirstColumn="0" w:lastRowLastColumn="0"/>
            <w:tcW w:w="878" w:type="pct"/>
            <w:vAlign w:val="center"/>
          </w:tcPr>
          <w:p w14:paraId="219E17AF" w14:textId="77777777" w:rsidR="00B83214" w:rsidRPr="00D971ED" w:rsidRDefault="00B83214" w:rsidP="00B83214">
            <w:pPr>
              <w:spacing w:before="0" w:line="240" w:lineRule="auto"/>
              <w:rPr>
                <w:rFonts w:cstheme="minorHAnsi"/>
                <w:szCs w:val="24"/>
              </w:rPr>
            </w:pPr>
            <w:r w:rsidRPr="00D971ED">
              <w:rPr>
                <w:rFonts w:cstheme="minorHAnsi"/>
                <w:szCs w:val="24"/>
              </w:rPr>
              <w:t>Azotowy gaz ziemny</w:t>
            </w:r>
          </w:p>
        </w:tc>
        <w:tc>
          <w:tcPr>
            <w:tcW w:w="828" w:type="pct"/>
            <w:vAlign w:val="center"/>
          </w:tcPr>
          <w:p w14:paraId="48FF6040"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 xml:space="preserve">14 720,88 </w:t>
            </w:r>
            <w:r w:rsidRPr="00D971ED">
              <w:rPr>
                <w:rFonts w:cstheme="minorHAnsi"/>
                <w:bCs/>
                <w:szCs w:val="24"/>
              </w:rPr>
              <w:t>mln m</w:t>
            </w:r>
            <w:r w:rsidRPr="00D971ED">
              <w:rPr>
                <w:rFonts w:cstheme="minorHAnsi"/>
                <w:bCs/>
                <w:szCs w:val="24"/>
                <w:vertAlign w:val="superscript"/>
              </w:rPr>
              <w:t>3</w:t>
            </w:r>
          </w:p>
        </w:tc>
        <w:tc>
          <w:tcPr>
            <w:tcW w:w="362" w:type="pct"/>
            <w:vAlign w:val="center"/>
          </w:tcPr>
          <w:p w14:paraId="081C62A0"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w:t>
            </w:r>
          </w:p>
        </w:tc>
        <w:tc>
          <w:tcPr>
            <w:tcW w:w="828" w:type="pct"/>
            <w:vAlign w:val="center"/>
          </w:tcPr>
          <w:p w14:paraId="440052C4"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
                <w:szCs w:val="24"/>
              </w:rPr>
            </w:pPr>
            <w:r w:rsidRPr="00D971ED">
              <w:rPr>
                <w:rFonts w:cstheme="minorHAnsi"/>
                <w:szCs w:val="24"/>
              </w:rPr>
              <w:t xml:space="preserve">11 420,88 </w:t>
            </w:r>
            <w:r w:rsidRPr="00D971ED">
              <w:rPr>
                <w:rFonts w:cstheme="minorHAnsi"/>
                <w:bCs/>
                <w:szCs w:val="24"/>
              </w:rPr>
              <w:t>mln m</w:t>
            </w:r>
            <w:r w:rsidRPr="00D971ED">
              <w:rPr>
                <w:rFonts w:cstheme="minorHAnsi"/>
                <w:bCs/>
                <w:szCs w:val="24"/>
                <w:vertAlign w:val="superscript"/>
              </w:rPr>
              <w:t>3</w:t>
            </w:r>
          </w:p>
        </w:tc>
        <w:tc>
          <w:tcPr>
            <w:tcW w:w="621" w:type="pct"/>
            <w:vAlign w:val="center"/>
          </w:tcPr>
          <w:p w14:paraId="5B73FD59"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 xml:space="preserve">32,99 </w:t>
            </w:r>
            <w:r w:rsidRPr="00D971ED">
              <w:rPr>
                <w:rFonts w:cstheme="minorHAnsi"/>
                <w:bCs/>
                <w:szCs w:val="24"/>
              </w:rPr>
              <w:t>mln m</w:t>
            </w:r>
            <w:r w:rsidRPr="00D971ED">
              <w:rPr>
                <w:rFonts w:cstheme="minorHAnsi"/>
                <w:bCs/>
                <w:szCs w:val="24"/>
                <w:vertAlign w:val="superscript"/>
              </w:rPr>
              <w:t>3</w:t>
            </w:r>
          </w:p>
        </w:tc>
        <w:tc>
          <w:tcPr>
            <w:tcW w:w="1483" w:type="pct"/>
            <w:vAlign w:val="center"/>
          </w:tcPr>
          <w:p w14:paraId="0BCB1880"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bCs/>
                <w:szCs w:val="24"/>
              </w:rPr>
              <w:t>Aktualnie wydobycie azotowego gazu ziemnego prowadzi się w kraju tylko ze złoża Cychry na terenie woj. zachodniopomorskiego (p. myśliborski).</w:t>
            </w:r>
          </w:p>
        </w:tc>
      </w:tr>
      <w:tr w:rsidR="00B83214" w:rsidRPr="00D971ED" w14:paraId="6F0AA4EA" w14:textId="77777777" w:rsidTr="00B83214">
        <w:tc>
          <w:tcPr>
            <w:cnfStyle w:val="001000000000" w:firstRow="0" w:lastRow="0" w:firstColumn="1" w:lastColumn="0" w:oddVBand="0" w:evenVBand="0" w:oddHBand="0" w:evenHBand="0" w:firstRowFirstColumn="0" w:firstRowLastColumn="0" w:lastRowFirstColumn="0" w:lastRowLastColumn="0"/>
            <w:tcW w:w="878" w:type="pct"/>
            <w:vAlign w:val="center"/>
          </w:tcPr>
          <w:p w14:paraId="4D3B1367" w14:textId="77777777" w:rsidR="00B83214" w:rsidRPr="00D971ED" w:rsidRDefault="00B83214" w:rsidP="00B83214">
            <w:pPr>
              <w:spacing w:before="0" w:line="240" w:lineRule="auto"/>
              <w:rPr>
                <w:rFonts w:cstheme="minorHAnsi"/>
                <w:szCs w:val="24"/>
                <w:highlight w:val="yellow"/>
              </w:rPr>
            </w:pPr>
            <w:r w:rsidRPr="00D971ED">
              <w:rPr>
                <w:rFonts w:cstheme="minorHAnsi"/>
                <w:szCs w:val="24"/>
              </w:rPr>
              <w:t>Gaz ziemny</w:t>
            </w:r>
          </w:p>
        </w:tc>
        <w:tc>
          <w:tcPr>
            <w:tcW w:w="828" w:type="pct"/>
            <w:vAlign w:val="center"/>
          </w:tcPr>
          <w:p w14:paraId="6E6447A2"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141 643,38mln m</w:t>
            </w:r>
            <w:r w:rsidRPr="00D971ED">
              <w:rPr>
                <w:rFonts w:cstheme="minorHAnsi"/>
                <w:bCs/>
                <w:szCs w:val="24"/>
                <w:vertAlign w:val="superscript"/>
              </w:rPr>
              <w:t>3</w:t>
            </w:r>
          </w:p>
        </w:tc>
        <w:tc>
          <w:tcPr>
            <w:tcW w:w="362" w:type="pct"/>
            <w:vAlign w:val="center"/>
          </w:tcPr>
          <w:p w14:paraId="181CFD4D"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23</w:t>
            </w:r>
          </w:p>
        </w:tc>
        <w:tc>
          <w:tcPr>
            <w:tcW w:w="828" w:type="pct"/>
            <w:vAlign w:val="center"/>
          </w:tcPr>
          <w:p w14:paraId="2B2E3895"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7 698,77 mln m</w:t>
            </w:r>
            <w:r w:rsidRPr="00D971ED">
              <w:rPr>
                <w:rFonts w:cstheme="minorHAnsi"/>
                <w:bCs/>
                <w:szCs w:val="24"/>
                <w:vertAlign w:val="superscript"/>
              </w:rPr>
              <w:t>3</w:t>
            </w:r>
          </w:p>
        </w:tc>
        <w:tc>
          <w:tcPr>
            <w:tcW w:w="621" w:type="pct"/>
            <w:vAlign w:val="center"/>
          </w:tcPr>
          <w:p w14:paraId="273D7C27"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496,88 mln m</w:t>
            </w:r>
            <w:r w:rsidRPr="00D971ED">
              <w:rPr>
                <w:rFonts w:cstheme="minorHAnsi"/>
                <w:bCs/>
                <w:szCs w:val="24"/>
                <w:vertAlign w:val="superscript"/>
              </w:rPr>
              <w:t>3</w:t>
            </w:r>
          </w:p>
        </w:tc>
        <w:tc>
          <w:tcPr>
            <w:tcW w:w="1483" w:type="pct"/>
            <w:vAlign w:val="center"/>
          </w:tcPr>
          <w:p w14:paraId="7CD0BDB4"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w:t>
            </w:r>
          </w:p>
        </w:tc>
      </w:tr>
      <w:tr w:rsidR="00B83214" w:rsidRPr="00D971ED" w14:paraId="295DE8AC" w14:textId="77777777" w:rsidTr="00B83214">
        <w:tc>
          <w:tcPr>
            <w:cnfStyle w:val="001000000000" w:firstRow="0" w:lastRow="0" w:firstColumn="1" w:lastColumn="0" w:oddVBand="0" w:evenVBand="0" w:oddHBand="0" w:evenHBand="0" w:firstRowFirstColumn="0" w:firstRowLastColumn="0" w:lastRowFirstColumn="0" w:lastRowLastColumn="0"/>
            <w:tcW w:w="878" w:type="pct"/>
            <w:vAlign w:val="center"/>
          </w:tcPr>
          <w:p w14:paraId="06658EE3" w14:textId="77777777" w:rsidR="00B83214" w:rsidRPr="00D971ED" w:rsidRDefault="00B83214" w:rsidP="00B83214">
            <w:pPr>
              <w:spacing w:before="0" w:line="240" w:lineRule="auto"/>
              <w:rPr>
                <w:rFonts w:cstheme="minorHAnsi"/>
                <w:szCs w:val="24"/>
              </w:rPr>
            </w:pPr>
            <w:r w:rsidRPr="00D971ED">
              <w:rPr>
                <w:rFonts w:cstheme="minorHAnsi"/>
                <w:szCs w:val="24"/>
              </w:rPr>
              <w:t>Ropa naftowa</w:t>
            </w:r>
          </w:p>
        </w:tc>
        <w:tc>
          <w:tcPr>
            <w:tcW w:w="828" w:type="pct"/>
            <w:vAlign w:val="center"/>
          </w:tcPr>
          <w:p w14:paraId="012740E8"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107 229,25 mln m</w:t>
            </w:r>
            <w:r w:rsidRPr="00D971ED">
              <w:rPr>
                <w:rFonts w:cstheme="minorHAnsi"/>
                <w:bCs/>
                <w:szCs w:val="24"/>
                <w:vertAlign w:val="superscript"/>
              </w:rPr>
              <w:t>3</w:t>
            </w:r>
          </w:p>
        </w:tc>
        <w:tc>
          <w:tcPr>
            <w:tcW w:w="362" w:type="pct"/>
            <w:vAlign w:val="center"/>
          </w:tcPr>
          <w:p w14:paraId="59F1BEB9"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11</w:t>
            </w:r>
          </w:p>
        </w:tc>
        <w:tc>
          <w:tcPr>
            <w:tcW w:w="828" w:type="pct"/>
            <w:vAlign w:val="center"/>
          </w:tcPr>
          <w:p w14:paraId="2A2EB320"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6 800,53 mln m3</w:t>
            </w:r>
          </w:p>
        </w:tc>
        <w:tc>
          <w:tcPr>
            <w:tcW w:w="621" w:type="pct"/>
            <w:vAlign w:val="center"/>
          </w:tcPr>
          <w:p w14:paraId="5C9A917D"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332,35 mln m</w:t>
            </w:r>
            <w:r w:rsidRPr="00D971ED">
              <w:rPr>
                <w:rFonts w:cstheme="minorHAnsi"/>
                <w:bCs/>
                <w:szCs w:val="24"/>
                <w:vertAlign w:val="superscript"/>
              </w:rPr>
              <w:t>3</w:t>
            </w:r>
          </w:p>
        </w:tc>
        <w:tc>
          <w:tcPr>
            <w:tcW w:w="1483" w:type="pct"/>
            <w:vAlign w:val="center"/>
          </w:tcPr>
          <w:p w14:paraId="30CC5176"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w:t>
            </w:r>
          </w:p>
        </w:tc>
      </w:tr>
      <w:tr w:rsidR="00B83214" w:rsidRPr="00D971ED" w14:paraId="1050A7A3" w14:textId="77777777" w:rsidTr="00B83214">
        <w:tc>
          <w:tcPr>
            <w:cnfStyle w:val="001000000000" w:firstRow="0" w:lastRow="0" w:firstColumn="1" w:lastColumn="0" w:oddVBand="0" w:evenVBand="0" w:oddHBand="0" w:evenHBand="0" w:firstRowFirstColumn="0" w:firstRowLastColumn="0" w:lastRowFirstColumn="0" w:lastRowLastColumn="0"/>
            <w:tcW w:w="878" w:type="pct"/>
            <w:vAlign w:val="center"/>
          </w:tcPr>
          <w:p w14:paraId="12B3C8EE" w14:textId="77777777" w:rsidR="00B83214" w:rsidRPr="00D971ED" w:rsidRDefault="00B83214" w:rsidP="00B83214">
            <w:pPr>
              <w:spacing w:before="0" w:line="240" w:lineRule="auto"/>
              <w:rPr>
                <w:rFonts w:cstheme="minorHAnsi"/>
                <w:szCs w:val="24"/>
                <w:highlight w:val="yellow"/>
              </w:rPr>
            </w:pPr>
            <w:r w:rsidRPr="00D971ED">
              <w:rPr>
                <w:rFonts w:cstheme="minorHAnsi"/>
                <w:szCs w:val="24"/>
              </w:rPr>
              <w:t>Siarka ze złóż gazu ziemnego i ropy naftowej</w:t>
            </w:r>
          </w:p>
        </w:tc>
        <w:tc>
          <w:tcPr>
            <w:tcW w:w="828" w:type="pct"/>
            <w:vAlign w:val="center"/>
          </w:tcPr>
          <w:p w14:paraId="16302004"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365.34</w:t>
            </w:r>
          </w:p>
        </w:tc>
        <w:tc>
          <w:tcPr>
            <w:tcW w:w="362" w:type="pct"/>
            <w:vAlign w:val="center"/>
          </w:tcPr>
          <w:p w14:paraId="4F48ECDA"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3</w:t>
            </w:r>
          </w:p>
        </w:tc>
        <w:tc>
          <w:tcPr>
            <w:tcW w:w="828" w:type="pct"/>
            <w:vAlign w:val="center"/>
          </w:tcPr>
          <w:p w14:paraId="3BB35843"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highlight w:val="yellow"/>
              </w:rPr>
            </w:pPr>
            <w:r w:rsidRPr="00D971ED">
              <w:rPr>
                <w:rFonts w:cstheme="minorHAnsi"/>
                <w:bCs/>
                <w:szCs w:val="24"/>
              </w:rPr>
              <w:t>360,14</w:t>
            </w:r>
          </w:p>
        </w:tc>
        <w:tc>
          <w:tcPr>
            <w:tcW w:w="621" w:type="pct"/>
            <w:vAlign w:val="center"/>
          </w:tcPr>
          <w:p w14:paraId="6A4DDFD9"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highlight w:val="yellow"/>
              </w:rPr>
            </w:pPr>
            <w:r w:rsidRPr="00D971ED">
              <w:rPr>
                <w:rFonts w:cstheme="minorHAnsi"/>
                <w:bCs/>
                <w:szCs w:val="24"/>
              </w:rPr>
              <w:t>24,38</w:t>
            </w:r>
          </w:p>
        </w:tc>
        <w:tc>
          <w:tcPr>
            <w:tcW w:w="1483" w:type="pct"/>
            <w:vAlign w:val="center"/>
          </w:tcPr>
          <w:p w14:paraId="48917C0C"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W Polsce udokumentowano cztery złoża zasiarczonej ropy naftowej i gazu ziemnego, w tym 3 znajdują się na terenie woj. zachodniopomorskiego. Odzysk siarki prowadzony jest na złożach BMB (Barnówko – Mostno – Buszewo), Cychry, Zielin.</w:t>
            </w:r>
          </w:p>
        </w:tc>
      </w:tr>
      <w:tr w:rsidR="00B83214" w:rsidRPr="00D971ED" w14:paraId="7D063987" w14:textId="77777777" w:rsidTr="00B83214">
        <w:trPr>
          <w:trHeight w:val="438"/>
        </w:trPr>
        <w:tc>
          <w:tcPr>
            <w:cnfStyle w:val="001000000000" w:firstRow="0" w:lastRow="0" w:firstColumn="1" w:lastColumn="0" w:oddVBand="0" w:evenVBand="0" w:oddHBand="0" w:evenHBand="0" w:firstRowFirstColumn="0" w:firstRowLastColumn="0" w:lastRowFirstColumn="0" w:lastRowLastColumn="0"/>
            <w:tcW w:w="878" w:type="pct"/>
            <w:vAlign w:val="center"/>
            <w:hideMark/>
          </w:tcPr>
          <w:p w14:paraId="013BD270" w14:textId="77777777" w:rsidR="00B83214" w:rsidRPr="00D971ED" w:rsidRDefault="00B83214" w:rsidP="00B83214">
            <w:pPr>
              <w:spacing w:before="0" w:line="240" w:lineRule="auto"/>
              <w:rPr>
                <w:rFonts w:cstheme="minorHAnsi"/>
                <w:szCs w:val="24"/>
              </w:rPr>
            </w:pPr>
            <w:r w:rsidRPr="00D971ED">
              <w:rPr>
                <w:rFonts w:cstheme="minorHAnsi"/>
                <w:szCs w:val="24"/>
              </w:rPr>
              <w:t>Kamienie łamane i bloczne</w:t>
            </w:r>
          </w:p>
        </w:tc>
        <w:tc>
          <w:tcPr>
            <w:tcW w:w="828" w:type="pct"/>
            <w:vAlign w:val="center"/>
            <w:hideMark/>
          </w:tcPr>
          <w:p w14:paraId="6F04CB55"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bCs/>
                <w:szCs w:val="24"/>
              </w:rPr>
              <w:t>11 521 437</w:t>
            </w:r>
          </w:p>
        </w:tc>
        <w:tc>
          <w:tcPr>
            <w:tcW w:w="362" w:type="pct"/>
            <w:vAlign w:val="center"/>
          </w:tcPr>
          <w:p w14:paraId="25F96202"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w:t>
            </w:r>
          </w:p>
        </w:tc>
        <w:tc>
          <w:tcPr>
            <w:tcW w:w="828" w:type="pct"/>
            <w:vAlign w:val="center"/>
          </w:tcPr>
          <w:p w14:paraId="6B31BBC5"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225</w:t>
            </w:r>
          </w:p>
        </w:tc>
        <w:tc>
          <w:tcPr>
            <w:tcW w:w="621" w:type="pct"/>
            <w:vAlign w:val="center"/>
          </w:tcPr>
          <w:p w14:paraId="6DFD549F"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c>
          <w:tcPr>
            <w:tcW w:w="1483" w:type="pct"/>
            <w:vAlign w:val="center"/>
          </w:tcPr>
          <w:p w14:paraId="2AA452B8"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p>
        </w:tc>
      </w:tr>
      <w:tr w:rsidR="00B83214" w:rsidRPr="00D971ED" w14:paraId="0FC72D36" w14:textId="77777777" w:rsidTr="00B83214">
        <w:trPr>
          <w:trHeight w:val="569"/>
        </w:trPr>
        <w:tc>
          <w:tcPr>
            <w:cnfStyle w:val="001000000000" w:firstRow="0" w:lastRow="0" w:firstColumn="1" w:lastColumn="0" w:oddVBand="0" w:evenVBand="0" w:oddHBand="0" w:evenHBand="0" w:firstRowFirstColumn="0" w:firstRowLastColumn="0" w:lastRowFirstColumn="0" w:lastRowLastColumn="0"/>
            <w:tcW w:w="878" w:type="pct"/>
            <w:vAlign w:val="center"/>
          </w:tcPr>
          <w:p w14:paraId="72D9E454" w14:textId="77777777" w:rsidR="00B83214" w:rsidRPr="00D971ED" w:rsidRDefault="00B83214" w:rsidP="00B83214">
            <w:pPr>
              <w:spacing w:before="0" w:line="240" w:lineRule="auto"/>
              <w:rPr>
                <w:rFonts w:cstheme="minorHAnsi"/>
                <w:szCs w:val="24"/>
              </w:rPr>
            </w:pPr>
            <w:r w:rsidRPr="00D971ED">
              <w:rPr>
                <w:rFonts w:cstheme="minorHAnsi"/>
                <w:szCs w:val="24"/>
              </w:rPr>
              <w:t>Kredy jeziorna i kreda pisząca</w:t>
            </w:r>
          </w:p>
        </w:tc>
        <w:tc>
          <w:tcPr>
            <w:tcW w:w="828" w:type="pct"/>
            <w:vAlign w:val="center"/>
          </w:tcPr>
          <w:p w14:paraId="2C19671F"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bCs/>
                <w:szCs w:val="24"/>
              </w:rPr>
            </w:pPr>
            <w:r w:rsidRPr="00D971ED">
              <w:rPr>
                <w:rFonts w:cstheme="minorHAnsi"/>
                <w:bCs/>
                <w:szCs w:val="24"/>
              </w:rPr>
              <w:t>206 617</w:t>
            </w:r>
          </w:p>
        </w:tc>
        <w:tc>
          <w:tcPr>
            <w:tcW w:w="362" w:type="pct"/>
            <w:vAlign w:val="center"/>
          </w:tcPr>
          <w:p w14:paraId="6595ECCC"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41</w:t>
            </w:r>
          </w:p>
        </w:tc>
        <w:tc>
          <w:tcPr>
            <w:tcW w:w="828" w:type="pct"/>
            <w:vAlign w:val="center"/>
          </w:tcPr>
          <w:p w14:paraId="43AA3476"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56 836</w:t>
            </w:r>
          </w:p>
        </w:tc>
        <w:tc>
          <w:tcPr>
            <w:tcW w:w="621" w:type="pct"/>
            <w:vAlign w:val="center"/>
          </w:tcPr>
          <w:p w14:paraId="73AB7159"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highlight w:val="yellow"/>
              </w:rPr>
            </w:pPr>
            <w:r w:rsidRPr="00D971ED">
              <w:rPr>
                <w:rFonts w:cstheme="minorHAnsi"/>
                <w:szCs w:val="24"/>
              </w:rPr>
              <w:t>31</w:t>
            </w:r>
          </w:p>
        </w:tc>
        <w:tc>
          <w:tcPr>
            <w:tcW w:w="1483" w:type="pct"/>
            <w:vAlign w:val="center"/>
          </w:tcPr>
          <w:p w14:paraId="13286569"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p>
        </w:tc>
      </w:tr>
      <w:tr w:rsidR="00B83214" w:rsidRPr="00D971ED" w14:paraId="21206688" w14:textId="77777777" w:rsidTr="00B83214">
        <w:trPr>
          <w:trHeight w:val="382"/>
        </w:trPr>
        <w:tc>
          <w:tcPr>
            <w:cnfStyle w:val="001000000000" w:firstRow="0" w:lastRow="0" w:firstColumn="1" w:lastColumn="0" w:oddVBand="0" w:evenVBand="0" w:oddHBand="0" w:evenHBand="0" w:firstRowFirstColumn="0" w:firstRowLastColumn="0" w:lastRowFirstColumn="0" w:lastRowLastColumn="0"/>
            <w:tcW w:w="878" w:type="pct"/>
            <w:vAlign w:val="center"/>
          </w:tcPr>
          <w:p w14:paraId="671E2FB4" w14:textId="77777777" w:rsidR="00B83214" w:rsidRPr="00D971ED" w:rsidRDefault="00B83214" w:rsidP="00B83214">
            <w:pPr>
              <w:spacing w:before="0" w:line="240" w:lineRule="auto"/>
              <w:rPr>
                <w:rFonts w:cstheme="minorHAnsi"/>
                <w:szCs w:val="24"/>
              </w:rPr>
            </w:pPr>
            <w:r w:rsidRPr="00D971ED">
              <w:rPr>
                <w:rFonts w:cstheme="minorHAnsi"/>
                <w:szCs w:val="24"/>
              </w:rPr>
              <w:t>Piaski formierskie</w:t>
            </w:r>
          </w:p>
        </w:tc>
        <w:tc>
          <w:tcPr>
            <w:tcW w:w="828" w:type="pct"/>
            <w:vAlign w:val="center"/>
          </w:tcPr>
          <w:p w14:paraId="0C190A59"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299 630,50</w:t>
            </w:r>
          </w:p>
        </w:tc>
        <w:tc>
          <w:tcPr>
            <w:tcW w:w="362" w:type="pct"/>
            <w:vAlign w:val="center"/>
          </w:tcPr>
          <w:p w14:paraId="37AEB8C5"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w:t>
            </w:r>
          </w:p>
        </w:tc>
        <w:tc>
          <w:tcPr>
            <w:tcW w:w="828" w:type="pct"/>
            <w:vAlign w:val="center"/>
          </w:tcPr>
          <w:p w14:paraId="44F33F7F"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bCs/>
                <w:szCs w:val="24"/>
              </w:rPr>
              <w:t>7 596</w:t>
            </w:r>
          </w:p>
        </w:tc>
        <w:tc>
          <w:tcPr>
            <w:tcW w:w="621" w:type="pct"/>
            <w:vAlign w:val="center"/>
          </w:tcPr>
          <w:p w14:paraId="42D7D47C"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c>
          <w:tcPr>
            <w:tcW w:w="1483" w:type="pct"/>
            <w:vAlign w:val="center"/>
          </w:tcPr>
          <w:p w14:paraId="6CFF81B8"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r>
      <w:tr w:rsidR="00B83214" w:rsidRPr="00D971ED" w14:paraId="4CB2995C" w14:textId="77777777" w:rsidTr="00B83214">
        <w:trPr>
          <w:trHeight w:val="498"/>
        </w:trPr>
        <w:tc>
          <w:tcPr>
            <w:cnfStyle w:val="001000000000" w:firstRow="0" w:lastRow="0" w:firstColumn="1" w:lastColumn="0" w:oddVBand="0" w:evenVBand="0" w:oddHBand="0" w:evenHBand="0" w:firstRowFirstColumn="0" w:firstRowLastColumn="0" w:lastRowFirstColumn="0" w:lastRowLastColumn="0"/>
            <w:tcW w:w="878" w:type="pct"/>
            <w:vAlign w:val="center"/>
          </w:tcPr>
          <w:p w14:paraId="730A3E74" w14:textId="77777777" w:rsidR="00B83214" w:rsidRPr="00D971ED" w:rsidRDefault="00B83214" w:rsidP="00B83214">
            <w:pPr>
              <w:spacing w:before="0" w:line="240" w:lineRule="auto"/>
              <w:rPr>
                <w:rFonts w:cstheme="minorHAnsi"/>
                <w:szCs w:val="24"/>
              </w:rPr>
            </w:pPr>
            <w:r w:rsidRPr="00D971ED">
              <w:rPr>
                <w:rFonts w:cstheme="minorHAnsi"/>
                <w:szCs w:val="24"/>
              </w:rPr>
              <w:t>Piaski i żwiry</w:t>
            </w:r>
          </w:p>
        </w:tc>
        <w:tc>
          <w:tcPr>
            <w:tcW w:w="828" w:type="pct"/>
            <w:vAlign w:val="center"/>
          </w:tcPr>
          <w:p w14:paraId="6B0ADA2E"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19 960,61</w:t>
            </w:r>
          </w:p>
        </w:tc>
        <w:tc>
          <w:tcPr>
            <w:tcW w:w="362" w:type="pct"/>
            <w:vAlign w:val="center"/>
          </w:tcPr>
          <w:p w14:paraId="1A610216"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397</w:t>
            </w:r>
          </w:p>
        </w:tc>
        <w:tc>
          <w:tcPr>
            <w:tcW w:w="828" w:type="pct"/>
            <w:vAlign w:val="center"/>
          </w:tcPr>
          <w:p w14:paraId="1699C4B6"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1 287 083</w:t>
            </w:r>
          </w:p>
        </w:tc>
        <w:tc>
          <w:tcPr>
            <w:tcW w:w="621" w:type="pct"/>
            <w:vAlign w:val="center"/>
          </w:tcPr>
          <w:p w14:paraId="241C2EDE"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11 261</w:t>
            </w:r>
          </w:p>
        </w:tc>
        <w:tc>
          <w:tcPr>
            <w:tcW w:w="1483" w:type="pct"/>
            <w:vAlign w:val="center"/>
          </w:tcPr>
          <w:p w14:paraId="683ECFB1"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p>
        </w:tc>
      </w:tr>
      <w:tr w:rsidR="00B83214" w:rsidRPr="00D971ED" w14:paraId="6C136BF9" w14:textId="77777777" w:rsidTr="00B83214">
        <w:trPr>
          <w:trHeight w:val="729"/>
        </w:trPr>
        <w:tc>
          <w:tcPr>
            <w:cnfStyle w:val="001000000000" w:firstRow="0" w:lastRow="0" w:firstColumn="1" w:lastColumn="0" w:oddVBand="0" w:evenVBand="0" w:oddHBand="0" w:evenHBand="0" w:firstRowFirstColumn="0" w:firstRowLastColumn="0" w:lastRowFirstColumn="0" w:lastRowLastColumn="0"/>
            <w:tcW w:w="878" w:type="pct"/>
            <w:vAlign w:val="center"/>
          </w:tcPr>
          <w:p w14:paraId="7AB23303" w14:textId="77777777" w:rsidR="00B83214" w:rsidRPr="00D971ED" w:rsidRDefault="00B83214" w:rsidP="00B83214">
            <w:pPr>
              <w:spacing w:before="0" w:line="240" w:lineRule="auto"/>
              <w:rPr>
                <w:rFonts w:cstheme="minorHAnsi"/>
                <w:szCs w:val="24"/>
              </w:rPr>
            </w:pPr>
            <w:r w:rsidRPr="00D971ED">
              <w:rPr>
                <w:rFonts w:cstheme="minorHAnsi"/>
                <w:szCs w:val="24"/>
              </w:rPr>
              <w:t>Piaski kwarcowe do produkcji</w:t>
            </w:r>
            <w:r w:rsidRPr="00D971ED">
              <w:rPr>
                <w:szCs w:val="24"/>
              </w:rPr>
              <w:t xml:space="preserve"> </w:t>
            </w:r>
            <w:r w:rsidRPr="00D971ED">
              <w:rPr>
                <w:rFonts w:cstheme="minorHAnsi"/>
                <w:szCs w:val="24"/>
              </w:rPr>
              <w:t>betonów komórkowych</w:t>
            </w:r>
          </w:p>
        </w:tc>
        <w:tc>
          <w:tcPr>
            <w:tcW w:w="828" w:type="pct"/>
            <w:vAlign w:val="center"/>
          </w:tcPr>
          <w:p w14:paraId="215BFD11"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137 090,46</w:t>
            </w:r>
            <w:r w:rsidRPr="00D971ED">
              <w:rPr>
                <w:szCs w:val="24"/>
              </w:rPr>
              <w:t xml:space="preserve"> </w:t>
            </w:r>
            <w:r w:rsidRPr="00D971ED">
              <w:rPr>
                <w:rFonts w:cstheme="minorHAnsi"/>
                <w:szCs w:val="24"/>
              </w:rPr>
              <w:t>tys. m</w:t>
            </w:r>
            <w:r w:rsidRPr="00D971ED">
              <w:rPr>
                <w:rFonts w:cstheme="minorHAnsi"/>
                <w:szCs w:val="24"/>
                <w:vertAlign w:val="superscript"/>
              </w:rPr>
              <w:t>3</w:t>
            </w:r>
          </w:p>
        </w:tc>
        <w:tc>
          <w:tcPr>
            <w:tcW w:w="362" w:type="pct"/>
            <w:vAlign w:val="center"/>
          </w:tcPr>
          <w:p w14:paraId="61083C22"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2</w:t>
            </w:r>
          </w:p>
        </w:tc>
        <w:tc>
          <w:tcPr>
            <w:tcW w:w="828" w:type="pct"/>
            <w:vAlign w:val="center"/>
          </w:tcPr>
          <w:p w14:paraId="13F7BEB8"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5 180</w:t>
            </w:r>
          </w:p>
        </w:tc>
        <w:tc>
          <w:tcPr>
            <w:tcW w:w="621" w:type="pct"/>
            <w:vAlign w:val="center"/>
          </w:tcPr>
          <w:p w14:paraId="225C4E92"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c>
          <w:tcPr>
            <w:tcW w:w="1483" w:type="pct"/>
            <w:vAlign w:val="center"/>
          </w:tcPr>
          <w:p w14:paraId="4A3EF395"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p>
        </w:tc>
      </w:tr>
      <w:tr w:rsidR="00B83214" w:rsidRPr="00D971ED" w14:paraId="3D483EFA" w14:textId="77777777" w:rsidTr="00B83214">
        <w:trPr>
          <w:trHeight w:val="729"/>
        </w:trPr>
        <w:tc>
          <w:tcPr>
            <w:cnfStyle w:val="001000000000" w:firstRow="0" w:lastRow="0" w:firstColumn="1" w:lastColumn="0" w:oddVBand="0" w:evenVBand="0" w:oddHBand="0" w:evenHBand="0" w:firstRowFirstColumn="0" w:firstRowLastColumn="0" w:lastRowFirstColumn="0" w:lastRowLastColumn="0"/>
            <w:tcW w:w="878" w:type="pct"/>
            <w:vAlign w:val="center"/>
          </w:tcPr>
          <w:p w14:paraId="40222F49" w14:textId="77777777" w:rsidR="00B83214" w:rsidRPr="00D971ED" w:rsidRDefault="00B83214" w:rsidP="00B83214">
            <w:pPr>
              <w:spacing w:before="0" w:line="240" w:lineRule="auto"/>
              <w:rPr>
                <w:rFonts w:cstheme="minorHAnsi"/>
                <w:szCs w:val="24"/>
              </w:rPr>
            </w:pPr>
            <w:r w:rsidRPr="00D971ED">
              <w:rPr>
                <w:rFonts w:cstheme="minorHAnsi"/>
                <w:szCs w:val="24"/>
              </w:rPr>
              <w:t>Piaski kwarcowe do produkcji cegły wapienno-piaskowej</w:t>
            </w:r>
          </w:p>
        </w:tc>
        <w:tc>
          <w:tcPr>
            <w:tcW w:w="828" w:type="pct"/>
            <w:vAlign w:val="center"/>
          </w:tcPr>
          <w:p w14:paraId="7A7CD8B6"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262 516,37 tys. m</w:t>
            </w:r>
            <w:r w:rsidRPr="00D971ED">
              <w:rPr>
                <w:rFonts w:cstheme="minorHAnsi"/>
                <w:szCs w:val="24"/>
                <w:vertAlign w:val="superscript"/>
              </w:rPr>
              <w:t>3</w:t>
            </w:r>
          </w:p>
        </w:tc>
        <w:tc>
          <w:tcPr>
            <w:tcW w:w="362" w:type="pct"/>
            <w:vAlign w:val="center"/>
          </w:tcPr>
          <w:p w14:paraId="2292AC1D"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13</w:t>
            </w:r>
          </w:p>
        </w:tc>
        <w:tc>
          <w:tcPr>
            <w:tcW w:w="828" w:type="pct"/>
            <w:vAlign w:val="center"/>
          </w:tcPr>
          <w:p w14:paraId="6FE1A0E2"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29 851.06</w:t>
            </w:r>
          </w:p>
        </w:tc>
        <w:tc>
          <w:tcPr>
            <w:tcW w:w="621" w:type="pct"/>
            <w:vAlign w:val="center"/>
          </w:tcPr>
          <w:p w14:paraId="3DE601D3"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42.94</w:t>
            </w:r>
          </w:p>
        </w:tc>
        <w:tc>
          <w:tcPr>
            <w:tcW w:w="1483" w:type="pct"/>
            <w:vAlign w:val="center"/>
          </w:tcPr>
          <w:p w14:paraId="3BE0E1EE"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p>
        </w:tc>
      </w:tr>
      <w:tr w:rsidR="00B83214" w:rsidRPr="00D971ED" w14:paraId="11A13AFB" w14:textId="77777777" w:rsidTr="00B83214">
        <w:trPr>
          <w:trHeight w:val="517"/>
        </w:trPr>
        <w:tc>
          <w:tcPr>
            <w:cnfStyle w:val="001000000000" w:firstRow="0" w:lastRow="0" w:firstColumn="1" w:lastColumn="0" w:oddVBand="0" w:evenVBand="0" w:oddHBand="0" w:evenHBand="0" w:firstRowFirstColumn="0" w:firstRowLastColumn="0" w:lastRowFirstColumn="0" w:lastRowLastColumn="0"/>
            <w:tcW w:w="878" w:type="pct"/>
            <w:vAlign w:val="center"/>
          </w:tcPr>
          <w:p w14:paraId="17A4DCA8" w14:textId="77777777" w:rsidR="00B83214" w:rsidRPr="00D971ED" w:rsidRDefault="00B83214" w:rsidP="00B83214">
            <w:pPr>
              <w:spacing w:before="0" w:line="240" w:lineRule="auto"/>
              <w:rPr>
                <w:rFonts w:cstheme="minorHAnsi"/>
                <w:szCs w:val="24"/>
              </w:rPr>
            </w:pPr>
            <w:r w:rsidRPr="00D971ED">
              <w:rPr>
                <w:rFonts w:cstheme="minorHAnsi"/>
                <w:szCs w:val="24"/>
              </w:rPr>
              <w:t>Surowce dla prac inżynierskich</w:t>
            </w:r>
          </w:p>
        </w:tc>
        <w:tc>
          <w:tcPr>
            <w:tcW w:w="828" w:type="pct"/>
            <w:vAlign w:val="center"/>
          </w:tcPr>
          <w:p w14:paraId="2AB1D8B9"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17 256 tys. m</w:t>
            </w:r>
            <w:r w:rsidRPr="00D971ED">
              <w:rPr>
                <w:rFonts w:cstheme="minorHAnsi"/>
                <w:szCs w:val="24"/>
                <w:vertAlign w:val="superscript"/>
              </w:rPr>
              <w:t>3</w:t>
            </w:r>
          </w:p>
        </w:tc>
        <w:tc>
          <w:tcPr>
            <w:tcW w:w="362" w:type="pct"/>
            <w:vAlign w:val="center"/>
          </w:tcPr>
          <w:p w14:paraId="03D3F3D3"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2</w:t>
            </w:r>
          </w:p>
        </w:tc>
        <w:tc>
          <w:tcPr>
            <w:tcW w:w="828" w:type="pct"/>
            <w:vAlign w:val="center"/>
          </w:tcPr>
          <w:p w14:paraId="753D851F"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1 673 tys. m</w:t>
            </w:r>
            <w:r w:rsidRPr="00D971ED">
              <w:rPr>
                <w:rFonts w:cstheme="minorHAnsi"/>
                <w:szCs w:val="24"/>
                <w:vertAlign w:val="superscript"/>
              </w:rPr>
              <w:t>3</w:t>
            </w:r>
          </w:p>
        </w:tc>
        <w:tc>
          <w:tcPr>
            <w:tcW w:w="621" w:type="pct"/>
            <w:vAlign w:val="center"/>
          </w:tcPr>
          <w:p w14:paraId="5428DB30"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69 tys. m</w:t>
            </w:r>
            <w:r w:rsidRPr="00D971ED">
              <w:rPr>
                <w:rFonts w:cstheme="minorHAnsi"/>
                <w:szCs w:val="24"/>
                <w:vertAlign w:val="superscript"/>
              </w:rPr>
              <w:t>3</w:t>
            </w:r>
          </w:p>
        </w:tc>
        <w:tc>
          <w:tcPr>
            <w:tcW w:w="1483" w:type="pct"/>
            <w:vAlign w:val="center"/>
          </w:tcPr>
          <w:p w14:paraId="3E6DB40D"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r>
      <w:tr w:rsidR="00B83214" w:rsidRPr="00D971ED" w14:paraId="23A87D88" w14:textId="77777777" w:rsidTr="00B83214">
        <w:trPr>
          <w:trHeight w:val="551"/>
        </w:trPr>
        <w:tc>
          <w:tcPr>
            <w:cnfStyle w:val="001000000000" w:firstRow="0" w:lastRow="0" w:firstColumn="1" w:lastColumn="0" w:oddVBand="0" w:evenVBand="0" w:oddHBand="0" w:evenHBand="0" w:firstRowFirstColumn="0" w:firstRowLastColumn="0" w:lastRowFirstColumn="0" w:lastRowLastColumn="0"/>
            <w:tcW w:w="878" w:type="pct"/>
            <w:vAlign w:val="center"/>
          </w:tcPr>
          <w:p w14:paraId="71606401" w14:textId="77777777" w:rsidR="00B83214" w:rsidRPr="00D971ED" w:rsidRDefault="00B83214" w:rsidP="00B83214">
            <w:pPr>
              <w:spacing w:before="0" w:line="240" w:lineRule="auto"/>
              <w:rPr>
                <w:rFonts w:cstheme="minorHAnsi"/>
                <w:szCs w:val="24"/>
              </w:rPr>
            </w:pPr>
            <w:r w:rsidRPr="00D971ED">
              <w:rPr>
                <w:rFonts w:cstheme="minorHAnsi"/>
                <w:szCs w:val="24"/>
              </w:rPr>
              <w:t>Surowce ilaste ceramiki budowlanej</w:t>
            </w:r>
          </w:p>
        </w:tc>
        <w:tc>
          <w:tcPr>
            <w:tcW w:w="828" w:type="pct"/>
            <w:vAlign w:val="center"/>
          </w:tcPr>
          <w:p w14:paraId="19E97CBE"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2 033 580 tys. m</w:t>
            </w:r>
            <w:r w:rsidRPr="00D971ED">
              <w:rPr>
                <w:rFonts w:cstheme="minorHAnsi"/>
                <w:szCs w:val="24"/>
                <w:vertAlign w:val="superscript"/>
              </w:rPr>
              <w:t>3</w:t>
            </w:r>
          </w:p>
        </w:tc>
        <w:tc>
          <w:tcPr>
            <w:tcW w:w="362" w:type="pct"/>
            <w:vAlign w:val="center"/>
          </w:tcPr>
          <w:p w14:paraId="2D633A99"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23</w:t>
            </w:r>
          </w:p>
        </w:tc>
        <w:tc>
          <w:tcPr>
            <w:tcW w:w="828" w:type="pct"/>
            <w:vAlign w:val="center"/>
          </w:tcPr>
          <w:p w14:paraId="52CBD48D"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32 467 tys. m</w:t>
            </w:r>
            <w:r w:rsidRPr="00D971ED">
              <w:rPr>
                <w:rFonts w:cstheme="minorHAnsi"/>
                <w:szCs w:val="24"/>
                <w:vertAlign w:val="superscript"/>
              </w:rPr>
              <w:t>3</w:t>
            </w:r>
          </w:p>
        </w:tc>
        <w:tc>
          <w:tcPr>
            <w:tcW w:w="621" w:type="pct"/>
            <w:vAlign w:val="center"/>
          </w:tcPr>
          <w:p w14:paraId="70A5FE4F"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44 tys. m</w:t>
            </w:r>
            <w:r w:rsidRPr="00D971ED">
              <w:rPr>
                <w:rFonts w:cstheme="minorHAnsi"/>
                <w:szCs w:val="24"/>
                <w:vertAlign w:val="superscript"/>
              </w:rPr>
              <w:t>3</w:t>
            </w:r>
          </w:p>
        </w:tc>
        <w:tc>
          <w:tcPr>
            <w:tcW w:w="1483" w:type="pct"/>
            <w:vAlign w:val="center"/>
          </w:tcPr>
          <w:p w14:paraId="2B1A1BC7"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r>
      <w:tr w:rsidR="00B83214" w:rsidRPr="00D971ED" w14:paraId="29B762D0" w14:textId="77777777" w:rsidTr="00B83214">
        <w:trPr>
          <w:trHeight w:val="713"/>
        </w:trPr>
        <w:tc>
          <w:tcPr>
            <w:cnfStyle w:val="001000000000" w:firstRow="0" w:lastRow="0" w:firstColumn="1" w:lastColumn="0" w:oddVBand="0" w:evenVBand="0" w:oddHBand="0" w:evenHBand="0" w:firstRowFirstColumn="0" w:firstRowLastColumn="0" w:lastRowFirstColumn="0" w:lastRowLastColumn="0"/>
            <w:tcW w:w="878" w:type="pct"/>
            <w:vAlign w:val="center"/>
          </w:tcPr>
          <w:p w14:paraId="11E494E3" w14:textId="77777777" w:rsidR="00B83214" w:rsidRPr="00D971ED" w:rsidRDefault="00B83214" w:rsidP="00B83214">
            <w:pPr>
              <w:spacing w:before="0" w:line="240" w:lineRule="auto"/>
              <w:rPr>
                <w:rFonts w:cstheme="minorHAnsi"/>
                <w:szCs w:val="24"/>
              </w:rPr>
            </w:pPr>
            <w:r w:rsidRPr="00D971ED">
              <w:rPr>
                <w:rFonts w:cstheme="minorHAnsi"/>
                <w:szCs w:val="24"/>
              </w:rPr>
              <w:t>Surowce ilaste do produkcji kruszywa lekkiego</w:t>
            </w:r>
          </w:p>
        </w:tc>
        <w:tc>
          <w:tcPr>
            <w:tcW w:w="828" w:type="pct"/>
            <w:vAlign w:val="center"/>
          </w:tcPr>
          <w:p w14:paraId="09309113"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167 856 tys. m</w:t>
            </w:r>
            <w:r w:rsidRPr="00D971ED">
              <w:rPr>
                <w:rFonts w:cstheme="minorHAnsi"/>
                <w:szCs w:val="24"/>
                <w:vertAlign w:val="superscript"/>
              </w:rPr>
              <w:t>3</w:t>
            </w:r>
          </w:p>
        </w:tc>
        <w:tc>
          <w:tcPr>
            <w:tcW w:w="362" w:type="pct"/>
            <w:vAlign w:val="center"/>
          </w:tcPr>
          <w:p w14:paraId="273A39C1"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w:t>
            </w:r>
          </w:p>
        </w:tc>
        <w:tc>
          <w:tcPr>
            <w:tcW w:w="828" w:type="pct"/>
            <w:vAlign w:val="center"/>
          </w:tcPr>
          <w:p w14:paraId="7FC66F43"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2 493 tys. m</w:t>
            </w:r>
            <w:r w:rsidRPr="00D971ED">
              <w:rPr>
                <w:rFonts w:cstheme="minorHAnsi"/>
                <w:szCs w:val="24"/>
                <w:vertAlign w:val="superscript"/>
              </w:rPr>
              <w:t>3</w:t>
            </w:r>
          </w:p>
        </w:tc>
        <w:tc>
          <w:tcPr>
            <w:tcW w:w="621" w:type="pct"/>
            <w:vAlign w:val="center"/>
          </w:tcPr>
          <w:p w14:paraId="7AA7487C"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c>
          <w:tcPr>
            <w:tcW w:w="1483" w:type="pct"/>
            <w:vAlign w:val="center"/>
          </w:tcPr>
          <w:p w14:paraId="7E94B381"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r>
      <w:tr w:rsidR="00B83214" w:rsidRPr="00D971ED" w14:paraId="7B7E64E7" w14:textId="77777777" w:rsidTr="00B83214">
        <w:trPr>
          <w:trHeight w:val="713"/>
        </w:trPr>
        <w:tc>
          <w:tcPr>
            <w:cnfStyle w:val="001000000000" w:firstRow="0" w:lastRow="0" w:firstColumn="1" w:lastColumn="0" w:oddVBand="0" w:evenVBand="0" w:oddHBand="0" w:evenHBand="0" w:firstRowFirstColumn="0" w:firstRowLastColumn="0" w:lastRowFirstColumn="0" w:lastRowLastColumn="0"/>
            <w:tcW w:w="878" w:type="pct"/>
            <w:vAlign w:val="center"/>
          </w:tcPr>
          <w:p w14:paraId="7B567E48" w14:textId="77777777" w:rsidR="00B83214" w:rsidRPr="00D971ED" w:rsidRDefault="00B83214" w:rsidP="00B83214">
            <w:pPr>
              <w:spacing w:before="0" w:line="240" w:lineRule="auto"/>
              <w:rPr>
                <w:rFonts w:cstheme="minorHAnsi"/>
                <w:szCs w:val="24"/>
              </w:rPr>
            </w:pPr>
            <w:r w:rsidRPr="00D971ED">
              <w:rPr>
                <w:rFonts w:cstheme="minorHAnsi"/>
                <w:szCs w:val="24"/>
              </w:rPr>
              <w:t>Surowce szklarskie</w:t>
            </w:r>
          </w:p>
        </w:tc>
        <w:tc>
          <w:tcPr>
            <w:tcW w:w="828" w:type="pct"/>
            <w:vAlign w:val="center"/>
          </w:tcPr>
          <w:p w14:paraId="40377D41"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660 905,63</w:t>
            </w:r>
          </w:p>
        </w:tc>
        <w:tc>
          <w:tcPr>
            <w:tcW w:w="362" w:type="pct"/>
            <w:vAlign w:val="center"/>
          </w:tcPr>
          <w:p w14:paraId="2BCCEC13"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w:t>
            </w:r>
          </w:p>
        </w:tc>
        <w:tc>
          <w:tcPr>
            <w:tcW w:w="828" w:type="pct"/>
            <w:vAlign w:val="center"/>
          </w:tcPr>
          <w:p w14:paraId="6F8956FD"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10 777.30</w:t>
            </w:r>
          </w:p>
        </w:tc>
        <w:tc>
          <w:tcPr>
            <w:tcW w:w="621" w:type="pct"/>
            <w:vAlign w:val="center"/>
          </w:tcPr>
          <w:p w14:paraId="02DB09B2"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c>
          <w:tcPr>
            <w:tcW w:w="1483" w:type="pct"/>
            <w:vAlign w:val="center"/>
          </w:tcPr>
          <w:p w14:paraId="280FA6CA"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r>
      <w:tr w:rsidR="00B83214" w:rsidRPr="00D971ED" w14:paraId="4A9A3A80" w14:textId="77777777" w:rsidTr="00B83214">
        <w:trPr>
          <w:trHeight w:val="398"/>
        </w:trPr>
        <w:tc>
          <w:tcPr>
            <w:cnfStyle w:val="001000000000" w:firstRow="0" w:lastRow="0" w:firstColumn="1" w:lastColumn="0" w:oddVBand="0" w:evenVBand="0" w:oddHBand="0" w:evenHBand="0" w:firstRowFirstColumn="0" w:firstRowLastColumn="0" w:lastRowFirstColumn="0" w:lastRowLastColumn="0"/>
            <w:tcW w:w="878" w:type="pct"/>
            <w:vAlign w:val="center"/>
          </w:tcPr>
          <w:p w14:paraId="3AF1FABD" w14:textId="77777777" w:rsidR="00B83214" w:rsidRPr="00D971ED" w:rsidRDefault="00B83214" w:rsidP="00B83214">
            <w:pPr>
              <w:spacing w:before="0" w:line="240" w:lineRule="auto"/>
              <w:rPr>
                <w:rFonts w:cstheme="minorHAnsi"/>
                <w:szCs w:val="24"/>
              </w:rPr>
            </w:pPr>
            <w:r w:rsidRPr="00D971ED">
              <w:rPr>
                <w:rFonts w:cstheme="minorHAnsi"/>
                <w:szCs w:val="24"/>
              </w:rPr>
              <w:t>Torfy</w:t>
            </w:r>
          </w:p>
        </w:tc>
        <w:tc>
          <w:tcPr>
            <w:tcW w:w="828" w:type="pct"/>
            <w:vAlign w:val="center"/>
          </w:tcPr>
          <w:p w14:paraId="702CF20F"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81 419,75 tys. m</w:t>
            </w:r>
            <w:r w:rsidRPr="00D971ED">
              <w:rPr>
                <w:rFonts w:cstheme="minorHAnsi"/>
                <w:szCs w:val="24"/>
                <w:vertAlign w:val="superscript"/>
              </w:rPr>
              <w:t>3</w:t>
            </w:r>
          </w:p>
        </w:tc>
        <w:tc>
          <w:tcPr>
            <w:tcW w:w="362" w:type="pct"/>
            <w:vAlign w:val="center"/>
          </w:tcPr>
          <w:p w14:paraId="074F1BA5"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32</w:t>
            </w:r>
          </w:p>
        </w:tc>
        <w:tc>
          <w:tcPr>
            <w:tcW w:w="828" w:type="pct"/>
            <w:vAlign w:val="center"/>
          </w:tcPr>
          <w:p w14:paraId="00E43587"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24 113,84 tys. m</w:t>
            </w:r>
            <w:r w:rsidRPr="00D971ED">
              <w:rPr>
                <w:rFonts w:cstheme="minorHAnsi"/>
                <w:szCs w:val="24"/>
                <w:vertAlign w:val="superscript"/>
              </w:rPr>
              <w:t>3</w:t>
            </w:r>
          </w:p>
        </w:tc>
        <w:tc>
          <w:tcPr>
            <w:tcW w:w="621" w:type="pct"/>
            <w:vAlign w:val="center"/>
          </w:tcPr>
          <w:p w14:paraId="4DE63271"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315,61tys. m</w:t>
            </w:r>
            <w:r w:rsidRPr="00D971ED">
              <w:rPr>
                <w:rFonts w:cstheme="minorHAnsi"/>
                <w:szCs w:val="24"/>
                <w:vertAlign w:val="superscript"/>
              </w:rPr>
              <w:t>3</w:t>
            </w:r>
          </w:p>
        </w:tc>
        <w:tc>
          <w:tcPr>
            <w:tcW w:w="1483" w:type="pct"/>
            <w:vAlign w:val="center"/>
          </w:tcPr>
          <w:p w14:paraId="1329EDF3"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r>
      <w:tr w:rsidR="00B83214" w:rsidRPr="00D971ED" w14:paraId="020C0066" w14:textId="77777777" w:rsidTr="00B83214">
        <w:trPr>
          <w:trHeight w:val="418"/>
        </w:trPr>
        <w:tc>
          <w:tcPr>
            <w:cnfStyle w:val="001000000000" w:firstRow="0" w:lastRow="0" w:firstColumn="1" w:lastColumn="0" w:oddVBand="0" w:evenVBand="0" w:oddHBand="0" w:evenHBand="0" w:firstRowFirstColumn="0" w:firstRowLastColumn="0" w:lastRowFirstColumn="0" w:lastRowLastColumn="0"/>
            <w:tcW w:w="878" w:type="pct"/>
            <w:vAlign w:val="center"/>
          </w:tcPr>
          <w:p w14:paraId="19C31552" w14:textId="77777777" w:rsidR="00B83214" w:rsidRPr="00D971ED" w:rsidRDefault="00B83214" w:rsidP="00B83214">
            <w:pPr>
              <w:spacing w:before="0" w:line="240" w:lineRule="auto"/>
              <w:rPr>
                <w:rFonts w:cstheme="minorHAnsi"/>
                <w:szCs w:val="24"/>
              </w:rPr>
            </w:pPr>
            <w:r w:rsidRPr="00D971ED">
              <w:rPr>
                <w:rFonts w:cstheme="minorHAnsi"/>
                <w:szCs w:val="24"/>
              </w:rPr>
              <w:t>Borowiny</w:t>
            </w:r>
          </w:p>
        </w:tc>
        <w:tc>
          <w:tcPr>
            <w:tcW w:w="828" w:type="pct"/>
            <w:vAlign w:val="center"/>
          </w:tcPr>
          <w:p w14:paraId="6C15B5F1"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10 146,30 tys. m</w:t>
            </w:r>
            <w:r w:rsidRPr="00D971ED">
              <w:rPr>
                <w:rFonts w:cstheme="minorHAnsi"/>
                <w:szCs w:val="24"/>
                <w:vertAlign w:val="superscript"/>
              </w:rPr>
              <w:t>3</w:t>
            </w:r>
          </w:p>
        </w:tc>
        <w:tc>
          <w:tcPr>
            <w:tcW w:w="362" w:type="pct"/>
            <w:vAlign w:val="center"/>
          </w:tcPr>
          <w:p w14:paraId="17F1BF83"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8</w:t>
            </w:r>
          </w:p>
        </w:tc>
        <w:tc>
          <w:tcPr>
            <w:tcW w:w="828" w:type="pct"/>
            <w:vAlign w:val="center"/>
          </w:tcPr>
          <w:p w14:paraId="304CB9B7"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4 236,39 tys. m</w:t>
            </w:r>
            <w:r w:rsidRPr="00D971ED">
              <w:rPr>
                <w:rFonts w:cstheme="minorHAnsi"/>
                <w:szCs w:val="24"/>
                <w:vertAlign w:val="superscript"/>
              </w:rPr>
              <w:t>3</w:t>
            </w:r>
          </w:p>
        </w:tc>
        <w:tc>
          <w:tcPr>
            <w:tcW w:w="621" w:type="pct"/>
            <w:vAlign w:val="center"/>
          </w:tcPr>
          <w:p w14:paraId="0A7D7302"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3,58 tys. m</w:t>
            </w:r>
            <w:r w:rsidRPr="00D971ED">
              <w:rPr>
                <w:rFonts w:cstheme="minorHAnsi"/>
                <w:szCs w:val="24"/>
                <w:vertAlign w:val="superscript"/>
              </w:rPr>
              <w:t>3</w:t>
            </w:r>
          </w:p>
        </w:tc>
        <w:tc>
          <w:tcPr>
            <w:tcW w:w="1483" w:type="pct"/>
            <w:vAlign w:val="center"/>
          </w:tcPr>
          <w:p w14:paraId="09B1B8D2"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r>
      <w:tr w:rsidR="00B83214" w:rsidRPr="00D971ED" w14:paraId="2F7D431E" w14:textId="77777777" w:rsidTr="00B83214">
        <w:trPr>
          <w:trHeight w:val="768"/>
        </w:trPr>
        <w:tc>
          <w:tcPr>
            <w:cnfStyle w:val="001000000000" w:firstRow="0" w:lastRow="0" w:firstColumn="1" w:lastColumn="0" w:oddVBand="0" w:evenVBand="0" w:oddHBand="0" w:evenHBand="0" w:firstRowFirstColumn="0" w:firstRowLastColumn="0" w:lastRowFirstColumn="0" w:lastRowLastColumn="0"/>
            <w:tcW w:w="878" w:type="pct"/>
            <w:vAlign w:val="center"/>
          </w:tcPr>
          <w:p w14:paraId="2177EDB2" w14:textId="77777777" w:rsidR="00B83214" w:rsidRPr="00D971ED" w:rsidRDefault="00B83214" w:rsidP="00B83214">
            <w:pPr>
              <w:spacing w:before="0" w:line="240" w:lineRule="auto"/>
              <w:rPr>
                <w:rFonts w:cstheme="minorHAnsi"/>
                <w:szCs w:val="24"/>
              </w:rPr>
            </w:pPr>
            <w:r w:rsidRPr="00D971ED">
              <w:rPr>
                <w:rFonts w:cstheme="minorHAnsi"/>
                <w:szCs w:val="24"/>
              </w:rPr>
              <w:t>Wapienie i margle dla przemysłu cementowego</w:t>
            </w:r>
          </w:p>
        </w:tc>
        <w:tc>
          <w:tcPr>
            <w:tcW w:w="828" w:type="pct"/>
            <w:vAlign w:val="center"/>
          </w:tcPr>
          <w:p w14:paraId="10E698B1"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12 688 553</w:t>
            </w:r>
          </w:p>
        </w:tc>
        <w:tc>
          <w:tcPr>
            <w:tcW w:w="362" w:type="pct"/>
            <w:vAlign w:val="center"/>
          </w:tcPr>
          <w:p w14:paraId="797C6C4E"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2</w:t>
            </w:r>
          </w:p>
        </w:tc>
        <w:tc>
          <w:tcPr>
            <w:tcW w:w="828" w:type="pct"/>
            <w:vAlign w:val="center"/>
          </w:tcPr>
          <w:p w14:paraId="3553DA68"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168 022</w:t>
            </w:r>
          </w:p>
        </w:tc>
        <w:tc>
          <w:tcPr>
            <w:tcW w:w="621" w:type="pct"/>
            <w:vAlign w:val="center"/>
          </w:tcPr>
          <w:p w14:paraId="6CEE9B2D"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c>
          <w:tcPr>
            <w:tcW w:w="1483" w:type="pct"/>
            <w:vAlign w:val="center"/>
          </w:tcPr>
          <w:p w14:paraId="18C3ED8F" w14:textId="77777777" w:rsidR="00B83214" w:rsidRPr="00D971ED"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cstheme="minorHAnsi"/>
                <w:szCs w:val="24"/>
              </w:rPr>
            </w:pPr>
            <w:r w:rsidRPr="00D971ED">
              <w:rPr>
                <w:rFonts w:cstheme="minorHAnsi"/>
                <w:szCs w:val="24"/>
              </w:rPr>
              <w:t>-</w:t>
            </w:r>
          </w:p>
        </w:tc>
      </w:tr>
    </w:tbl>
    <w:p w14:paraId="7384AA44" w14:textId="77777777" w:rsidR="00B83214" w:rsidRPr="00511D0D" w:rsidRDefault="00B83214" w:rsidP="00B83214">
      <w:pPr>
        <w:pStyle w:val="rdo"/>
      </w:pPr>
      <w:r w:rsidRPr="00511D0D">
        <w:t>Źródło: Bilans zasobów złóż kopalin w Polsce wg stanu na 31 XII 2020r., Państwowy Instytut Geologiczny – PIB, Warszawa, 2021</w:t>
      </w:r>
    </w:p>
    <w:p w14:paraId="4384E0C6" w14:textId="77777777" w:rsidR="00B83214" w:rsidRPr="00511D0D" w:rsidRDefault="00B83214" w:rsidP="00B83214">
      <w:pPr>
        <w:spacing w:line="276" w:lineRule="auto"/>
        <w:jc w:val="both"/>
        <w:rPr>
          <w:sz w:val="20"/>
          <w:szCs w:val="18"/>
          <w:highlight w:val="yellow"/>
        </w:rPr>
      </w:pPr>
    </w:p>
    <w:p w14:paraId="5BAFDF53" w14:textId="77777777" w:rsidR="00B83214" w:rsidRPr="00511D0D" w:rsidRDefault="00B83214" w:rsidP="00B83214">
      <w:pPr>
        <w:spacing w:line="276" w:lineRule="auto"/>
        <w:jc w:val="both"/>
        <w:rPr>
          <w:sz w:val="20"/>
          <w:szCs w:val="18"/>
          <w:highlight w:val="yellow"/>
        </w:rPr>
        <w:sectPr w:rsidR="00B83214" w:rsidRPr="00511D0D" w:rsidSect="00431AC6">
          <w:pgSz w:w="16838" w:h="11906" w:orient="landscape"/>
          <w:pgMar w:top="1417" w:right="1417" w:bottom="1417" w:left="1417" w:header="708" w:footer="708" w:gutter="0"/>
          <w:pgNumType w:fmt="lowerRoman"/>
          <w:cols w:space="708"/>
          <w:titlePg/>
          <w:docGrid w:linePitch="360"/>
        </w:sectPr>
      </w:pPr>
    </w:p>
    <w:p w14:paraId="0517535D" w14:textId="77777777" w:rsidR="00B83214" w:rsidRPr="00511D0D" w:rsidRDefault="00B83214" w:rsidP="00B83214">
      <w:pPr>
        <w:pBdr>
          <w:bottom w:val="single" w:sz="6" w:space="1" w:color="549E39" w:themeColor="accent1"/>
        </w:pBdr>
        <w:spacing w:before="200" w:after="0"/>
        <w:outlineLvl w:val="4"/>
        <w:rPr>
          <w:b/>
          <w:bCs/>
          <w:sz w:val="22"/>
        </w:rPr>
      </w:pPr>
      <w:bookmarkStart w:id="267" w:name="_Toc66689020"/>
      <w:r w:rsidRPr="00D971ED">
        <w:rPr>
          <w:caps/>
          <w:color w:val="3E762A" w:themeColor="accent1" w:themeShade="BF"/>
          <w:spacing w:val="10"/>
          <w:szCs w:val="24"/>
        </w:rPr>
        <w:t>Gospodarka</w:t>
      </w:r>
      <w:r w:rsidRPr="00511D0D">
        <w:rPr>
          <w:b/>
          <w:bCs/>
          <w:sz w:val="22"/>
        </w:rPr>
        <w:t xml:space="preserve"> </w:t>
      </w:r>
      <w:r w:rsidRPr="00D971ED">
        <w:rPr>
          <w:caps/>
          <w:color w:val="3E762A" w:themeColor="accent1" w:themeShade="BF"/>
          <w:spacing w:val="10"/>
          <w:szCs w:val="24"/>
        </w:rPr>
        <w:t>odpadami</w:t>
      </w:r>
      <w:bookmarkEnd w:id="267"/>
    </w:p>
    <w:p w14:paraId="6AE5D2F3" w14:textId="1FF61D7E" w:rsidR="00B83214" w:rsidRPr="00511D0D" w:rsidRDefault="00B83214" w:rsidP="00B83214">
      <w:r w:rsidRPr="00511D0D">
        <w:t>Łącznie na terenie województwa zachodniopomorskiego w 2020 roku zebrano 647</w:t>
      </w:r>
      <w:r>
        <w:t>,0 tys. ton odpadów komunalnych</w:t>
      </w:r>
      <w:r w:rsidRPr="00511D0D">
        <w:rPr>
          <w:vertAlign w:val="superscript"/>
        </w:rPr>
        <w:footnoteReference w:id="144"/>
      </w:r>
      <w:r w:rsidRPr="00511D0D">
        <w:t>. W gospodarstwach domowych w przeliczeniu na jednego statystycznego mieszkańca wartość wytworzonych odpadów na koniec 2020</w:t>
      </w:r>
      <w:r>
        <w:t xml:space="preserve"> r. wynosi 382 kg. W 2020 r.</w:t>
      </w:r>
      <w:r w:rsidRPr="00511D0D">
        <w:t xml:space="preserve"> około 78% odpadów komunalnych pochodziło z gospodarstw domowych, natomiast pozostała część (22%) z innych źródeł. Ilość odpadów zebranych w ciągu roku wzrastała na przestrzeni lat 2010-2020, aż o 24% (</w:t>
      </w:r>
      <w:r w:rsidRPr="00D971ED">
        <w:fldChar w:fldCharType="begin"/>
      </w:r>
      <w:r w:rsidRPr="00D971ED">
        <w:instrText xml:space="preserve"> REF _Ref103257387 \h  \* MERGEFORMAT </w:instrText>
      </w:r>
      <w:r w:rsidRPr="00D971ED">
        <w:fldChar w:fldCharType="separate"/>
      </w:r>
      <w:r w:rsidR="002B5007" w:rsidRPr="002B5007">
        <w:rPr>
          <w:bCs/>
          <w:sz w:val="22"/>
          <w:szCs w:val="16"/>
        </w:rPr>
        <w:t xml:space="preserve">Tabela </w:t>
      </w:r>
      <w:r w:rsidR="002B5007" w:rsidRPr="002B5007">
        <w:rPr>
          <w:bCs/>
          <w:noProof/>
          <w:sz w:val="22"/>
          <w:szCs w:val="16"/>
        </w:rPr>
        <w:t>28</w:t>
      </w:r>
      <w:r w:rsidRPr="00D971ED">
        <w:fldChar w:fldCharType="end"/>
      </w:r>
      <w:r w:rsidRPr="00D971ED">
        <w:t>).</w:t>
      </w:r>
    </w:p>
    <w:p w14:paraId="0DDAAF03" w14:textId="77777777" w:rsidR="00B83214" w:rsidRPr="00511D0D" w:rsidRDefault="00B83214" w:rsidP="00B83214">
      <w:pPr>
        <w:pStyle w:val="Podpispodrysunkiem"/>
      </w:pPr>
      <w:bookmarkStart w:id="268" w:name="_Toc97537955"/>
      <w:bookmarkStart w:id="269" w:name="_Toc104790097"/>
      <w:r w:rsidRPr="00511D0D">
        <w:t xml:space="preserve">Tabela </w:t>
      </w:r>
      <w:r>
        <w:fldChar w:fldCharType="begin"/>
      </w:r>
      <w:r>
        <w:instrText>SEQ Tabela \* ARABIC</w:instrText>
      </w:r>
      <w:r>
        <w:fldChar w:fldCharType="separate"/>
      </w:r>
      <w:r w:rsidR="002B5007">
        <w:rPr>
          <w:noProof/>
        </w:rPr>
        <w:t>27</w:t>
      </w:r>
      <w:r>
        <w:fldChar w:fldCharType="end"/>
      </w:r>
      <w:r w:rsidRPr="00511D0D">
        <w:t xml:space="preserve"> Odpady komunalne zebrane </w:t>
      </w:r>
      <w:r>
        <w:t>[</w:t>
      </w:r>
      <w:r w:rsidRPr="00511D0D">
        <w:t>w tys. t</w:t>
      </w:r>
      <w:bookmarkEnd w:id="268"/>
      <w:r>
        <w:t>]</w:t>
      </w:r>
      <w:bookmarkEnd w:id="269"/>
    </w:p>
    <w:tbl>
      <w:tblPr>
        <w:tblStyle w:val="GridTable1LightAccent112"/>
        <w:tblW w:w="8826" w:type="dxa"/>
        <w:tblLook w:val="04A0" w:firstRow="1" w:lastRow="0" w:firstColumn="1" w:lastColumn="0" w:noHBand="0" w:noVBand="1"/>
      </w:tblPr>
      <w:tblGrid>
        <w:gridCol w:w="2954"/>
        <w:gridCol w:w="1087"/>
        <w:gridCol w:w="1131"/>
        <w:gridCol w:w="1109"/>
        <w:gridCol w:w="1042"/>
        <w:gridCol w:w="1503"/>
      </w:tblGrid>
      <w:tr w:rsidR="00B83214" w:rsidRPr="009474C8" w14:paraId="67CECCFB" w14:textId="77777777" w:rsidTr="00B83214">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3016" w:type="dxa"/>
            <w:vMerge w:val="restart"/>
            <w:vAlign w:val="center"/>
            <w:hideMark/>
          </w:tcPr>
          <w:p w14:paraId="1978CDCD" w14:textId="77777777" w:rsidR="00B83214" w:rsidRPr="00D41923" w:rsidRDefault="00B83214" w:rsidP="00B83214">
            <w:pPr>
              <w:spacing w:before="0" w:after="200" w:line="240" w:lineRule="auto"/>
              <w:rPr>
                <w:rFonts w:eastAsia="Times New Roman" w:cs="Arial"/>
                <w:color w:val="000000"/>
                <w:szCs w:val="24"/>
              </w:rPr>
            </w:pPr>
            <w:r w:rsidRPr="00D41923">
              <w:rPr>
                <w:rFonts w:eastAsia="Times New Roman" w:cs="Arial"/>
                <w:color w:val="000000"/>
                <w:szCs w:val="24"/>
              </w:rPr>
              <w:t>WYSZCZEGÓLNIENIE</w:t>
            </w:r>
          </w:p>
        </w:tc>
        <w:tc>
          <w:tcPr>
            <w:tcW w:w="1087" w:type="dxa"/>
            <w:vMerge w:val="restart"/>
            <w:vAlign w:val="center"/>
            <w:hideMark/>
          </w:tcPr>
          <w:p w14:paraId="4A7BDE6E" w14:textId="77777777" w:rsidR="00B83214" w:rsidRPr="00D41923" w:rsidRDefault="00B83214" w:rsidP="00B83214">
            <w:pPr>
              <w:spacing w:before="0" w:after="200" w:line="240" w:lineRule="auto"/>
              <w:cnfStyle w:val="100000000000" w:firstRow="1"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2010</w:t>
            </w:r>
            <w:r w:rsidRPr="00D41923">
              <w:rPr>
                <w:rFonts w:eastAsia="Times New Roman" w:cs="Arial"/>
                <w:color w:val="000000"/>
                <w:szCs w:val="24"/>
                <w:vertAlign w:val="superscript"/>
              </w:rPr>
              <w:t>a</w:t>
            </w:r>
          </w:p>
        </w:tc>
        <w:tc>
          <w:tcPr>
            <w:tcW w:w="1131" w:type="dxa"/>
            <w:vMerge w:val="restart"/>
            <w:vAlign w:val="center"/>
            <w:hideMark/>
          </w:tcPr>
          <w:p w14:paraId="0D10FB34" w14:textId="77777777" w:rsidR="00B83214" w:rsidRPr="00D41923" w:rsidRDefault="00B83214" w:rsidP="00B83214">
            <w:pPr>
              <w:spacing w:before="0" w:after="200" w:line="240" w:lineRule="auto"/>
              <w:cnfStyle w:val="100000000000" w:firstRow="1"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2015</w:t>
            </w:r>
          </w:p>
        </w:tc>
        <w:tc>
          <w:tcPr>
            <w:tcW w:w="1109" w:type="dxa"/>
            <w:vMerge w:val="restart"/>
            <w:vAlign w:val="center"/>
            <w:hideMark/>
          </w:tcPr>
          <w:p w14:paraId="5F81BA2D" w14:textId="77777777" w:rsidR="00B83214" w:rsidRPr="00D41923" w:rsidRDefault="00B83214" w:rsidP="00B83214">
            <w:pPr>
              <w:spacing w:before="0" w:after="200" w:line="240" w:lineRule="auto"/>
              <w:cnfStyle w:val="100000000000" w:firstRow="1"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2019</w:t>
            </w:r>
          </w:p>
        </w:tc>
        <w:tc>
          <w:tcPr>
            <w:tcW w:w="2483" w:type="dxa"/>
            <w:gridSpan w:val="2"/>
            <w:vAlign w:val="center"/>
            <w:hideMark/>
          </w:tcPr>
          <w:p w14:paraId="0ED04AB5" w14:textId="77777777" w:rsidR="00B83214" w:rsidRPr="00D41923" w:rsidRDefault="00B83214" w:rsidP="00B83214">
            <w:pPr>
              <w:spacing w:before="0" w:after="200" w:line="240" w:lineRule="auto"/>
              <w:cnfStyle w:val="100000000000" w:firstRow="1"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2020</w:t>
            </w:r>
          </w:p>
        </w:tc>
      </w:tr>
      <w:tr w:rsidR="00B83214" w:rsidRPr="009474C8" w14:paraId="2ABB60DF" w14:textId="77777777" w:rsidTr="00B83214">
        <w:trPr>
          <w:trHeight w:val="1022"/>
        </w:trPr>
        <w:tc>
          <w:tcPr>
            <w:cnfStyle w:val="001000000000" w:firstRow="0" w:lastRow="0" w:firstColumn="1" w:lastColumn="0" w:oddVBand="0" w:evenVBand="0" w:oddHBand="0" w:evenHBand="0" w:firstRowFirstColumn="0" w:firstRowLastColumn="0" w:lastRowFirstColumn="0" w:lastRowLastColumn="0"/>
            <w:tcW w:w="3016" w:type="dxa"/>
            <w:vMerge/>
            <w:vAlign w:val="center"/>
            <w:hideMark/>
          </w:tcPr>
          <w:p w14:paraId="039AA11D" w14:textId="77777777" w:rsidR="00B83214" w:rsidRPr="00D41923" w:rsidRDefault="00B83214" w:rsidP="00B83214">
            <w:pPr>
              <w:spacing w:before="0" w:after="200" w:line="240" w:lineRule="auto"/>
              <w:rPr>
                <w:rFonts w:eastAsia="Times New Roman" w:cs="Arial"/>
                <w:color w:val="000000"/>
                <w:szCs w:val="24"/>
              </w:rPr>
            </w:pPr>
          </w:p>
        </w:tc>
        <w:tc>
          <w:tcPr>
            <w:tcW w:w="1087" w:type="dxa"/>
            <w:vMerge/>
            <w:vAlign w:val="center"/>
            <w:hideMark/>
          </w:tcPr>
          <w:p w14:paraId="5E238689" w14:textId="77777777" w:rsidR="00B83214" w:rsidRPr="00D41923" w:rsidRDefault="00B83214" w:rsidP="00B83214">
            <w:pPr>
              <w:spacing w:before="0" w:after="20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p>
        </w:tc>
        <w:tc>
          <w:tcPr>
            <w:tcW w:w="1131" w:type="dxa"/>
            <w:vMerge/>
            <w:vAlign w:val="center"/>
            <w:hideMark/>
          </w:tcPr>
          <w:p w14:paraId="13ED2E08" w14:textId="77777777" w:rsidR="00B83214" w:rsidRPr="00D41923" w:rsidRDefault="00B83214" w:rsidP="00B83214">
            <w:pPr>
              <w:spacing w:before="0" w:after="20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p>
        </w:tc>
        <w:tc>
          <w:tcPr>
            <w:tcW w:w="1109" w:type="dxa"/>
            <w:vMerge/>
            <w:vAlign w:val="center"/>
            <w:hideMark/>
          </w:tcPr>
          <w:p w14:paraId="0D0BB0D7" w14:textId="77777777" w:rsidR="00B83214" w:rsidRPr="00D41923" w:rsidRDefault="00B83214" w:rsidP="00B83214">
            <w:pPr>
              <w:spacing w:before="0" w:after="20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p>
        </w:tc>
        <w:tc>
          <w:tcPr>
            <w:tcW w:w="1042" w:type="dxa"/>
            <w:vAlign w:val="center"/>
            <w:hideMark/>
          </w:tcPr>
          <w:p w14:paraId="148BE9F8"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Cs w:val="24"/>
              </w:rPr>
            </w:pPr>
            <w:r w:rsidRPr="00D41923">
              <w:rPr>
                <w:rFonts w:eastAsia="Times New Roman" w:cs="Arial"/>
                <w:b/>
                <w:bCs/>
                <w:color w:val="000000"/>
                <w:szCs w:val="24"/>
              </w:rPr>
              <w:t>ogółem</w:t>
            </w:r>
          </w:p>
        </w:tc>
        <w:tc>
          <w:tcPr>
            <w:tcW w:w="1441" w:type="dxa"/>
            <w:vAlign w:val="center"/>
            <w:hideMark/>
          </w:tcPr>
          <w:p w14:paraId="569B9BF8"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Cs w:val="24"/>
              </w:rPr>
            </w:pPr>
            <w:r w:rsidRPr="00D41923">
              <w:rPr>
                <w:rFonts w:eastAsia="Times New Roman" w:cs="Arial"/>
                <w:b/>
                <w:bCs/>
                <w:color w:val="000000"/>
                <w:szCs w:val="24"/>
              </w:rPr>
              <w:t>w tym z gospodarstw domowych</w:t>
            </w:r>
          </w:p>
        </w:tc>
      </w:tr>
      <w:tr w:rsidR="00B83214" w:rsidRPr="009474C8" w14:paraId="786D16F2" w14:textId="77777777" w:rsidTr="00B83214">
        <w:trPr>
          <w:trHeight w:val="441"/>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71801470" w14:textId="77777777" w:rsidR="00B83214" w:rsidRPr="00D41923" w:rsidRDefault="00B83214" w:rsidP="00B83214">
            <w:pPr>
              <w:spacing w:before="0" w:after="200" w:line="240" w:lineRule="auto"/>
              <w:rPr>
                <w:rFonts w:eastAsia="Times New Roman" w:cs="Arial"/>
                <w:color w:val="000000"/>
                <w:szCs w:val="24"/>
              </w:rPr>
            </w:pPr>
            <w:r w:rsidRPr="00D41923">
              <w:rPr>
                <w:rFonts w:eastAsia="Times New Roman" w:cs="Arial"/>
                <w:color w:val="000000"/>
                <w:szCs w:val="24"/>
              </w:rPr>
              <w:t xml:space="preserve">Odpady komunalne zebrane </w:t>
            </w:r>
          </w:p>
        </w:tc>
        <w:tc>
          <w:tcPr>
            <w:tcW w:w="1087" w:type="dxa"/>
            <w:noWrap/>
            <w:vAlign w:val="center"/>
          </w:tcPr>
          <w:p w14:paraId="599D0D30"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522,3</w:t>
            </w:r>
          </w:p>
        </w:tc>
        <w:tc>
          <w:tcPr>
            <w:tcW w:w="1131" w:type="dxa"/>
            <w:noWrap/>
            <w:vAlign w:val="center"/>
          </w:tcPr>
          <w:p w14:paraId="790FD80E"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576,8</w:t>
            </w:r>
          </w:p>
        </w:tc>
        <w:tc>
          <w:tcPr>
            <w:tcW w:w="1109" w:type="dxa"/>
            <w:noWrap/>
            <w:vAlign w:val="center"/>
          </w:tcPr>
          <w:p w14:paraId="6FE08752"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663,4</w:t>
            </w:r>
          </w:p>
        </w:tc>
        <w:tc>
          <w:tcPr>
            <w:tcW w:w="1042" w:type="dxa"/>
            <w:noWrap/>
            <w:vAlign w:val="center"/>
          </w:tcPr>
          <w:p w14:paraId="13B446C2"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647,0</w:t>
            </w:r>
          </w:p>
        </w:tc>
        <w:tc>
          <w:tcPr>
            <w:tcW w:w="1441" w:type="dxa"/>
            <w:noWrap/>
            <w:vAlign w:val="center"/>
          </w:tcPr>
          <w:p w14:paraId="060B3E99"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D41923">
              <w:rPr>
                <w:rFonts w:eastAsia="Times New Roman" w:cs="Arial"/>
                <w:szCs w:val="24"/>
              </w:rPr>
              <w:t>504,6</w:t>
            </w:r>
          </w:p>
        </w:tc>
      </w:tr>
      <w:tr w:rsidR="00B83214" w:rsidRPr="009474C8" w14:paraId="16AE0B14"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0C1637EE" w14:textId="77777777" w:rsidR="00B83214" w:rsidRPr="00D41923" w:rsidRDefault="00B83214" w:rsidP="00B83214">
            <w:pPr>
              <w:spacing w:before="0" w:line="240" w:lineRule="auto"/>
              <w:rPr>
                <w:rFonts w:eastAsia="Times New Roman" w:cs="Arial"/>
                <w:color w:val="000000"/>
                <w:szCs w:val="24"/>
              </w:rPr>
            </w:pPr>
            <w:r w:rsidRPr="00D41923">
              <w:rPr>
                <w:rFonts w:eastAsia="Times New Roman" w:cs="Arial"/>
                <w:color w:val="000000"/>
                <w:szCs w:val="24"/>
              </w:rPr>
              <w:t xml:space="preserve"> zmieszane</w:t>
            </w:r>
          </w:p>
        </w:tc>
        <w:tc>
          <w:tcPr>
            <w:tcW w:w="1087" w:type="dxa"/>
            <w:noWrap/>
            <w:vAlign w:val="center"/>
          </w:tcPr>
          <w:p w14:paraId="4B6C5C3C"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480,7</w:t>
            </w:r>
          </w:p>
        </w:tc>
        <w:tc>
          <w:tcPr>
            <w:tcW w:w="1131" w:type="dxa"/>
            <w:noWrap/>
            <w:vAlign w:val="center"/>
          </w:tcPr>
          <w:p w14:paraId="171B3B2C"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461,9</w:t>
            </w:r>
          </w:p>
        </w:tc>
        <w:tc>
          <w:tcPr>
            <w:tcW w:w="1109" w:type="dxa"/>
            <w:noWrap/>
            <w:vAlign w:val="center"/>
          </w:tcPr>
          <w:p w14:paraId="0AB9C481"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487,6</w:t>
            </w:r>
          </w:p>
        </w:tc>
        <w:tc>
          <w:tcPr>
            <w:tcW w:w="1042" w:type="dxa"/>
            <w:noWrap/>
            <w:vAlign w:val="center"/>
          </w:tcPr>
          <w:p w14:paraId="13B44136"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438,8</w:t>
            </w:r>
          </w:p>
        </w:tc>
        <w:tc>
          <w:tcPr>
            <w:tcW w:w="1441" w:type="dxa"/>
            <w:noWrap/>
            <w:vAlign w:val="center"/>
          </w:tcPr>
          <w:p w14:paraId="05367EE0"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322,1</w:t>
            </w:r>
          </w:p>
        </w:tc>
      </w:tr>
      <w:tr w:rsidR="00B83214" w:rsidRPr="009474C8" w14:paraId="23C23DEE"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2DEBBE7B" w14:textId="77777777" w:rsidR="00B83214" w:rsidRPr="00D41923" w:rsidRDefault="00B83214" w:rsidP="00B83214">
            <w:pPr>
              <w:spacing w:before="0" w:line="240" w:lineRule="auto"/>
              <w:rPr>
                <w:rFonts w:eastAsia="Times New Roman" w:cs="Arial"/>
                <w:color w:val="000000"/>
                <w:szCs w:val="24"/>
              </w:rPr>
            </w:pPr>
            <w:r w:rsidRPr="00D41923">
              <w:rPr>
                <w:rFonts w:eastAsia="Times New Roman" w:cs="Arial"/>
                <w:color w:val="000000"/>
                <w:szCs w:val="24"/>
              </w:rPr>
              <w:t xml:space="preserve"> miasta</w:t>
            </w:r>
          </w:p>
        </w:tc>
        <w:tc>
          <w:tcPr>
            <w:tcW w:w="1087" w:type="dxa"/>
            <w:noWrap/>
            <w:vAlign w:val="center"/>
          </w:tcPr>
          <w:p w14:paraId="47F741B6"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397,0</w:t>
            </w:r>
          </w:p>
        </w:tc>
        <w:tc>
          <w:tcPr>
            <w:tcW w:w="1131" w:type="dxa"/>
            <w:noWrap/>
            <w:vAlign w:val="center"/>
          </w:tcPr>
          <w:p w14:paraId="73A0B277"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341,9</w:t>
            </w:r>
          </w:p>
        </w:tc>
        <w:tc>
          <w:tcPr>
            <w:tcW w:w="1109" w:type="dxa"/>
            <w:noWrap/>
            <w:vAlign w:val="center"/>
          </w:tcPr>
          <w:p w14:paraId="76EB66C7"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355,2</w:t>
            </w:r>
          </w:p>
        </w:tc>
        <w:tc>
          <w:tcPr>
            <w:tcW w:w="1042" w:type="dxa"/>
            <w:noWrap/>
            <w:vAlign w:val="center"/>
          </w:tcPr>
          <w:p w14:paraId="3FD2E18B"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316,3</w:t>
            </w:r>
          </w:p>
        </w:tc>
        <w:tc>
          <w:tcPr>
            <w:tcW w:w="1441" w:type="dxa"/>
            <w:noWrap/>
            <w:vAlign w:val="center"/>
          </w:tcPr>
          <w:p w14:paraId="18237813"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231,9</w:t>
            </w:r>
          </w:p>
        </w:tc>
      </w:tr>
      <w:tr w:rsidR="00B83214" w:rsidRPr="009474C8" w14:paraId="67786F24"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6DCEA2CF" w14:textId="77777777" w:rsidR="00B83214" w:rsidRPr="00D41923" w:rsidRDefault="00B83214" w:rsidP="00B83214">
            <w:pPr>
              <w:spacing w:before="0" w:line="240" w:lineRule="auto"/>
              <w:rPr>
                <w:rFonts w:eastAsia="Times New Roman" w:cs="Arial"/>
                <w:color w:val="000000"/>
                <w:szCs w:val="24"/>
              </w:rPr>
            </w:pPr>
            <w:r w:rsidRPr="00D41923">
              <w:rPr>
                <w:rFonts w:eastAsia="Times New Roman" w:cs="Arial"/>
                <w:color w:val="000000"/>
                <w:szCs w:val="24"/>
              </w:rPr>
              <w:t xml:space="preserve"> wieś</w:t>
            </w:r>
          </w:p>
        </w:tc>
        <w:tc>
          <w:tcPr>
            <w:tcW w:w="1087" w:type="dxa"/>
            <w:noWrap/>
            <w:vAlign w:val="center"/>
          </w:tcPr>
          <w:p w14:paraId="2B48C6C0"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83,6</w:t>
            </w:r>
          </w:p>
        </w:tc>
        <w:tc>
          <w:tcPr>
            <w:tcW w:w="1131" w:type="dxa"/>
            <w:noWrap/>
            <w:vAlign w:val="center"/>
          </w:tcPr>
          <w:p w14:paraId="21FD8EA4"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120,4</w:t>
            </w:r>
          </w:p>
        </w:tc>
        <w:tc>
          <w:tcPr>
            <w:tcW w:w="1109" w:type="dxa"/>
            <w:noWrap/>
            <w:vAlign w:val="center"/>
          </w:tcPr>
          <w:p w14:paraId="1755E9B8"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szCs w:val="24"/>
              </w:rPr>
              <w:t>132,5</w:t>
            </w:r>
          </w:p>
        </w:tc>
        <w:tc>
          <w:tcPr>
            <w:tcW w:w="1042" w:type="dxa"/>
            <w:noWrap/>
            <w:vAlign w:val="center"/>
          </w:tcPr>
          <w:p w14:paraId="55F3FDE7"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122,5</w:t>
            </w:r>
          </w:p>
        </w:tc>
        <w:tc>
          <w:tcPr>
            <w:tcW w:w="1441" w:type="dxa"/>
            <w:noWrap/>
            <w:vAlign w:val="center"/>
          </w:tcPr>
          <w:p w14:paraId="0C605A64"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90,2</w:t>
            </w:r>
          </w:p>
        </w:tc>
      </w:tr>
      <w:tr w:rsidR="00B83214" w:rsidRPr="009474C8" w14:paraId="012B6B83"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124C967E" w14:textId="77777777" w:rsidR="00B83214" w:rsidRPr="00D41923" w:rsidRDefault="00B83214" w:rsidP="00B83214">
            <w:pPr>
              <w:spacing w:before="0" w:line="240" w:lineRule="auto"/>
              <w:rPr>
                <w:rFonts w:eastAsia="Times New Roman" w:cs="Arial"/>
                <w:color w:val="000000"/>
                <w:szCs w:val="24"/>
              </w:rPr>
            </w:pPr>
            <w:r w:rsidRPr="00D41923">
              <w:rPr>
                <w:rFonts w:eastAsia="Times New Roman" w:cs="Arial"/>
                <w:color w:val="000000"/>
                <w:szCs w:val="24"/>
              </w:rPr>
              <w:t xml:space="preserve"> zebrane selektywnie</w:t>
            </w:r>
          </w:p>
        </w:tc>
        <w:tc>
          <w:tcPr>
            <w:tcW w:w="1087" w:type="dxa"/>
            <w:noWrap/>
            <w:vAlign w:val="center"/>
          </w:tcPr>
          <w:p w14:paraId="1F360E28"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41,7</w:t>
            </w:r>
          </w:p>
        </w:tc>
        <w:tc>
          <w:tcPr>
            <w:tcW w:w="1131" w:type="dxa"/>
            <w:noWrap/>
            <w:vAlign w:val="center"/>
          </w:tcPr>
          <w:p w14:paraId="77C9D8B7"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114,9</w:t>
            </w:r>
          </w:p>
        </w:tc>
        <w:tc>
          <w:tcPr>
            <w:tcW w:w="1109" w:type="dxa"/>
            <w:noWrap/>
            <w:vAlign w:val="center"/>
          </w:tcPr>
          <w:p w14:paraId="158BC990"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D41923">
              <w:rPr>
                <w:rFonts w:eastAsia="Times New Roman" w:cs="Arial"/>
                <w:color w:val="000000"/>
                <w:szCs w:val="24"/>
              </w:rPr>
              <w:t>175,8</w:t>
            </w:r>
          </w:p>
        </w:tc>
        <w:tc>
          <w:tcPr>
            <w:tcW w:w="1042" w:type="dxa"/>
            <w:noWrap/>
            <w:vAlign w:val="center"/>
          </w:tcPr>
          <w:p w14:paraId="2EC04E23"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D41923">
              <w:rPr>
                <w:rFonts w:eastAsia="Times New Roman" w:cs="Arial"/>
                <w:szCs w:val="24"/>
              </w:rPr>
              <w:t>208,2</w:t>
            </w:r>
          </w:p>
        </w:tc>
        <w:tc>
          <w:tcPr>
            <w:tcW w:w="1441" w:type="dxa"/>
            <w:noWrap/>
            <w:vAlign w:val="center"/>
          </w:tcPr>
          <w:p w14:paraId="228270BB"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D41923">
              <w:rPr>
                <w:rFonts w:eastAsia="Times New Roman" w:cs="Arial"/>
                <w:szCs w:val="24"/>
              </w:rPr>
              <w:t>182,5</w:t>
            </w:r>
          </w:p>
        </w:tc>
      </w:tr>
      <w:tr w:rsidR="00B83214" w:rsidRPr="009474C8" w14:paraId="095EE6DD"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79C82F31" w14:textId="77777777" w:rsidR="00B83214" w:rsidRPr="00D41923" w:rsidRDefault="00B83214" w:rsidP="00B83214">
            <w:pPr>
              <w:spacing w:before="0" w:line="240" w:lineRule="auto"/>
              <w:rPr>
                <w:rFonts w:eastAsia="Times New Roman" w:cs="Arial"/>
                <w:color w:val="000000"/>
                <w:szCs w:val="24"/>
              </w:rPr>
            </w:pPr>
            <w:r w:rsidRPr="00D41923">
              <w:rPr>
                <w:rFonts w:eastAsia="Times New Roman" w:cs="Arial"/>
                <w:color w:val="000000"/>
                <w:szCs w:val="24"/>
              </w:rPr>
              <w:t xml:space="preserve"> w tym:</w:t>
            </w:r>
          </w:p>
        </w:tc>
        <w:tc>
          <w:tcPr>
            <w:tcW w:w="1087" w:type="dxa"/>
            <w:noWrap/>
            <w:vAlign w:val="center"/>
          </w:tcPr>
          <w:p w14:paraId="0FC76A42" w14:textId="77777777" w:rsidR="00B83214" w:rsidRPr="00D41923" w:rsidRDefault="00B83214" w:rsidP="00B83214">
            <w:pPr>
              <w:spacing w:before="0" w:after="20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p>
        </w:tc>
        <w:tc>
          <w:tcPr>
            <w:tcW w:w="1131" w:type="dxa"/>
            <w:noWrap/>
            <w:vAlign w:val="center"/>
          </w:tcPr>
          <w:p w14:paraId="704423CA" w14:textId="77777777" w:rsidR="00B83214" w:rsidRPr="00D41923" w:rsidRDefault="00B83214" w:rsidP="00B83214">
            <w:pPr>
              <w:spacing w:before="0" w:after="20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p>
        </w:tc>
        <w:tc>
          <w:tcPr>
            <w:tcW w:w="1109" w:type="dxa"/>
            <w:noWrap/>
            <w:vAlign w:val="center"/>
          </w:tcPr>
          <w:p w14:paraId="011DF6F8" w14:textId="77777777" w:rsidR="00B83214" w:rsidRPr="00D41923" w:rsidRDefault="00B83214" w:rsidP="00B83214">
            <w:pPr>
              <w:spacing w:before="0" w:after="20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p>
        </w:tc>
        <w:tc>
          <w:tcPr>
            <w:tcW w:w="1042" w:type="dxa"/>
            <w:noWrap/>
            <w:vAlign w:val="center"/>
          </w:tcPr>
          <w:p w14:paraId="759841DC" w14:textId="77777777" w:rsidR="00B83214" w:rsidRPr="00D41923" w:rsidRDefault="00B83214" w:rsidP="00B83214">
            <w:pPr>
              <w:spacing w:before="0" w:after="20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p>
        </w:tc>
        <w:tc>
          <w:tcPr>
            <w:tcW w:w="1441" w:type="dxa"/>
            <w:noWrap/>
            <w:vAlign w:val="center"/>
          </w:tcPr>
          <w:p w14:paraId="6D2396D9" w14:textId="77777777" w:rsidR="00B83214" w:rsidRPr="00D41923" w:rsidRDefault="00B83214" w:rsidP="00B83214">
            <w:pPr>
              <w:spacing w:before="0" w:after="20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p>
        </w:tc>
      </w:tr>
      <w:tr w:rsidR="00B83214" w:rsidRPr="009474C8" w14:paraId="2239F937"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18CB72A5" w14:textId="77777777" w:rsidR="00B83214" w:rsidRPr="00D41923" w:rsidRDefault="00B83214" w:rsidP="00B83214">
            <w:pPr>
              <w:spacing w:before="0" w:line="240" w:lineRule="auto"/>
              <w:rPr>
                <w:rFonts w:eastAsia="Times New Roman" w:cs="Arial"/>
                <w:color w:val="000000"/>
                <w:szCs w:val="24"/>
              </w:rPr>
            </w:pPr>
            <w:r w:rsidRPr="00D41923">
              <w:rPr>
                <w:rFonts w:eastAsia="Times New Roman" w:cs="Arial"/>
                <w:color w:val="000000"/>
                <w:szCs w:val="24"/>
              </w:rPr>
              <w:t xml:space="preserve"> papier i tektura</w:t>
            </w:r>
          </w:p>
        </w:tc>
        <w:tc>
          <w:tcPr>
            <w:tcW w:w="1087" w:type="dxa"/>
            <w:noWrap/>
            <w:vAlign w:val="center"/>
          </w:tcPr>
          <w:p w14:paraId="4FF9ECEC"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8,0</w:t>
            </w:r>
          </w:p>
        </w:tc>
        <w:tc>
          <w:tcPr>
            <w:tcW w:w="1131" w:type="dxa"/>
            <w:noWrap/>
            <w:vAlign w:val="center"/>
          </w:tcPr>
          <w:p w14:paraId="4202F06D"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14,1</w:t>
            </w:r>
          </w:p>
        </w:tc>
        <w:tc>
          <w:tcPr>
            <w:tcW w:w="1109" w:type="dxa"/>
            <w:noWrap/>
            <w:vAlign w:val="center"/>
          </w:tcPr>
          <w:p w14:paraId="05CE6582"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22,1</w:t>
            </w:r>
          </w:p>
        </w:tc>
        <w:tc>
          <w:tcPr>
            <w:tcW w:w="1042" w:type="dxa"/>
            <w:noWrap/>
            <w:vAlign w:val="center"/>
          </w:tcPr>
          <w:p w14:paraId="5A18F2E2"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25,2</w:t>
            </w:r>
          </w:p>
        </w:tc>
        <w:tc>
          <w:tcPr>
            <w:tcW w:w="1441" w:type="dxa"/>
            <w:noWrap/>
            <w:vAlign w:val="center"/>
          </w:tcPr>
          <w:p w14:paraId="0A2AACF5"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19,5</w:t>
            </w:r>
          </w:p>
        </w:tc>
      </w:tr>
      <w:tr w:rsidR="00B83214" w:rsidRPr="009474C8" w14:paraId="0312C594"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251A6E07" w14:textId="77777777" w:rsidR="00B83214" w:rsidRPr="00D41923" w:rsidRDefault="00B83214" w:rsidP="00B83214">
            <w:pPr>
              <w:spacing w:before="0" w:line="240" w:lineRule="auto"/>
              <w:rPr>
                <w:rFonts w:eastAsia="Times New Roman" w:cs="Arial"/>
                <w:color w:val="000000"/>
                <w:szCs w:val="24"/>
              </w:rPr>
            </w:pPr>
            <w:r w:rsidRPr="00D41923">
              <w:rPr>
                <w:rFonts w:eastAsia="Times New Roman" w:cs="Arial"/>
                <w:color w:val="000000"/>
                <w:szCs w:val="24"/>
              </w:rPr>
              <w:t xml:space="preserve"> szkło</w:t>
            </w:r>
          </w:p>
        </w:tc>
        <w:tc>
          <w:tcPr>
            <w:tcW w:w="1087" w:type="dxa"/>
            <w:noWrap/>
            <w:vAlign w:val="center"/>
          </w:tcPr>
          <w:p w14:paraId="01FBBB1E"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9,6</w:t>
            </w:r>
          </w:p>
        </w:tc>
        <w:tc>
          <w:tcPr>
            <w:tcW w:w="1131" w:type="dxa"/>
            <w:noWrap/>
            <w:vAlign w:val="center"/>
          </w:tcPr>
          <w:p w14:paraId="314626B2"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22,6</w:t>
            </w:r>
          </w:p>
        </w:tc>
        <w:tc>
          <w:tcPr>
            <w:tcW w:w="1109" w:type="dxa"/>
            <w:noWrap/>
            <w:vAlign w:val="center"/>
          </w:tcPr>
          <w:p w14:paraId="6B47485D"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26,8</w:t>
            </w:r>
          </w:p>
        </w:tc>
        <w:tc>
          <w:tcPr>
            <w:tcW w:w="1042" w:type="dxa"/>
            <w:noWrap/>
            <w:vAlign w:val="center"/>
          </w:tcPr>
          <w:p w14:paraId="28B0167E"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33,7</w:t>
            </w:r>
          </w:p>
        </w:tc>
        <w:tc>
          <w:tcPr>
            <w:tcW w:w="1441" w:type="dxa"/>
            <w:noWrap/>
            <w:vAlign w:val="center"/>
          </w:tcPr>
          <w:p w14:paraId="065B993F"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29,9</w:t>
            </w:r>
          </w:p>
        </w:tc>
      </w:tr>
      <w:tr w:rsidR="00B83214" w:rsidRPr="009474C8" w14:paraId="4A021949"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02328162" w14:textId="77777777" w:rsidR="00B83214" w:rsidRPr="00D41923" w:rsidRDefault="00B83214" w:rsidP="00B83214">
            <w:pPr>
              <w:spacing w:before="0" w:line="240" w:lineRule="auto"/>
              <w:rPr>
                <w:rFonts w:eastAsia="Times New Roman" w:cs="Arial"/>
                <w:color w:val="000000"/>
                <w:szCs w:val="24"/>
              </w:rPr>
            </w:pPr>
            <w:r w:rsidRPr="00D41923">
              <w:rPr>
                <w:rFonts w:eastAsia="Times New Roman" w:cs="Arial"/>
                <w:color w:val="000000"/>
                <w:szCs w:val="24"/>
              </w:rPr>
              <w:t xml:space="preserve"> tworzywa sztuczne</w:t>
            </w:r>
          </w:p>
        </w:tc>
        <w:tc>
          <w:tcPr>
            <w:tcW w:w="1087" w:type="dxa"/>
            <w:noWrap/>
            <w:vAlign w:val="center"/>
          </w:tcPr>
          <w:p w14:paraId="669A2C12"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5,6</w:t>
            </w:r>
          </w:p>
        </w:tc>
        <w:tc>
          <w:tcPr>
            <w:tcW w:w="1131" w:type="dxa"/>
            <w:noWrap/>
            <w:vAlign w:val="center"/>
          </w:tcPr>
          <w:p w14:paraId="4399AA77"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11,8</w:t>
            </w:r>
          </w:p>
        </w:tc>
        <w:tc>
          <w:tcPr>
            <w:tcW w:w="1109" w:type="dxa"/>
            <w:noWrap/>
            <w:vAlign w:val="center"/>
          </w:tcPr>
          <w:p w14:paraId="792D7A0F"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13,0</w:t>
            </w:r>
          </w:p>
        </w:tc>
        <w:tc>
          <w:tcPr>
            <w:tcW w:w="1042" w:type="dxa"/>
            <w:noWrap/>
            <w:vAlign w:val="center"/>
          </w:tcPr>
          <w:p w14:paraId="60B081B1"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13,5</w:t>
            </w:r>
          </w:p>
        </w:tc>
        <w:tc>
          <w:tcPr>
            <w:tcW w:w="1441" w:type="dxa"/>
            <w:noWrap/>
            <w:vAlign w:val="center"/>
          </w:tcPr>
          <w:p w14:paraId="6E6C40E2"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10,3</w:t>
            </w:r>
          </w:p>
        </w:tc>
      </w:tr>
      <w:tr w:rsidR="00B83214" w:rsidRPr="009474C8" w14:paraId="135F59D4"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4D90D0AC" w14:textId="77777777" w:rsidR="00B83214" w:rsidRPr="00D41923" w:rsidRDefault="00B83214" w:rsidP="00B83214">
            <w:pPr>
              <w:spacing w:before="0" w:line="240" w:lineRule="auto"/>
              <w:rPr>
                <w:rFonts w:eastAsia="Times New Roman" w:cs="Arial"/>
                <w:color w:val="000000"/>
                <w:szCs w:val="24"/>
              </w:rPr>
            </w:pPr>
            <w:r w:rsidRPr="00D41923">
              <w:rPr>
                <w:rFonts w:eastAsia="Times New Roman" w:cs="Arial"/>
                <w:color w:val="000000"/>
                <w:szCs w:val="24"/>
              </w:rPr>
              <w:t xml:space="preserve"> metale</w:t>
            </w:r>
          </w:p>
        </w:tc>
        <w:tc>
          <w:tcPr>
            <w:tcW w:w="1087" w:type="dxa"/>
            <w:noWrap/>
            <w:vAlign w:val="center"/>
          </w:tcPr>
          <w:p w14:paraId="47A23771"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1,1</w:t>
            </w:r>
          </w:p>
        </w:tc>
        <w:tc>
          <w:tcPr>
            <w:tcW w:w="1131" w:type="dxa"/>
            <w:noWrap/>
            <w:vAlign w:val="center"/>
          </w:tcPr>
          <w:p w14:paraId="3535C58A"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0,6</w:t>
            </w:r>
          </w:p>
        </w:tc>
        <w:tc>
          <w:tcPr>
            <w:tcW w:w="1109" w:type="dxa"/>
            <w:noWrap/>
            <w:vAlign w:val="center"/>
          </w:tcPr>
          <w:p w14:paraId="6AE810A7"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0,3</w:t>
            </w:r>
          </w:p>
        </w:tc>
        <w:tc>
          <w:tcPr>
            <w:tcW w:w="1042" w:type="dxa"/>
            <w:noWrap/>
            <w:vAlign w:val="center"/>
          </w:tcPr>
          <w:p w14:paraId="63D3C87B"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0,2</w:t>
            </w:r>
          </w:p>
        </w:tc>
        <w:tc>
          <w:tcPr>
            <w:tcW w:w="1441" w:type="dxa"/>
            <w:noWrap/>
            <w:vAlign w:val="center"/>
          </w:tcPr>
          <w:p w14:paraId="4EBF1397"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0,0</w:t>
            </w:r>
          </w:p>
        </w:tc>
      </w:tr>
      <w:tr w:rsidR="00B83214" w:rsidRPr="009474C8" w14:paraId="717B3214"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4C05E8EA" w14:textId="77777777" w:rsidR="00B83214" w:rsidRPr="00D41923" w:rsidRDefault="00B83214" w:rsidP="00B83214">
            <w:pPr>
              <w:spacing w:before="0" w:line="240" w:lineRule="auto"/>
              <w:rPr>
                <w:rFonts w:eastAsia="Times New Roman" w:cs="Arial"/>
                <w:color w:val="000000"/>
                <w:szCs w:val="24"/>
              </w:rPr>
            </w:pPr>
            <w:r w:rsidRPr="00D41923">
              <w:rPr>
                <w:rFonts w:eastAsia="Times New Roman" w:cs="Arial"/>
                <w:color w:val="000000"/>
                <w:szCs w:val="24"/>
              </w:rPr>
              <w:t xml:space="preserve"> wielkogabarytowe</w:t>
            </w:r>
          </w:p>
        </w:tc>
        <w:tc>
          <w:tcPr>
            <w:tcW w:w="1087" w:type="dxa"/>
            <w:noWrap/>
            <w:vAlign w:val="center"/>
          </w:tcPr>
          <w:p w14:paraId="19C53D1D"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6,2</w:t>
            </w:r>
          </w:p>
        </w:tc>
        <w:tc>
          <w:tcPr>
            <w:tcW w:w="1131" w:type="dxa"/>
            <w:noWrap/>
            <w:vAlign w:val="center"/>
          </w:tcPr>
          <w:p w14:paraId="3EC64EC9"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14,8</w:t>
            </w:r>
          </w:p>
        </w:tc>
        <w:tc>
          <w:tcPr>
            <w:tcW w:w="1109" w:type="dxa"/>
            <w:noWrap/>
            <w:vAlign w:val="center"/>
          </w:tcPr>
          <w:p w14:paraId="58C95946"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33,2</w:t>
            </w:r>
          </w:p>
        </w:tc>
        <w:tc>
          <w:tcPr>
            <w:tcW w:w="1042" w:type="dxa"/>
            <w:noWrap/>
            <w:vAlign w:val="center"/>
          </w:tcPr>
          <w:p w14:paraId="3F72AD9E"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34,6</w:t>
            </w:r>
          </w:p>
        </w:tc>
        <w:tc>
          <w:tcPr>
            <w:tcW w:w="1441" w:type="dxa"/>
            <w:noWrap/>
            <w:vAlign w:val="center"/>
          </w:tcPr>
          <w:p w14:paraId="2D7B6269"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32,1</w:t>
            </w:r>
          </w:p>
        </w:tc>
      </w:tr>
      <w:tr w:rsidR="00B83214" w:rsidRPr="009474C8" w14:paraId="3C90CAED" w14:textId="77777777" w:rsidTr="00B83214">
        <w:trPr>
          <w:trHeight w:val="255"/>
        </w:trPr>
        <w:tc>
          <w:tcPr>
            <w:cnfStyle w:val="001000000000" w:firstRow="0" w:lastRow="0" w:firstColumn="1" w:lastColumn="0" w:oddVBand="0" w:evenVBand="0" w:oddHBand="0" w:evenHBand="0" w:firstRowFirstColumn="0" w:firstRowLastColumn="0" w:lastRowFirstColumn="0" w:lastRowLastColumn="0"/>
            <w:tcW w:w="3016" w:type="dxa"/>
            <w:vAlign w:val="center"/>
            <w:hideMark/>
          </w:tcPr>
          <w:p w14:paraId="1E3D249A" w14:textId="77777777" w:rsidR="00B83214" w:rsidRPr="00D41923" w:rsidRDefault="00B83214" w:rsidP="00B83214">
            <w:pPr>
              <w:spacing w:before="0" w:line="240" w:lineRule="auto"/>
              <w:rPr>
                <w:rFonts w:eastAsia="Times New Roman" w:cs="Arial"/>
                <w:color w:val="000000"/>
                <w:szCs w:val="24"/>
              </w:rPr>
            </w:pPr>
            <w:r w:rsidRPr="00D41923">
              <w:rPr>
                <w:rFonts w:eastAsia="Times New Roman" w:cs="Arial"/>
                <w:color w:val="000000"/>
                <w:szCs w:val="24"/>
              </w:rPr>
              <w:t xml:space="preserve"> biodegradowalne</w:t>
            </w:r>
          </w:p>
        </w:tc>
        <w:tc>
          <w:tcPr>
            <w:tcW w:w="1087" w:type="dxa"/>
            <w:noWrap/>
            <w:vAlign w:val="center"/>
          </w:tcPr>
          <w:p w14:paraId="2AB1DAAC"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9,0</w:t>
            </w:r>
          </w:p>
        </w:tc>
        <w:tc>
          <w:tcPr>
            <w:tcW w:w="1131" w:type="dxa"/>
            <w:noWrap/>
            <w:vAlign w:val="center"/>
          </w:tcPr>
          <w:p w14:paraId="041ED134"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31,0</w:t>
            </w:r>
          </w:p>
        </w:tc>
        <w:tc>
          <w:tcPr>
            <w:tcW w:w="1109" w:type="dxa"/>
            <w:noWrap/>
            <w:vAlign w:val="center"/>
          </w:tcPr>
          <w:p w14:paraId="2D4C6DC4"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55,8</w:t>
            </w:r>
          </w:p>
        </w:tc>
        <w:tc>
          <w:tcPr>
            <w:tcW w:w="1042" w:type="dxa"/>
            <w:noWrap/>
            <w:vAlign w:val="center"/>
          </w:tcPr>
          <w:p w14:paraId="681BC2AE"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71,5</w:t>
            </w:r>
          </w:p>
        </w:tc>
        <w:tc>
          <w:tcPr>
            <w:tcW w:w="1441" w:type="dxa"/>
            <w:noWrap/>
            <w:vAlign w:val="center"/>
          </w:tcPr>
          <w:p w14:paraId="0C087C2F" w14:textId="77777777" w:rsidR="00B83214" w:rsidRPr="00D41923"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41923">
              <w:rPr>
                <w:rFonts w:eastAsia="Times New Roman" w:cs="Arial"/>
                <w:color w:val="000000"/>
                <w:szCs w:val="24"/>
              </w:rPr>
              <w:t>62,7</w:t>
            </w:r>
          </w:p>
        </w:tc>
      </w:tr>
    </w:tbl>
    <w:p w14:paraId="19C5B440" w14:textId="77777777" w:rsidR="00B83214" w:rsidRPr="00D971ED" w:rsidRDefault="00B83214" w:rsidP="00B83214">
      <w:pPr>
        <w:spacing w:line="276" w:lineRule="auto"/>
        <w:jc w:val="both"/>
        <w:rPr>
          <w:szCs w:val="24"/>
        </w:rPr>
      </w:pPr>
      <w:r>
        <w:rPr>
          <w:szCs w:val="24"/>
        </w:rPr>
        <w:t xml:space="preserve"> </w:t>
      </w:r>
      <w:r w:rsidRPr="00D971ED">
        <w:rPr>
          <w:szCs w:val="24"/>
          <w:vertAlign w:val="superscript"/>
        </w:rPr>
        <w:t>a</w:t>
      </w:r>
      <w:r w:rsidRPr="00D971ED">
        <w:rPr>
          <w:szCs w:val="24"/>
        </w:rPr>
        <w:t xml:space="preserve"> dane szacunkowe</w:t>
      </w:r>
    </w:p>
    <w:p w14:paraId="50A0C009" w14:textId="77777777" w:rsidR="00B83214" w:rsidRPr="00511D0D" w:rsidRDefault="00B83214" w:rsidP="00B83214">
      <w:pPr>
        <w:pStyle w:val="rdo"/>
      </w:pPr>
      <w:r w:rsidRPr="00511D0D">
        <w:t>Źródło: Rocznik Statystyczny Województwa Z</w:t>
      </w:r>
      <w:r>
        <w:t>achodniopomorskiego 2021, GUS</w:t>
      </w:r>
    </w:p>
    <w:p w14:paraId="41F3E95E" w14:textId="1977D3B1" w:rsidR="00B83214" w:rsidRPr="00511D0D" w:rsidRDefault="00B83214" w:rsidP="00B83214">
      <w:r w:rsidRPr="00511D0D">
        <w:t>Masa odpadów selektywnie zebranych w latach 2010-2020 systematycznie wzrasta (</w:t>
      </w:r>
      <w:r w:rsidRPr="00511D0D">
        <w:fldChar w:fldCharType="begin"/>
      </w:r>
      <w:r w:rsidRPr="00511D0D">
        <w:instrText xml:space="preserve"> REF _Ref97209716 \h  \* MERGEFORMAT </w:instrText>
      </w:r>
      <w:r w:rsidRPr="00511D0D">
        <w:fldChar w:fldCharType="separate"/>
      </w:r>
      <w:r w:rsidR="002B5007" w:rsidRPr="00511D0D">
        <w:t xml:space="preserve">Rysunek </w:t>
      </w:r>
      <w:r w:rsidR="002B5007">
        <w:rPr>
          <w:noProof/>
        </w:rPr>
        <w:t>26</w:t>
      </w:r>
      <w:r w:rsidRPr="00511D0D">
        <w:fldChar w:fldCharType="end"/>
      </w:r>
      <w:r w:rsidRPr="00511D0D">
        <w:t>), jednakże ze strumienia ogólnego odpadów komunalnych udział odpadów zebranych selektywnie nadal jest niewystarczający i wynosi ok. 31%. Ogółem w 2020 roku ilość odpadów selektywnie zbieranych odnotowano na poziomie około 208,2tys. t, z kolei w 2015 roku około 114,9 tys. ton. Wśród frakcji odpadów komunalnych zbieranych selektywnie dominują odpady biodegradowalne (34%), a następnie odpady wielkogabarytowe (17%), szkło (16%) oraz papier i tektura (12%).</w:t>
      </w:r>
    </w:p>
    <w:p w14:paraId="454C9BA8" w14:textId="77777777" w:rsidR="00B83214" w:rsidRPr="00511D0D" w:rsidRDefault="00B83214" w:rsidP="00B83214">
      <w:pPr>
        <w:spacing w:line="276" w:lineRule="auto"/>
        <w:jc w:val="both"/>
        <w:rPr>
          <w:sz w:val="22"/>
          <w:highlight w:val="yellow"/>
        </w:rPr>
      </w:pPr>
      <w:r w:rsidRPr="00511D0D">
        <w:rPr>
          <w:noProof/>
          <w:sz w:val="22"/>
          <w:lang w:eastAsia="pl-PL"/>
        </w:rPr>
        <w:drawing>
          <wp:inline distT="0" distB="0" distL="0" distR="0" wp14:anchorId="2BF4E1D3" wp14:editId="6C881AAA">
            <wp:extent cx="4433011" cy="3234358"/>
            <wp:effectExtent l="0" t="0" r="5715" b="444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C1CFA.tmp"/>
                    <pic:cNvPicPr/>
                  </pic:nvPicPr>
                  <pic:blipFill>
                    <a:blip r:embed="rId75">
                      <a:extLst>
                        <a:ext uri="{28A0092B-C50C-407E-A947-70E740481C1C}">
                          <a14:useLocalDpi xmlns:a14="http://schemas.microsoft.com/office/drawing/2010/main" val="0"/>
                        </a:ext>
                      </a:extLst>
                    </a:blip>
                    <a:stretch>
                      <a:fillRect/>
                    </a:stretch>
                  </pic:blipFill>
                  <pic:spPr>
                    <a:xfrm>
                      <a:off x="0" y="0"/>
                      <a:ext cx="4451657" cy="3247962"/>
                    </a:xfrm>
                    <a:prstGeom prst="rect">
                      <a:avLst/>
                    </a:prstGeom>
                  </pic:spPr>
                </pic:pic>
              </a:graphicData>
            </a:graphic>
          </wp:inline>
        </w:drawing>
      </w:r>
    </w:p>
    <w:p w14:paraId="26FC5413" w14:textId="77777777" w:rsidR="00B83214" w:rsidRPr="00511D0D" w:rsidRDefault="00B83214" w:rsidP="00B83214">
      <w:pPr>
        <w:pStyle w:val="Podpispodrysunkiem"/>
      </w:pPr>
      <w:bookmarkStart w:id="270" w:name="_Ref97209716"/>
      <w:bookmarkStart w:id="271" w:name="_Toc97537986"/>
      <w:bookmarkStart w:id="272" w:name="_Toc104790128"/>
      <w:r w:rsidRPr="00511D0D">
        <w:t xml:space="preserve">Rysunek </w:t>
      </w:r>
      <w:r>
        <w:fldChar w:fldCharType="begin"/>
      </w:r>
      <w:r>
        <w:instrText>SEQ Rysunek \* ARABIC</w:instrText>
      </w:r>
      <w:r>
        <w:fldChar w:fldCharType="separate"/>
      </w:r>
      <w:r w:rsidR="002B5007">
        <w:rPr>
          <w:noProof/>
        </w:rPr>
        <w:t>26</w:t>
      </w:r>
      <w:r>
        <w:fldChar w:fldCharType="end"/>
      </w:r>
      <w:bookmarkEnd w:id="270"/>
      <w:r w:rsidRPr="00511D0D">
        <w:t xml:space="preserve"> Masa odpadów selektywnie zebranych w latach 2010-2020</w:t>
      </w:r>
      <w:bookmarkEnd w:id="271"/>
      <w:bookmarkEnd w:id="272"/>
    </w:p>
    <w:p w14:paraId="393220CA" w14:textId="77777777" w:rsidR="00B83214" w:rsidRPr="00511D0D" w:rsidRDefault="00B83214" w:rsidP="00B83214">
      <w:pPr>
        <w:pStyle w:val="rdo"/>
      </w:pPr>
      <w:r w:rsidRPr="00511D0D">
        <w:t>Źródło: Rocznik Statystyczny Województwa Zachodniopomorskiego 2021, GUS 2021, GUS</w:t>
      </w:r>
    </w:p>
    <w:p w14:paraId="5320AE96" w14:textId="32454FB8" w:rsidR="00B83214" w:rsidRPr="00511D0D" w:rsidRDefault="00B83214" w:rsidP="00B83214">
      <w:pPr>
        <w:rPr>
          <w:szCs w:val="22"/>
          <w:highlight w:val="yellow"/>
        </w:rPr>
      </w:pPr>
      <w:r w:rsidRPr="00511D0D">
        <w:t xml:space="preserve">W latach 2017-2020 dominującymi metodami </w:t>
      </w:r>
      <w:r>
        <w:t xml:space="preserve">zagospodarowania </w:t>
      </w:r>
      <w:r w:rsidRPr="00511D0D">
        <w:t>odpadów j</w:t>
      </w:r>
      <w:r>
        <w:t>est składowanie, przekształcenie termiczne</w:t>
      </w:r>
      <w:r w:rsidRPr="00511D0D">
        <w:t xml:space="preserve"> z odzyskiem energii oraz recykling (</w:t>
      </w:r>
      <w:r w:rsidRPr="00511D0D">
        <w:fldChar w:fldCharType="begin"/>
      </w:r>
      <w:r w:rsidRPr="00511D0D">
        <w:instrText xml:space="preserve"> REF _Ref66626558 \h  \* MERGEFORMAT </w:instrText>
      </w:r>
      <w:r w:rsidRPr="00511D0D">
        <w:fldChar w:fldCharType="separate"/>
      </w:r>
      <w:r w:rsidR="002B5007" w:rsidRPr="00511D0D">
        <w:t xml:space="preserve">Rysunek </w:t>
      </w:r>
      <w:r w:rsidR="002B5007">
        <w:rPr>
          <w:noProof/>
        </w:rPr>
        <w:t>27</w:t>
      </w:r>
      <w:r w:rsidRPr="00511D0D">
        <w:fldChar w:fldCharType="end"/>
      </w:r>
      <w:r w:rsidRPr="00511D0D">
        <w:t>), przy czym obserwuje się wzrost ilości odpadów komunalnych przeznaczonych do przekształcenia termicznego z odzyskiem</w:t>
      </w:r>
      <w:r>
        <w:t xml:space="preserve"> energii oraz do kompostowania.</w:t>
      </w:r>
      <w:r w:rsidRPr="00511D0D">
        <w:t xml:space="preserve"> </w:t>
      </w:r>
      <w:r w:rsidRPr="00511D0D">
        <w:rPr>
          <w:szCs w:val="22"/>
        </w:rPr>
        <w:t>W</w:t>
      </w:r>
      <w:r w:rsidRPr="00511D0D">
        <w:t> </w:t>
      </w:r>
      <w:r w:rsidRPr="00511D0D">
        <w:rPr>
          <w:szCs w:val="22"/>
        </w:rPr>
        <w:t xml:space="preserve">roku 2020 </w:t>
      </w:r>
      <w:r w:rsidR="00443F04" w:rsidRPr="00511D0D">
        <w:rPr>
          <w:szCs w:val="22"/>
        </w:rPr>
        <w:t>łącznie do termicznego przekształcania skierowano 228 430,8 ton odpadów</w:t>
      </w:r>
      <w:r w:rsidR="00443F04">
        <w:rPr>
          <w:szCs w:val="22"/>
        </w:rPr>
        <w:t xml:space="preserve">, z czego </w:t>
      </w:r>
      <w:r w:rsidR="00443F04" w:rsidRPr="00511D0D">
        <w:rPr>
          <w:szCs w:val="22"/>
        </w:rPr>
        <w:t>blisko 99,99% odpadów przekształcano termicznie z odzyskiem energii.</w:t>
      </w:r>
      <w:r w:rsidR="00443F04">
        <w:rPr>
          <w:szCs w:val="22"/>
        </w:rPr>
        <w:t xml:space="preserve"> W</w:t>
      </w:r>
      <w:r w:rsidRPr="00511D0D">
        <w:rPr>
          <w:szCs w:val="22"/>
        </w:rPr>
        <w:t xml:space="preserve"> procesach kompostowania lub fermentacji przetworzono 71 130,2 ton odpadów,  </w:t>
      </w:r>
    </w:p>
    <w:p w14:paraId="27D69C17" w14:textId="77777777" w:rsidR="00B83214" w:rsidRPr="00511D0D" w:rsidRDefault="00B83214" w:rsidP="00B83214">
      <w:pPr>
        <w:keepNext/>
        <w:spacing w:line="276" w:lineRule="auto"/>
        <w:rPr>
          <w:sz w:val="22"/>
          <w:szCs w:val="22"/>
          <w:highlight w:val="yellow"/>
        </w:rPr>
      </w:pPr>
      <w:r w:rsidRPr="00511D0D">
        <w:rPr>
          <w:noProof/>
          <w:sz w:val="22"/>
          <w:lang w:eastAsia="pl-PL"/>
        </w:rPr>
        <w:drawing>
          <wp:inline distT="0" distB="0" distL="0" distR="0" wp14:anchorId="3C73EE3F" wp14:editId="17A1AC35">
            <wp:extent cx="5760720" cy="3785191"/>
            <wp:effectExtent l="0" t="0" r="11430" b="25400"/>
            <wp:docPr id="35" name="Wykres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F2EF1E6" w14:textId="77777777" w:rsidR="00B83214" w:rsidRPr="00511D0D" w:rsidRDefault="00B83214" w:rsidP="00B83214">
      <w:pPr>
        <w:pStyle w:val="Podpispodrysunkiem"/>
      </w:pPr>
      <w:bookmarkStart w:id="273" w:name="_Ref66626558"/>
      <w:bookmarkStart w:id="274" w:name="_Toc68068892"/>
      <w:bookmarkStart w:id="275" w:name="_Toc97537987"/>
      <w:bookmarkStart w:id="276" w:name="_Toc104790129"/>
      <w:r w:rsidRPr="00511D0D">
        <w:t xml:space="preserve">Rysunek </w:t>
      </w:r>
      <w:r>
        <w:fldChar w:fldCharType="begin"/>
      </w:r>
      <w:r>
        <w:instrText>SEQ Rysunek \* ARABIC</w:instrText>
      </w:r>
      <w:r>
        <w:fldChar w:fldCharType="separate"/>
      </w:r>
      <w:r w:rsidR="002B5007">
        <w:rPr>
          <w:noProof/>
        </w:rPr>
        <w:t>27</w:t>
      </w:r>
      <w:r>
        <w:fldChar w:fldCharType="end"/>
      </w:r>
      <w:bookmarkEnd w:id="273"/>
      <w:r>
        <w:rPr>
          <w:noProof/>
        </w:rPr>
        <w:t xml:space="preserve"> </w:t>
      </w:r>
      <w:r w:rsidRPr="00511D0D">
        <w:t xml:space="preserve">Sposoby zagospodarowania odpadów komunalnych w latach 2017-2020 w województwie </w:t>
      </w:r>
      <w:bookmarkEnd w:id="274"/>
      <w:bookmarkEnd w:id="275"/>
      <w:r w:rsidRPr="00511D0D">
        <w:t>zachodniopomorskim [Mg]</w:t>
      </w:r>
      <w:bookmarkEnd w:id="276"/>
    </w:p>
    <w:p w14:paraId="7702F2B2" w14:textId="77777777" w:rsidR="00B83214" w:rsidRPr="00511D0D" w:rsidRDefault="00B83214" w:rsidP="00B83214">
      <w:pPr>
        <w:pStyle w:val="rdo"/>
      </w:pPr>
      <w:r w:rsidRPr="00511D0D">
        <w:t>Źródło: GUS Bank Danych Lokalnych, www.bdl.stat.gov.pl</w:t>
      </w:r>
    </w:p>
    <w:p w14:paraId="47259751" w14:textId="77777777" w:rsidR="00B83214" w:rsidRPr="00511D0D" w:rsidRDefault="00B83214" w:rsidP="00B83214">
      <w:r w:rsidRPr="00511D0D">
        <w:t>Proces unieszkodliwiania odpadów i ich zagospodarowania wymaga kompleksowego podejścia. Aktualnie podejście gospodarki obiegu zamkniętego a także zmniejszanie się kubatury i ilości miejsc składowisk odpadów komu</w:t>
      </w:r>
      <w:r>
        <w:t>nalnych wymusza zmianę podejścia</w:t>
      </w:r>
      <w:r w:rsidRPr="00511D0D">
        <w:t xml:space="preserve"> do sposobu unieszkodliwienia odpadami. Aktualnie na terenie województwa zachodniopomorskiego dostępnych jest 18 czynnych składowisk odpadów, dla porównania w 2010 funkcjonowało ich 13. Aktualna powierzchnia czynnych składowisk, na których unieszkodliwiane są odpady komunalne na koniec 2020 </w:t>
      </w:r>
      <w:r>
        <w:t xml:space="preserve">r. </w:t>
      </w:r>
      <w:r w:rsidRPr="00511D0D">
        <w:t>wynosił</w:t>
      </w:r>
      <w:r>
        <w:t>a</w:t>
      </w:r>
      <w:r w:rsidRPr="00511D0D">
        <w:t xml:space="preserve"> 161,1 ha i zmniejszyła się w stosunku do 2010 </w:t>
      </w:r>
      <w:r>
        <w:t xml:space="preserve">r. </w:t>
      </w:r>
      <w:r w:rsidRPr="00511D0D">
        <w:t>o 32%.</w:t>
      </w:r>
    </w:p>
    <w:p w14:paraId="082AD39F" w14:textId="77777777" w:rsidR="00B83214" w:rsidRPr="00511D0D" w:rsidRDefault="00B83214" w:rsidP="00B83214">
      <w:pPr>
        <w:rPr>
          <w:highlight w:val="yellow"/>
        </w:rPr>
      </w:pPr>
      <w:r w:rsidRPr="00511D0D">
        <w:t>Problemem są również dzikie wysypiska odpadów. Pozytywnym aspektem jest, iż corocznie spada ich ilość. Dzikie (nielegalne) wysypisko odpadów to m</w:t>
      </w:r>
      <w:r w:rsidRPr="00511D0D">
        <w:rPr>
          <w:shd w:val="clear" w:color="auto" w:fill="FDFDFD"/>
        </w:rPr>
        <w:t>iejsce nieprzeznaczone do składowania odpadów, na którym porzucane są odpady komunalne</w:t>
      </w:r>
      <w:r w:rsidRPr="00511D0D">
        <w:rPr>
          <w:shd w:val="clear" w:color="auto" w:fill="FDFDFD"/>
          <w:vertAlign w:val="superscript"/>
        </w:rPr>
        <w:footnoteReference w:id="145"/>
      </w:r>
      <w:r w:rsidRPr="00511D0D">
        <w:rPr>
          <w:shd w:val="clear" w:color="auto" w:fill="FDFDFD"/>
        </w:rPr>
        <w:t>. W województwie zachodniopomorskim na koniec 2020 roku istniało 75 nielegalnych wysypisk odpadów. Wartość ta w o</w:t>
      </w:r>
      <w:r>
        <w:rPr>
          <w:shd w:val="clear" w:color="auto" w:fill="FDFDFD"/>
        </w:rPr>
        <w:t>dniesieniu do 2017 r. zmalała o</w:t>
      </w:r>
      <w:r w:rsidRPr="00511D0D">
        <w:rPr>
          <w:shd w:val="clear" w:color="auto" w:fill="FDFDFD"/>
        </w:rPr>
        <w:t xml:space="preserve"> ok. 43%. Warto jednak podkreślić, że systematycznie wzrasta liczba likwidowanych dzikich wysypisk – w 2020 roku zlikwidowano 633 dzikich wysypisk. Jednocześnie w trakcie likwidacji tego typu obiektów zbierane są odpady komunalne. W latach 2017-2020 w trakcie likwidacji dzikich wysypisk zebrano ponad 3 478,4</w:t>
      </w:r>
      <w:r>
        <w:rPr>
          <w:shd w:val="clear" w:color="auto" w:fill="FDFDFD"/>
        </w:rPr>
        <w:t xml:space="preserve"> </w:t>
      </w:r>
      <w:r w:rsidRPr="00511D0D">
        <w:rPr>
          <w:shd w:val="clear" w:color="auto" w:fill="FDFDFD"/>
        </w:rPr>
        <w:t>ton odpadów, średnior</w:t>
      </w:r>
      <w:r>
        <w:rPr>
          <w:shd w:val="clear" w:color="auto" w:fill="FDFDFD"/>
        </w:rPr>
        <w:t>ocznie to ok. 869,6 ton odpadów (Rysunek 28).</w:t>
      </w:r>
    </w:p>
    <w:p w14:paraId="6E054264" w14:textId="77777777" w:rsidR="00B83214" w:rsidRPr="00511D0D" w:rsidRDefault="00B83214" w:rsidP="00B83214">
      <w:pPr>
        <w:spacing w:line="276" w:lineRule="auto"/>
        <w:rPr>
          <w:rFonts w:cstheme="minorHAnsi"/>
          <w:b/>
          <w:sz w:val="22"/>
          <w:szCs w:val="22"/>
          <w:highlight w:val="yellow"/>
          <w:shd w:val="clear" w:color="auto" w:fill="FDFDFD"/>
        </w:rPr>
      </w:pPr>
      <w:r w:rsidRPr="00511D0D">
        <w:rPr>
          <w:noProof/>
          <w:sz w:val="22"/>
          <w:lang w:eastAsia="pl-PL"/>
        </w:rPr>
        <w:drawing>
          <wp:inline distT="0" distB="0" distL="0" distR="0" wp14:anchorId="5FFC7C9F" wp14:editId="30582620">
            <wp:extent cx="5760720" cy="2104384"/>
            <wp:effectExtent l="0" t="0" r="11430" b="10795"/>
            <wp:docPr id="36" name="Wykres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AD0E90B" w14:textId="77777777" w:rsidR="00B83214" w:rsidRPr="00511D0D" w:rsidRDefault="00B83214" w:rsidP="00B83214">
      <w:pPr>
        <w:pStyle w:val="Podpispodrysunkiem"/>
      </w:pPr>
      <w:bookmarkStart w:id="277" w:name="_Toc97537988"/>
      <w:bookmarkStart w:id="278" w:name="_Toc104790130"/>
      <w:r w:rsidRPr="00D55E0E">
        <w:t>Rysunek</w:t>
      </w:r>
      <w:r w:rsidRPr="00511D0D">
        <w:t xml:space="preserve"> </w:t>
      </w:r>
      <w:r>
        <w:fldChar w:fldCharType="begin"/>
      </w:r>
      <w:r>
        <w:instrText>SEQ Rysunek \* ARABIC</w:instrText>
      </w:r>
      <w:r>
        <w:fldChar w:fldCharType="separate"/>
      </w:r>
      <w:r w:rsidR="002B5007">
        <w:rPr>
          <w:noProof/>
        </w:rPr>
        <w:t>28</w:t>
      </w:r>
      <w:r>
        <w:fldChar w:fldCharType="end"/>
      </w:r>
      <w:r w:rsidRPr="00511D0D">
        <w:t xml:space="preserve"> Dane dotyczące dzikich wysypisk w latach 2017-2020</w:t>
      </w:r>
      <w:bookmarkEnd w:id="277"/>
      <w:bookmarkEnd w:id="278"/>
    </w:p>
    <w:p w14:paraId="1B89286F" w14:textId="77777777" w:rsidR="00B83214" w:rsidRPr="00511D0D" w:rsidRDefault="00B83214" w:rsidP="00B83214">
      <w:pPr>
        <w:pStyle w:val="rdo"/>
      </w:pPr>
      <w:r w:rsidRPr="00511D0D">
        <w:t>Źródło: Opracowanie własne na podstawie GUS BDL</w:t>
      </w:r>
    </w:p>
    <w:p w14:paraId="77E0F134" w14:textId="0B40A968" w:rsidR="00B83214" w:rsidRPr="00511D0D" w:rsidRDefault="00B83214" w:rsidP="00B83214">
      <w:r w:rsidRPr="00511D0D">
        <w:t>W 2019</w:t>
      </w:r>
      <w:r>
        <w:t xml:space="preserve"> </w:t>
      </w:r>
      <w:r w:rsidRPr="00511D0D">
        <w:t xml:space="preserve">r. wytworzono w województwie zachodniopomorskim 5 693,7 tys. ton odpadów przemysłowych przez 67 podmiotów. Od 2015 utrzymuje się taka samej liczby podmiotów składujących odpady (4 zakłady). W województwie spada liczba zakładów wytwarzających odpady oraz ilość wytwarzanych odpadów, w odniesieniu </w:t>
      </w:r>
      <w:r>
        <w:t>do 2010 wystąpił spadek o ok. 5</w:t>
      </w:r>
      <w:r w:rsidRPr="00511D0D">
        <w:t>%. Ze strumienia odpadów wytworzonych tylko ok. 10% odpadów poddanych jest odzyskowi, natomiast ok. 70% procesowi unieszkodliwiania.</w:t>
      </w:r>
      <w:r>
        <w:t xml:space="preserve"> Ok.</w:t>
      </w:r>
      <w:r w:rsidRPr="00511D0D">
        <w:t xml:space="preserve"> 50% strumienia odpadów poddawanych jest unieszkodliwieniu poprzez składowanie. Niezrekultywowana powierzchnia obejmująca tereny składowania odpadów (z wyłączeniem odpadów komunalnych) wynosi 561,5 ha i w stosunku do 2010</w:t>
      </w:r>
      <w:r>
        <w:t xml:space="preserve"> r.</w:t>
      </w:r>
      <w:r w:rsidRPr="00511D0D">
        <w:t xml:space="preserve"> </w:t>
      </w:r>
      <w:r>
        <w:t>wzrosła</w:t>
      </w:r>
      <w:r w:rsidRPr="00511D0D">
        <w:t xml:space="preserve"> o ok. 32%. Poniżej w tabeli</w:t>
      </w:r>
      <w:r>
        <w:t xml:space="preserve"> (</w:t>
      </w:r>
      <w:r w:rsidRPr="00D55E0E">
        <w:fldChar w:fldCharType="begin"/>
      </w:r>
      <w:r w:rsidRPr="00D55E0E">
        <w:instrText xml:space="preserve"> REF _Ref103257387 \h  \* MERGEFORMAT </w:instrText>
      </w:r>
      <w:r w:rsidRPr="00D55E0E">
        <w:fldChar w:fldCharType="separate"/>
      </w:r>
      <w:r w:rsidR="002B5007" w:rsidRPr="002B5007">
        <w:rPr>
          <w:bCs/>
        </w:rPr>
        <w:t xml:space="preserve">Tabela </w:t>
      </w:r>
      <w:r w:rsidR="002B5007" w:rsidRPr="002B5007">
        <w:rPr>
          <w:bCs/>
          <w:noProof/>
        </w:rPr>
        <w:t>28</w:t>
      </w:r>
      <w:r w:rsidRPr="00D55E0E">
        <w:fldChar w:fldCharType="end"/>
      </w:r>
      <w:r>
        <w:t>)</w:t>
      </w:r>
      <w:r w:rsidRPr="00511D0D">
        <w:t xml:space="preserve"> przedstawiono dane dotyczące odpadów wytworzonych z wyłączeniem odpadów komunalnych w </w:t>
      </w:r>
      <w:r>
        <w:t>latach 2010-2020.</w:t>
      </w:r>
    </w:p>
    <w:p w14:paraId="0B9251A7" w14:textId="77777777" w:rsidR="00B83214" w:rsidRPr="00511D0D" w:rsidRDefault="00B83214" w:rsidP="00B83214">
      <w:pPr>
        <w:pStyle w:val="Podpispodrysunkiem"/>
      </w:pPr>
      <w:bookmarkStart w:id="279" w:name="_Ref103257387"/>
      <w:bookmarkStart w:id="280" w:name="_Toc97537956"/>
      <w:bookmarkStart w:id="281" w:name="_Toc104790098"/>
      <w:r w:rsidRPr="00511D0D">
        <w:t xml:space="preserve">Tabela </w:t>
      </w:r>
      <w:r>
        <w:fldChar w:fldCharType="begin"/>
      </w:r>
      <w:r>
        <w:instrText>SEQ Tabela \* ARABIC</w:instrText>
      </w:r>
      <w:r>
        <w:fldChar w:fldCharType="separate"/>
      </w:r>
      <w:r w:rsidR="002B5007">
        <w:rPr>
          <w:noProof/>
        </w:rPr>
        <w:t>28</w:t>
      </w:r>
      <w:r>
        <w:fldChar w:fldCharType="end"/>
      </w:r>
      <w:bookmarkEnd w:id="279"/>
      <w:r w:rsidRPr="00511D0D">
        <w:t xml:space="preserve"> Dane statyczne dotyczące odpadów wytworzonych z wyłączeniem odpadów komunalnych</w:t>
      </w:r>
      <w:r w:rsidRPr="00511D0D">
        <w:rPr>
          <w:color w:val="000000"/>
        </w:rPr>
        <w:t xml:space="preserve"> </w:t>
      </w:r>
      <w:r w:rsidRPr="00511D0D">
        <w:t>w latach 2010-2019</w:t>
      </w:r>
      <w:bookmarkEnd w:id="280"/>
      <w:bookmarkEnd w:id="281"/>
    </w:p>
    <w:tbl>
      <w:tblPr>
        <w:tblStyle w:val="GridTable1LightAccent112"/>
        <w:tblW w:w="9180" w:type="dxa"/>
        <w:tblLook w:val="04A0" w:firstRow="1" w:lastRow="0" w:firstColumn="1" w:lastColumn="0" w:noHBand="0" w:noVBand="1"/>
      </w:tblPr>
      <w:tblGrid>
        <w:gridCol w:w="3746"/>
        <w:gridCol w:w="898"/>
        <w:gridCol w:w="1512"/>
        <w:gridCol w:w="1512"/>
        <w:gridCol w:w="1512"/>
      </w:tblGrid>
      <w:tr w:rsidR="00B83214" w:rsidRPr="00D55E0E" w14:paraId="0896D837" w14:textId="77777777" w:rsidTr="00B83214">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3746" w:type="dxa"/>
            <w:hideMark/>
          </w:tcPr>
          <w:p w14:paraId="07532D97" w14:textId="77777777" w:rsidR="00B83214" w:rsidRPr="00D55E0E" w:rsidRDefault="00B83214" w:rsidP="00B83214">
            <w:pPr>
              <w:spacing w:before="0" w:line="240" w:lineRule="auto"/>
              <w:rPr>
                <w:szCs w:val="24"/>
              </w:rPr>
            </w:pPr>
            <w:r w:rsidRPr="00D55E0E">
              <w:rPr>
                <w:szCs w:val="24"/>
              </w:rPr>
              <w:t>Wyszczególnienie</w:t>
            </w:r>
          </w:p>
        </w:tc>
        <w:tc>
          <w:tcPr>
            <w:tcW w:w="898" w:type="dxa"/>
          </w:tcPr>
          <w:p w14:paraId="1D08BCFE" w14:textId="77777777" w:rsidR="00B83214" w:rsidRPr="00D55E0E" w:rsidRDefault="00B83214" w:rsidP="00B83214">
            <w:pPr>
              <w:spacing w:before="0" w:line="240" w:lineRule="auto"/>
              <w:cnfStyle w:val="100000000000" w:firstRow="1" w:lastRow="0" w:firstColumn="0" w:lastColumn="0" w:oddVBand="0" w:evenVBand="0" w:oddHBand="0" w:evenHBand="0" w:firstRowFirstColumn="0" w:firstRowLastColumn="0" w:lastRowFirstColumn="0" w:lastRowLastColumn="0"/>
              <w:rPr>
                <w:rFonts w:eastAsia="Times New Roman"/>
                <w:szCs w:val="24"/>
              </w:rPr>
            </w:pPr>
            <w:r w:rsidRPr="00D55E0E">
              <w:rPr>
                <w:rFonts w:eastAsia="Times New Roman"/>
                <w:szCs w:val="24"/>
              </w:rPr>
              <w:t>Jedn.</w:t>
            </w:r>
          </w:p>
        </w:tc>
        <w:tc>
          <w:tcPr>
            <w:tcW w:w="1512" w:type="dxa"/>
            <w:hideMark/>
          </w:tcPr>
          <w:p w14:paraId="73472C85" w14:textId="77777777" w:rsidR="00B83214" w:rsidRPr="00D55E0E" w:rsidRDefault="00B83214" w:rsidP="00B83214">
            <w:pPr>
              <w:spacing w:before="0" w:line="240" w:lineRule="auto"/>
              <w:cnfStyle w:val="100000000000" w:firstRow="1" w:lastRow="0" w:firstColumn="0" w:lastColumn="0" w:oddVBand="0" w:evenVBand="0" w:oddHBand="0" w:evenHBand="0" w:firstRowFirstColumn="0" w:firstRowLastColumn="0" w:lastRowFirstColumn="0" w:lastRowLastColumn="0"/>
              <w:rPr>
                <w:szCs w:val="24"/>
              </w:rPr>
            </w:pPr>
            <w:r w:rsidRPr="00D55E0E">
              <w:rPr>
                <w:szCs w:val="24"/>
              </w:rPr>
              <w:t>2010</w:t>
            </w:r>
          </w:p>
        </w:tc>
        <w:tc>
          <w:tcPr>
            <w:tcW w:w="1512" w:type="dxa"/>
            <w:hideMark/>
          </w:tcPr>
          <w:p w14:paraId="0C83D8C4" w14:textId="77777777" w:rsidR="00B83214" w:rsidRPr="00D55E0E" w:rsidRDefault="00B83214" w:rsidP="00B83214">
            <w:pPr>
              <w:spacing w:before="0" w:line="240" w:lineRule="auto"/>
              <w:cnfStyle w:val="100000000000" w:firstRow="1" w:lastRow="0" w:firstColumn="0" w:lastColumn="0" w:oddVBand="0" w:evenVBand="0" w:oddHBand="0" w:evenHBand="0" w:firstRowFirstColumn="0" w:firstRowLastColumn="0" w:lastRowFirstColumn="0" w:lastRowLastColumn="0"/>
              <w:rPr>
                <w:szCs w:val="24"/>
              </w:rPr>
            </w:pPr>
            <w:r w:rsidRPr="00D55E0E">
              <w:rPr>
                <w:szCs w:val="24"/>
              </w:rPr>
              <w:t>2015</w:t>
            </w:r>
          </w:p>
        </w:tc>
        <w:tc>
          <w:tcPr>
            <w:tcW w:w="1512" w:type="dxa"/>
            <w:hideMark/>
          </w:tcPr>
          <w:p w14:paraId="391F80A4" w14:textId="77777777" w:rsidR="00B83214" w:rsidRPr="00D55E0E" w:rsidRDefault="00B83214" w:rsidP="00B83214">
            <w:pPr>
              <w:spacing w:before="0" w:line="240" w:lineRule="auto"/>
              <w:cnfStyle w:val="100000000000" w:firstRow="1" w:lastRow="0" w:firstColumn="0" w:lastColumn="0" w:oddVBand="0" w:evenVBand="0" w:oddHBand="0" w:evenHBand="0" w:firstRowFirstColumn="0" w:firstRowLastColumn="0" w:lastRowFirstColumn="0" w:lastRowLastColumn="0"/>
              <w:rPr>
                <w:szCs w:val="24"/>
              </w:rPr>
            </w:pPr>
            <w:r w:rsidRPr="00D55E0E">
              <w:rPr>
                <w:szCs w:val="24"/>
              </w:rPr>
              <w:t>2020</w:t>
            </w:r>
          </w:p>
        </w:tc>
      </w:tr>
      <w:tr w:rsidR="00B83214" w:rsidRPr="00D55E0E" w14:paraId="301DBC0F" w14:textId="77777777" w:rsidTr="00B83214">
        <w:trPr>
          <w:trHeight w:val="290"/>
        </w:trPr>
        <w:tc>
          <w:tcPr>
            <w:cnfStyle w:val="001000000000" w:firstRow="0" w:lastRow="0" w:firstColumn="1" w:lastColumn="0" w:oddVBand="0" w:evenVBand="0" w:oddHBand="0" w:evenHBand="0" w:firstRowFirstColumn="0" w:firstRowLastColumn="0" w:lastRowFirstColumn="0" w:lastRowLastColumn="0"/>
            <w:tcW w:w="3746" w:type="dxa"/>
            <w:hideMark/>
          </w:tcPr>
          <w:p w14:paraId="1DF17825" w14:textId="77777777" w:rsidR="00B83214" w:rsidRPr="00D55E0E" w:rsidRDefault="00B83214" w:rsidP="00B83214">
            <w:pPr>
              <w:spacing w:before="0" w:line="240" w:lineRule="auto"/>
              <w:rPr>
                <w:b w:val="0"/>
                <w:color w:val="000000"/>
                <w:szCs w:val="24"/>
              </w:rPr>
            </w:pPr>
            <w:r w:rsidRPr="00D55E0E">
              <w:rPr>
                <w:b w:val="0"/>
                <w:color w:val="000000"/>
                <w:szCs w:val="24"/>
              </w:rPr>
              <w:t xml:space="preserve">Liczba zakładów wytwarzających odpady </w:t>
            </w:r>
          </w:p>
        </w:tc>
        <w:tc>
          <w:tcPr>
            <w:tcW w:w="898" w:type="dxa"/>
          </w:tcPr>
          <w:p w14:paraId="539AE5D4" w14:textId="77777777" w:rsidR="00B83214" w:rsidRPr="00D55E0E"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D55E0E">
              <w:rPr>
                <w:color w:val="000000"/>
                <w:szCs w:val="24"/>
              </w:rPr>
              <w:t>[szt.]</w:t>
            </w:r>
          </w:p>
        </w:tc>
        <w:tc>
          <w:tcPr>
            <w:tcW w:w="1512" w:type="dxa"/>
            <w:vAlign w:val="center"/>
            <w:hideMark/>
          </w:tcPr>
          <w:p w14:paraId="786FCD4E"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76</w:t>
            </w:r>
          </w:p>
        </w:tc>
        <w:tc>
          <w:tcPr>
            <w:tcW w:w="1512" w:type="dxa"/>
            <w:vAlign w:val="center"/>
            <w:hideMark/>
          </w:tcPr>
          <w:p w14:paraId="74241AA0"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77</w:t>
            </w:r>
          </w:p>
        </w:tc>
        <w:tc>
          <w:tcPr>
            <w:tcW w:w="1512" w:type="dxa"/>
            <w:vAlign w:val="center"/>
            <w:hideMark/>
          </w:tcPr>
          <w:p w14:paraId="281E5E8B"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67</w:t>
            </w:r>
          </w:p>
        </w:tc>
      </w:tr>
      <w:tr w:rsidR="00B83214" w:rsidRPr="00D55E0E" w14:paraId="30F9C2CE" w14:textId="77777777" w:rsidTr="00B83214">
        <w:trPr>
          <w:trHeight w:val="290"/>
        </w:trPr>
        <w:tc>
          <w:tcPr>
            <w:cnfStyle w:val="001000000000" w:firstRow="0" w:lastRow="0" w:firstColumn="1" w:lastColumn="0" w:oddVBand="0" w:evenVBand="0" w:oddHBand="0" w:evenHBand="0" w:firstRowFirstColumn="0" w:firstRowLastColumn="0" w:lastRowFirstColumn="0" w:lastRowLastColumn="0"/>
            <w:tcW w:w="3746" w:type="dxa"/>
          </w:tcPr>
          <w:p w14:paraId="7FC462D0" w14:textId="77777777" w:rsidR="00B83214" w:rsidRPr="00D55E0E" w:rsidRDefault="00B83214" w:rsidP="00B83214">
            <w:pPr>
              <w:spacing w:before="0" w:line="240" w:lineRule="auto"/>
              <w:rPr>
                <w:b w:val="0"/>
                <w:color w:val="000000"/>
                <w:szCs w:val="24"/>
              </w:rPr>
            </w:pPr>
            <w:r w:rsidRPr="00D55E0E">
              <w:rPr>
                <w:b w:val="0"/>
                <w:color w:val="000000"/>
                <w:szCs w:val="24"/>
              </w:rPr>
              <w:t>Liczba zakładów składujących odpady</w:t>
            </w:r>
          </w:p>
        </w:tc>
        <w:tc>
          <w:tcPr>
            <w:tcW w:w="898" w:type="dxa"/>
          </w:tcPr>
          <w:p w14:paraId="2C0FBDD3" w14:textId="77777777" w:rsidR="00B83214" w:rsidRPr="00D55E0E"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color w:val="000000"/>
                <w:szCs w:val="24"/>
              </w:rPr>
            </w:pPr>
            <w:r w:rsidRPr="00D55E0E">
              <w:rPr>
                <w:color w:val="000000"/>
                <w:szCs w:val="24"/>
              </w:rPr>
              <w:t>[szt.]</w:t>
            </w:r>
          </w:p>
        </w:tc>
        <w:tc>
          <w:tcPr>
            <w:tcW w:w="1512" w:type="dxa"/>
            <w:vAlign w:val="center"/>
          </w:tcPr>
          <w:p w14:paraId="72F20FA8"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10</w:t>
            </w:r>
          </w:p>
        </w:tc>
        <w:tc>
          <w:tcPr>
            <w:tcW w:w="1512" w:type="dxa"/>
            <w:vAlign w:val="center"/>
          </w:tcPr>
          <w:p w14:paraId="4B4F8F39"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4</w:t>
            </w:r>
          </w:p>
        </w:tc>
        <w:tc>
          <w:tcPr>
            <w:tcW w:w="1512" w:type="dxa"/>
            <w:vAlign w:val="center"/>
          </w:tcPr>
          <w:p w14:paraId="46366CD3"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4</w:t>
            </w:r>
          </w:p>
        </w:tc>
      </w:tr>
      <w:tr w:rsidR="00B83214" w:rsidRPr="00D55E0E" w14:paraId="58CD7D0E" w14:textId="77777777" w:rsidTr="00B83214">
        <w:trPr>
          <w:trHeight w:val="405"/>
        </w:trPr>
        <w:tc>
          <w:tcPr>
            <w:cnfStyle w:val="001000000000" w:firstRow="0" w:lastRow="0" w:firstColumn="1" w:lastColumn="0" w:oddVBand="0" w:evenVBand="0" w:oddHBand="0" w:evenHBand="0" w:firstRowFirstColumn="0" w:firstRowLastColumn="0" w:lastRowFirstColumn="0" w:lastRowLastColumn="0"/>
            <w:tcW w:w="3746" w:type="dxa"/>
            <w:hideMark/>
          </w:tcPr>
          <w:p w14:paraId="78B31EBE" w14:textId="77777777" w:rsidR="00B83214" w:rsidRPr="00D55E0E" w:rsidRDefault="00B83214" w:rsidP="00B83214">
            <w:pPr>
              <w:spacing w:before="0" w:line="240" w:lineRule="auto"/>
              <w:rPr>
                <w:b w:val="0"/>
                <w:color w:val="000000"/>
                <w:szCs w:val="24"/>
              </w:rPr>
            </w:pPr>
            <w:r w:rsidRPr="00D55E0E">
              <w:rPr>
                <w:b w:val="0"/>
                <w:color w:val="000000"/>
                <w:szCs w:val="24"/>
              </w:rPr>
              <w:t xml:space="preserve">Ogółem odpady wytworzone </w:t>
            </w:r>
          </w:p>
        </w:tc>
        <w:tc>
          <w:tcPr>
            <w:tcW w:w="898" w:type="dxa"/>
          </w:tcPr>
          <w:p w14:paraId="0AAF4AEC" w14:textId="77777777" w:rsidR="00B83214" w:rsidRPr="00D55E0E"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D55E0E">
              <w:rPr>
                <w:color w:val="000000"/>
                <w:szCs w:val="24"/>
              </w:rPr>
              <w:t>[tys. t]</w:t>
            </w:r>
          </w:p>
        </w:tc>
        <w:tc>
          <w:tcPr>
            <w:tcW w:w="1512" w:type="dxa"/>
            <w:vAlign w:val="center"/>
            <w:hideMark/>
          </w:tcPr>
          <w:p w14:paraId="01DA08CB"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5 976,6</w:t>
            </w:r>
          </w:p>
        </w:tc>
        <w:tc>
          <w:tcPr>
            <w:tcW w:w="1512" w:type="dxa"/>
            <w:vAlign w:val="center"/>
            <w:hideMark/>
          </w:tcPr>
          <w:p w14:paraId="24900B0C"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4 941,4</w:t>
            </w:r>
          </w:p>
        </w:tc>
        <w:tc>
          <w:tcPr>
            <w:tcW w:w="1512" w:type="dxa"/>
            <w:vAlign w:val="center"/>
            <w:hideMark/>
          </w:tcPr>
          <w:p w14:paraId="450480C9"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bookmarkStart w:id="282" w:name="OLE_LINK2"/>
            <w:r w:rsidRPr="00D55E0E">
              <w:rPr>
                <w:rFonts w:eastAsia="Times New Roman" w:cs="Arial"/>
                <w:color w:val="000000"/>
                <w:szCs w:val="24"/>
              </w:rPr>
              <w:t xml:space="preserve">5 693,7 </w:t>
            </w:r>
            <w:bookmarkEnd w:id="282"/>
            <w:r w:rsidRPr="00D55E0E">
              <w:rPr>
                <w:rFonts w:eastAsia="Times New Roman" w:cs="Arial"/>
                <w:color w:val="000000"/>
                <w:szCs w:val="24"/>
              </w:rPr>
              <w:t>(2019)*</w:t>
            </w:r>
          </w:p>
        </w:tc>
      </w:tr>
      <w:tr w:rsidR="00B83214" w:rsidRPr="00D55E0E" w14:paraId="50EC9E61" w14:textId="77777777" w:rsidTr="00B83214">
        <w:trPr>
          <w:trHeight w:val="405"/>
        </w:trPr>
        <w:tc>
          <w:tcPr>
            <w:cnfStyle w:val="001000000000" w:firstRow="0" w:lastRow="0" w:firstColumn="1" w:lastColumn="0" w:oddVBand="0" w:evenVBand="0" w:oddHBand="0" w:evenHBand="0" w:firstRowFirstColumn="0" w:firstRowLastColumn="0" w:lastRowFirstColumn="0" w:lastRowLastColumn="0"/>
            <w:tcW w:w="3746" w:type="dxa"/>
            <w:hideMark/>
          </w:tcPr>
          <w:p w14:paraId="5E435A5A" w14:textId="77777777" w:rsidR="00B83214" w:rsidRPr="00D55E0E" w:rsidRDefault="00B83214" w:rsidP="00B83214">
            <w:pPr>
              <w:spacing w:before="0" w:line="240" w:lineRule="auto"/>
              <w:rPr>
                <w:b w:val="0"/>
                <w:color w:val="000000"/>
                <w:szCs w:val="24"/>
              </w:rPr>
            </w:pPr>
            <w:r w:rsidRPr="00D55E0E">
              <w:rPr>
                <w:b w:val="0"/>
                <w:color w:val="000000"/>
                <w:szCs w:val="24"/>
              </w:rPr>
              <w:t xml:space="preserve">Odpady poddane odzyskowi </w:t>
            </w:r>
          </w:p>
        </w:tc>
        <w:tc>
          <w:tcPr>
            <w:tcW w:w="898" w:type="dxa"/>
          </w:tcPr>
          <w:p w14:paraId="58EE077C" w14:textId="77777777" w:rsidR="00B83214" w:rsidRPr="00D55E0E"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D55E0E">
              <w:rPr>
                <w:color w:val="000000"/>
                <w:szCs w:val="24"/>
              </w:rPr>
              <w:t>[tys. t]</w:t>
            </w:r>
          </w:p>
        </w:tc>
        <w:tc>
          <w:tcPr>
            <w:tcW w:w="1512" w:type="dxa"/>
            <w:vAlign w:val="center"/>
            <w:hideMark/>
          </w:tcPr>
          <w:p w14:paraId="3EA20341"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2 103,2</w:t>
            </w:r>
          </w:p>
        </w:tc>
        <w:tc>
          <w:tcPr>
            <w:tcW w:w="1512" w:type="dxa"/>
            <w:vAlign w:val="center"/>
            <w:hideMark/>
          </w:tcPr>
          <w:p w14:paraId="68639AF8"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617,0</w:t>
            </w:r>
          </w:p>
        </w:tc>
        <w:tc>
          <w:tcPr>
            <w:tcW w:w="1512" w:type="dxa"/>
            <w:vAlign w:val="center"/>
            <w:hideMark/>
          </w:tcPr>
          <w:p w14:paraId="503D0B70"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460,2</w:t>
            </w:r>
          </w:p>
        </w:tc>
      </w:tr>
      <w:tr w:rsidR="00B83214" w:rsidRPr="00D55E0E" w14:paraId="23E7F7F2" w14:textId="77777777" w:rsidTr="00B83214">
        <w:trPr>
          <w:trHeight w:val="405"/>
        </w:trPr>
        <w:tc>
          <w:tcPr>
            <w:cnfStyle w:val="001000000000" w:firstRow="0" w:lastRow="0" w:firstColumn="1" w:lastColumn="0" w:oddVBand="0" w:evenVBand="0" w:oddHBand="0" w:evenHBand="0" w:firstRowFirstColumn="0" w:firstRowLastColumn="0" w:lastRowFirstColumn="0" w:lastRowLastColumn="0"/>
            <w:tcW w:w="3746" w:type="dxa"/>
            <w:hideMark/>
          </w:tcPr>
          <w:p w14:paraId="2084CF26" w14:textId="77777777" w:rsidR="00B83214" w:rsidRPr="00D55E0E" w:rsidRDefault="00B83214" w:rsidP="00B83214">
            <w:pPr>
              <w:spacing w:before="0" w:line="240" w:lineRule="auto"/>
              <w:rPr>
                <w:b w:val="0"/>
                <w:color w:val="000000"/>
                <w:szCs w:val="24"/>
              </w:rPr>
            </w:pPr>
            <w:r w:rsidRPr="00D55E0E">
              <w:rPr>
                <w:b w:val="0"/>
                <w:color w:val="000000"/>
                <w:szCs w:val="24"/>
              </w:rPr>
              <w:t>Odpady unieszkodliwione</w:t>
            </w:r>
          </w:p>
        </w:tc>
        <w:tc>
          <w:tcPr>
            <w:tcW w:w="898" w:type="dxa"/>
          </w:tcPr>
          <w:p w14:paraId="220BAB77" w14:textId="77777777" w:rsidR="00B83214" w:rsidRPr="00D55E0E"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D55E0E">
              <w:rPr>
                <w:color w:val="000000"/>
                <w:szCs w:val="24"/>
              </w:rPr>
              <w:t>[tys. t]</w:t>
            </w:r>
          </w:p>
        </w:tc>
        <w:tc>
          <w:tcPr>
            <w:tcW w:w="1512" w:type="dxa"/>
            <w:vAlign w:val="center"/>
            <w:hideMark/>
          </w:tcPr>
          <w:p w14:paraId="34BDB2B9"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3 627,5</w:t>
            </w:r>
          </w:p>
        </w:tc>
        <w:tc>
          <w:tcPr>
            <w:tcW w:w="1512" w:type="dxa"/>
            <w:vAlign w:val="center"/>
            <w:hideMark/>
          </w:tcPr>
          <w:p w14:paraId="6C7E296A"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3 580,0</w:t>
            </w:r>
          </w:p>
        </w:tc>
        <w:tc>
          <w:tcPr>
            <w:tcW w:w="1512" w:type="dxa"/>
            <w:vAlign w:val="center"/>
            <w:hideMark/>
          </w:tcPr>
          <w:p w14:paraId="3F07A8EA"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3 794,3</w:t>
            </w:r>
          </w:p>
        </w:tc>
      </w:tr>
      <w:tr w:rsidR="00B83214" w:rsidRPr="00D55E0E" w14:paraId="6B0CF9CF" w14:textId="77777777" w:rsidTr="00B83214">
        <w:trPr>
          <w:trHeight w:val="608"/>
        </w:trPr>
        <w:tc>
          <w:tcPr>
            <w:cnfStyle w:val="001000000000" w:firstRow="0" w:lastRow="0" w:firstColumn="1" w:lastColumn="0" w:oddVBand="0" w:evenVBand="0" w:oddHBand="0" w:evenHBand="0" w:firstRowFirstColumn="0" w:firstRowLastColumn="0" w:lastRowFirstColumn="0" w:lastRowLastColumn="0"/>
            <w:tcW w:w="3746" w:type="dxa"/>
            <w:hideMark/>
          </w:tcPr>
          <w:p w14:paraId="151FB7B6" w14:textId="77777777" w:rsidR="00B83214" w:rsidRPr="00D55E0E" w:rsidRDefault="00B83214" w:rsidP="00B83214">
            <w:pPr>
              <w:spacing w:before="0" w:line="240" w:lineRule="auto"/>
              <w:rPr>
                <w:b w:val="0"/>
                <w:color w:val="000000"/>
                <w:szCs w:val="24"/>
              </w:rPr>
            </w:pPr>
            <w:r w:rsidRPr="00D55E0E">
              <w:rPr>
                <w:b w:val="0"/>
                <w:color w:val="000000"/>
                <w:szCs w:val="24"/>
              </w:rPr>
              <w:t xml:space="preserve">Odpady unieszkodliwione termicznie </w:t>
            </w:r>
          </w:p>
        </w:tc>
        <w:tc>
          <w:tcPr>
            <w:tcW w:w="898" w:type="dxa"/>
          </w:tcPr>
          <w:p w14:paraId="7CD78ED0" w14:textId="77777777" w:rsidR="00B83214" w:rsidRPr="00D55E0E"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D55E0E">
              <w:rPr>
                <w:color w:val="000000"/>
                <w:szCs w:val="24"/>
              </w:rPr>
              <w:t>[tys. t]</w:t>
            </w:r>
          </w:p>
        </w:tc>
        <w:tc>
          <w:tcPr>
            <w:tcW w:w="1512" w:type="dxa"/>
            <w:vAlign w:val="center"/>
            <w:hideMark/>
          </w:tcPr>
          <w:p w14:paraId="748ECFA0"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23,7</w:t>
            </w:r>
          </w:p>
        </w:tc>
        <w:tc>
          <w:tcPr>
            <w:tcW w:w="1512" w:type="dxa"/>
            <w:vAlign w:val="center"/>
            <w:hideMark/>
          </w:tcPr>
          <w:p w14:paraId="25C015F4"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30,9</w:t>
            </w:r>
          </w:p>
        </w:tc>
        <w:tc>
          <w:tcPr>
            <w:tcW w:w="1512" w:type="dxa"/>
            <w:vAlign w:val="center"/>
            <w:hideMark/>
          </w:tcPr>
          <w:p w14:paraId="5516E99C"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5,4</w:t>
            </w:r>
          </w:p>
        </w:tc>
      </w:tr>
      <w:tr w:rsidR="00B83214" w:rsidRPr="00D55E0E" w14:paraId="641EE9D3" w14:textId="77777777" w:rsidTr="00B83214">
        <w:trPr>
          <w:trHeight w:val="811"/>
        </w:trPr>
        <w:tc>
          <w:tcPr>
            <w:cnfStyle w:val="001000000000" w:firstRow="0" w:lastRow="0" w:firstColumn="1" w:lastColumn="0" w:oddVBand="0" w:evenVBand="0" w:oddHBand="0" w:evenHBand="0" w:firstRowFirstColumn="0" w:firstRowLastColumn="0" w:lastRowFirstColumn="0" w:lastRowLastColumn="0"/>
            <w:tcW w:w="3746" w:type="dxa"/>
            <w:hideMark/>
          </w:tcPr>
          <w:p w14:paraId="6BD868DE" w14:textId="77777777" w:rsidR="00B83214" w:rsidRPr="00D55E0E" w:rsidRDefault="00B83214" w:rsidP="00B83214">
            <w:pPr>
              <w:spacing w:before="0" w:line="240" w:lineRule="auto"/>
              <w:rPr>
                <w:b w:val="0"/>
                <w:color w:val="000000"/>
                <w:szCs w:val="24"/>
              </w:rPr>
            </w:pPr>
            <w:r w:rsidRPr="00D55E0E">
              <w:rPr>
                <w:b w:val="0"/>
                <w:color w:val="000000"/>
                <w:szCs w:val="24"/>
              </w:rPr>
              <w:t xml:space="preserve">Odpady unieszkodliwione poprzez składowanie na składowiskach (hałdach, stawach osadowych) własnych i innych </w:t>
            </w:r>
          </w:p>
        </w:tc>
        <w:tc>
          <w:tcPr>
            <w:tcW w:w="898" w:type="dxa"/>
          </w:tcPr>
          <w:p w14:paraId="683BF16D" w14:textId="77777777" w:rsidR="00B83214" w:rsidRPr="00D55E0E"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D55E0E">
              <w:rPr>
                <w:color w:val="000000"/>
                <w:szCs w:val="24"/>
              </w:rPr>
              <w:t>[tys. t]</w:t>
            </w:r>
          </w:p>
        </w:tc>
        <w:tc>
          <w:tcPr>
            <w:tcW w:w="1512" w:type="dxa"/>
            <w:vAlign w:val="center"/>
            <w:hideMark/>
          </w:tcPr>
          <w:p w14:paraId="5EA9C846"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2 371,7</w:t>
            </w:r>
          </w:p>
        </w:tc>
        <w:tc>
          <w:tcPr>
            <w:tcW w:w="1512" w:type="dxa"/>
            <w:vAlign w:val="center"/>
            <w:hideMark/>
          </w:tcPr>
          <w:p w14:paraId="327511ED"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2 177,1</w:t>
            </w:r>
          </w:p>
        </w:tc>
        <w:tc>
          <w:tcPr>
            <w:tcW w:w="1512" w:type="dxa"/>
            <w:vAlign w:val="center"/>
            <w:hideMark/>
          </w:tcPr>
          <w:p w14:paraId="503D8B89"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1 952,7</w:t>
            </w:r>
          </w:p>
        </w:tc>
      </w:tr>
      <w:tr w:rsidR="00B83214" w:rsidRPr="00D55E0E" w14:paraId="2D5A0A8E" w14:textId="77777777" w:rsidTr="00B83214">
        <w:trPr>
          <w:trHeight w:val="608"/>
        </w:trPr>
        <w:tc>
          <w:tcPr>
            <w:cnfStyle w:val="001000000000" w:firstRow="0" w:lastRow="0" w:firstColumn="1" w:lastColumn="0" w:oddVBand="0" w:evenVBand="0" w:oddHBand="0" w:evenHBand="0" w:firstRowFirstColumn="0" w:firstRowLastColumn="0" w:lastRowFirstColumn="0" w:lastRowLastColumn="0"/>
            <w:tcW w:w="3746" w:type="dxa"/>
            <w:hideMark/>
          </w:tcPr>
          <w:p w14:paraId="10FD2271" w14:textId="77777777" w:rsidR="00B83214" w:rsidRPr="00D55E0E" w:rsidRDefault="00B83214" w:rsidP="00B83214">
            <w:pPr>
              <w:spacing w:before="0" w:line="240" w:lineRule="auto"/>
              <w:rPr>
                <w:b w:val="0"/>
                <w:color w:val="000000"/>
                <w:szCs w:val="24"/>
              </w:rPr>
            </w:pPr>
            <w:r w:rsidRPr="00D55E0E">
              <w:rPr>
                <w:b w:val="0"/>
                <w:color w:val="000000"/>
                <w:szCs w:val="24"/>
              </w:rPr>
              <w:t xml:space="preserve">Odpady magazynowane czasowo </w:t>
            </w:r>
          </w:p>
        </w:tc>
        <w:tc>
          <w:tcPr>
            <w:tcW w:w="898" w:type="dxa"/>
          </w:tcPr>
          <w:p w14:paraId="5A1EF3E9" w14:textId="77777777" w:rsidR="00B83214" w:rsidRPr="00D55E0E"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D55E0E">
              <w:rPr>
                <w:color w:val="000000"/>
                <w:szCs w:val="24"/>
              </w:rPr>
              <w:t>[tys. t]</w:t>
            </w:r>
          </w:p>
        </w:tc>
        <w:tc>
          <w:tcPr>
            <w:tcW w:w="1512" w:type="dxa"/>
            <w:vAlign w:val="center"/>
            <w:hideMark/>
          </w:tcPr>
          <w:p w14:paraId="70800796"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245,9</w:t>
            </w:r>
          </w:p>
        </w:tc>
        <w:tc>
          <w:tcPr>
            <w:tcW w:w="1512" w:type="dxa"/>
            <w:vAlign w:val="center"/>
            <w:hideMark/>
          </w:tcPr>
          <w:p w14:paraId="7AAFEC71"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85,8</w:t>
            </w:r>
          </w:p>
        </w:tc>
        <w:tc>
          <w:tcPr>
            <w:tcW w:w="1512" w:type="dxa"/>
            <w:vAlign w:val="center"/>
            <w:hideMark/>
          </w:tcPr>
          <w:p w14:paraId="4A0E9AEB"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29,3</w:t>
            </w:r>
          </w:p>
        </w:tc>
      </w:tr>
      <w:tr w:rsidR="00B83214" w:rsidRPr="00D55E0E" w14:paraId="108517F0" w14:textId="77777777" w:rsidTr="00B83214">
        <w:trPr>
          <w:trHeight w:val="811"/>
        </w:trPr>
        <w:tc>
          <w:tcPr>
            <w:cnfStyle w:val="001000000000" w:firstRow="0" w:lastRow="0" w:firstColumn="1" w:lastColumn="0" w:oddVBand="0" w:evenVBand="0" w:oddHBand="0" w:evenHBand="0" w:firstRowFirstColumn="0" w:firstRowLastColumn="0" w:lastRowFirstColumn="0" w:lastRowLastColumn="0"/>
            <w:tcW w:w="3746" w:type="dxa"/>
            <w:hideMark/>
          </w:tcPr>
          <w:p w14:paraId="7253B39D" w14:textId="77777777" w:rsidR="00B83214" w:rsidRPr="00D55E0E" w:rsidRDefault="00B83214" w:rsidP="00B83214">
            <w:pPr>
              <w:spacing w:before="0" w:line="240" w:lineRule="auto"/>
              <w:rPr>
                <w:b w:val="0"/>
                <w:color w:val="000000"/>
                <w:szCs w:val="24"/>
              </w:rPr>
            </w:pPr>
            <w:r w:rsidRPr="00D55E0E">
              <w:rPr>
                <w:b w:val="0"/>
                <w:color w:val="000000"/>
                <w:szCs w:val="24"/>
              </w:rPr>
              <w:t xml:space="preserve">Odpady dotychczas składowane (nagromadzone) na składowiskach (hałdach, stawach osadowych) własnych </w:t>
            </w:r>
          </w:p>
        </w:tc>
        <w:tc>
          <w:tcPr>
            <w:tcW w:w="898" w:type="dxa"/>
          </w:tcPr>
          <w:p w14:paraId="101E798F" w14:textId="77777777" w:rsidR="00B83214" w:rsidRPr="00D55E0E"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D55E0E">
              <w:rPr>
                <w:color w:val="000000"/>
                <w:szCs w:val="24"/>
              </w:rPr>
              <w:t>[tys. t]</w:t>
            </w:r>
          </w:p>
        </w:tc>
        <w:tc>
          <w:tcPr>
            <w:tcW w:w="1512" w:type="dxa"/>
            <w:vAlign w:val="center"/>
            <w:hideMark/>
          </w:tcPr>
          <w:p w14:paraId="7C2A2F99"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113 378,6</w:t>
            </w:r>
          </w:p>
        </w:tc>
        <w:tc>
          <w:tcPr>
            <w:tcW w:w="1512" w:type="dxa"/>
            <w:vAlign w:val="center"/>
            <w:hideMark/>
          </w:tcPr>
          <w:p w14:paraId="7970F9D0"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123 452,8</w:t>
            </w:r>
          </w:p>
        </w:tc>
        <w:tc>
          <w:tcPr>
            <w:tcW w:w="1512" w:type="dxa"/>
            <w:vAlign w:val="center"/>
            <w:hideMark/>
          </w:tcPr>
          <w:p w14:paraId="7E2C9CB7"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133 681,0</w:t>
            </w:r>
          </w:p>
        </w:tc>
      </w:tr>
      <w:tr w:rsidR="00B83214" w:rsidRPr="00D55E0E" w14:paraId="2D6262B3" w14:textId="77777777" w:rsidTr="00B83214">
        <w:trPr>
          <w:trHeight w:val="608"/>
        </w:trPr>
        <w:tc>
          <w:tcPr>
            <w:cnfStyle w:val="001000000000" w:firstRow="0" w:lastRow="0" w:firstColumn="1" w:lastColumn="0" w:oddVBand="0" w:evenVBand="0" w:oddHBand="0" w:evenHBand="0" w:firstRowFirstColumn="0" w:firstRowLastColumn="0" w:lastRowFirstColumn="0" w:lastRowLastColumn="0"/>
            <w:tcW w:w="3746" w:type="dxa"/>
            <w:hideMark/>
          </w:tcPr>
          <w:p w14:paraId="5CF4049D" w14:textId="77777777" w:rsidR="00B83214" w:rsidRPr="00D55E0E" w:rsidRDefault="00B83214" w:rsidP="00B83214">
            <w:pPr>
              <w:spacing w:before="0" w:line="240" w:lineRule="auto"/>
              <w:rPr>
                <w:b w:val="0"/>
                <w:color w:val="000000"/>
                <w:szCs w:val="24"/>
              </w:rPr>
            </w:pPr>
            <w:r w:rsidRPr="00D55E0E">
              <w:rPr>
                <w:b w:val="0"/>
                <w:color w:val="000000"/>
                <w:szCs w:val="24"/>
              </w:rPr>
              <w:t xml:space="preserve">Powierzchnia terenów składowania odpadów (z wyłączeniem odpadów komunalnych) - niezrekultywowana </w:t>
            </w:r>
          </w:p>
        </w:tc>
        <w:tc>
          <w:tcPr>
            <w:tcW w:w="898" w:type="dxa"/>
          </w:tcPr>
          <w:p w14:paraId="1861DE3E" w14:textId="77777777" w:rsidR="00B83214" w:rsidRPr="00D55E0E"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D55E0E">
              <w:rPr>
                <w:color w:val="000000"/>
                <w:szCs w:val="24"/>
              </w:rPr>
              <w:t>[ha]</w:t>
            </w:r>
          </w:p>
        </w:tc>
        <w:tc>
          <w:tcPr>
            <w:tcW w:w="1512" w:type="dxa"/>
            <w:vAlign w:val="center"/>
            <w:hideMark/>
          </w:tcPr>
          <w:p w14:paraId="7D97B6E1"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425,1</w:t>
            </w:r>
          </w:p>
        </w:tc>
        <w:tc>
          <w:tcPr>
            <w:tcW w:w="1512" w:type="dxa"/>
            <w:vAlign w:val="center"/>
            <w:hideMark/>
          </w:tcPr>
          <w:p w14:paraId="404FC515"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566,3</w:t>
            </w:r>
          </w:p>
        </w:tc>
        <w:tc>
          <w:tcPr>
            <w:tcW w:w="1512" w:type="dxa"/>
            <w:vAlign w:val="center"/>
            <w:hideMark/>
          </w:tcPr>
          <w:p w14:paraId="4F488D52"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561,5</w:t>
            </w:r>
          </w:p>
        </w:tc>
      </w:tr>
      <w:tr w:rsidR="00B83214" w:rsidRPr="00D55E0E" w14:paraId="62E6BBF1" w14:textId="77777777" w:rsidTr="00B83214">
        <w:trPr>
          <w:trHeight w:val="608"/>
        </w:trPr>
        <w:tc>
          <w:tcPr>
            <w:cnfStyle w:val="001000000000" w:firstRow="0" w:lastRow="0" w:firstColumn="1" w:lastColumn="0" w:oddVBand="0" w:evenVBand="0" w:oddHBand="0" w:evenHBand="0" w:firstRowFirstColumn="0" w:firstRowLastColumn="0" w:lastRowFirstColumn="0" w:lastRowLastColumn="0"/>
            <w:tcW w:w="3746" w:type="dxa"/>
            <w:hideMark/>
          </w:tcPr>
          <w:p w14:paraId="327133B0" w14:textId="77777777" w:rsidR="00B83214" w:rsidRPr="00D55E0E" w:rsidRDefault="00B83214" w:rsidP="00B83214">
            <w:pPr>
              <w:spacing w:before="0" w:line="240" w:lineRule="auto"/>
              <w:rPr>
                <w:b w:val="0"/>
                <w:color w:val="000000"/>
                <w:szCs w:val="24"/>
              </w:rPr>
            </w:pPr>
            <w:r w:rsidRPr="00D55E0E">
              <w:rPr>
                <w:b w:val="0"/>
                <w:color w:val="000000"/>
                <w:szCs w:val="24"/>
              </w:rPr>
              <w:t xml:space="preserve">Powierzchnia terenów składowania odpadów zrekultywowana </w:t>
            </w:r>
          </w:p>
        </w:tc>
        <w:tc>
          <w:tcPr>
            <w:tcW w:w="898" w:type="dxa"/>
          </w:tcPr>
          <w:p w14:paraId="3BD8A56E" w14:textId="77777777" w:rsidR="00B83214" w:rsidRPr="00D55E0E" w:rsidRDefault="00B83214" w:rsidP="00B8321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D55E0E">
              <w:rPr>
                <w:color w:val="000000"/>
                <w:szCs w:val="24"/>
              </w:rPr>
              <w:t>[ha]</w:t>
            </w:r>
          </w:p>
        </w:tc>
        <w:tc>
          <w:tcPr>
            <w:tcW w:w="1512" w:type="dxa"/>
            <w:vAlign w:val="center"/>
            <w:hideMark/>
          </w:tcPr>
          <w:p w14:paraId="014F332C"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D55E0E">
              <w:rPr>
                <w:rFonts w:eastAsia="Times New Roman" w:cs="Arial"/>
                <w:color w:val="000000"/>
                <w:szCs w:val="24"/>
              </w:rPr>
              <w:t>0,8</w:t>
            </w:r>
          </w:p>
        </w:tc>
        <w:tc>
          <w:tcPr>
            <w:tcW w:w="1512" w:type="dxa"/>
            <w:vAlign w:val="center"/>
            <w:hideMark/>
          </w:tcPr>
          <w:p w14:paraId="566ADA07"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p>
        </w:tc>
        <w:tc>
          <w:tcPr>
            <w:tcW w:w="1512" w:type="dxa"/>
            <w:vAlign w:val="center"/>
            <w:hideMark/>
          </w:tcPr>
          <w:p w14:paraId="5C3B1D7A" w14:textId="77777777" w:rsidR="00B83214" w:rsidRPr="00D55E0E" w:rsidRDefault="00B83214" w:rsidP="00B83214">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p>
        </w:tc>
      </w:tr>
    </w:tbl>
    <w:p w14:paraId="48C4F899" w14:textId="77777777" w:rsidR="00B83214" w:rsidRPr="00D55E0E" w:rsidRDefault="00B83214" w:rsidP="00B83214">
      <w:pPr>
        <w:spacing w:line="276" w:lineRule="auto"/>
        <w:jc w:val="both"/>
        <w:rPr>
          <w:szCs w:val="24"/>
        </w:rPr>
      </w:pPr>
      <w:r w:rsidRPr="00D55E0E">
        <w:rPr>
          <w:szCs w:val="24"/>
        </w:rPr>
        <w:t>*brak danych w GUS za 2020</w:t>
      </w:r>
    </w:p>
    <w:p w14:paraId="4781DC93" w14:textId="77777777" w:rsidR="00B83214" w:rsidRPr="00511D0D" w:rsidRDefault="00B83214" w:rsidP="00B83214">
      <w:pPr>
        <w:pStyle w:val="rdo"/>
      </w:pPr>
      <w:r w:rsidRPr="00511D0D">
        <w:t>Źródło: Dziedzinowa Baza Wiedzy Stan i Ochrona Środowiska, Główny Urząd Statystyczny.</w:t>
      </w:r>
    </w:p>
    <w:p w14:paraId="5BF7C8D2" w14:textId="77777777" w:rsidR="00B83214" w:rsidRPr="00511D0D" w:rsidRDefault="00B83214" w:rsidP="00B83214">
      <w:r w:rsidRPr="00511D0D">
        <w:t>Zgodnie z</w:t>
      </w:r>
      <w:r>
        <w:t xml:space="preserve"> </w:t>
      </w:r>
      <w:r w:rsidRPr="00511D0D">
        <w:t>internetową bazą danych o</w:t>
      </w:r>
      <w:r>
        <w:t xml:space="preserve"> </w:t>
      </w:r>
      <w:r w:rsidRPr="00511D0D">
        <w:t>odpadach</w:t>
      </w:r>
      <w:r w:rsidRPr="00511D0D">
        <w:rPr>
          <w:vertAlign w:val="superscript"/>
        </w:rPr>
        <w:footnoteReference w:id="146"/>
      </w:r>
      <w:r w:rsidRPr="00511D0D">
        <w:t>, na terenie województwa zachodniopomorskiego znajduje się 21 instalacji do przetwarzania odpadów, w tym m.in. 11 to instalacje komunalne MBA, spalarnia, biogazownia, instalacja do odzysku, produkcja paliw alternatywnych RDF oraz składowiska.</w:t>
      </w:r>
    </w:p>
    <w:p w14:paraId="4BDFFCD3" w14:textId="77777777" w:rsidR="00B83214" w:rsidRPr="00B83214" w:rsidRDefault="00B83214" w:rsidP="00B83214">
      <w:pPr>
        <w:pStyle w:val="Nagwek1"/>
        <w:numPr>
          <w:ilvl w:val="0"/>
          <w:numId w:val="61"/>
        </w:numPr>
        <w:rPr>
          <w:sz w:val="24"/>
          <w:szCs w:val="20"/>
        </w:rPr>
      </w:pPr>
      <w:bookmarkStart w:id="283" w:name="_Toc104790663"/>
      <w:r w:rsidRPr="00B83214">
        <w:rPr>
          <w:sz w:val="24"/>
          <w:szCs w:val="20"/>
        </w:rPr>
        <w:t>ZABYTKI I DOBRA MATERIALNE</w:t>
      </w:r>
      <w:bookmarkEnd w:id="283"/>
    </w:p>
    <w:p w14:paraId="6AF31101" w14:textId="6393EB43" w:rsidR="00B83214" w:rsidRPr="001062B0" w:rsidRDefault="00B83214" w:rsidP="00B83214">
      <w:pPr>
        <w:rPr>
          <w:rFonts w:ascii="Calibri" w:hAnsi="Calibri" w:cs="Calibri"/>
          <w:szCs w:val="24"/>
        </w:rPr>
      </w:pPr>
      <w:r w:rsidRPr="001062B0">
        <w:rPr>
          <w:rFonts w:ascii="Calibri" w:hAnsi="Calibri" w:cs="Calibri"/>
          <w:szCs w:val="24"/>
        </w:rPr>
        <w:t xml:space="preserve">Zgodnie z definicją Narodowego Instytutu Dziedzictwa dziedzictwo kulturowe to dorobek materialny i duchowy poprzednich pokoleń, a także dorobek naszych czasów. </w:t>
      </w:r>
    </w:p>
    <w:p w14:paraId="09E031DA" w14:textId="77777777" w:rsidR="00B83214" w:rsidRPr="001062B0" w:rsidRDefault="00B83214" w:rsidP="00B83214">
      <w:pPr>
        <w:spacing w:before="0" w:after="0"/>
        <w:rPr>
          <w:rFonts w:ascii="Calibri" w:hAnsi="Calibri" w:cs="Calibri"/>
          <w:szCs w:val="24"/>
        </w:rPr>
      </w:pPr>
      <w:r w:rsidRPr="001062B0">
        <w:rPr>
          <w:rFonts w:ascii="Calibri" w:hAnsi="Calibri" w:cs="Calibri"/>
          <w:szCs w:val="24"/>
        </w:rPr>
        <w:t>Uznanie obiektu dziedzictwa kulturowego za Pomnik Historii oznacza nadanie danemu zabytkowi lub parkowi kulturowemu szczególnej rangi ze względu na jego wartość dla kultury narodowej. Miano Pomnika Historii nadaje Prezydent RP. W województwie zachodniopomorskim znajdują się 3 Pomniki Historii</w:t>
      </w:r>
      <w:r w:rsidRPr="001062B0">
        <w:rPr>
          <w:rFonts w:ascii="Calibri" w:hAnsi="Calibri" w:cs="Calibri"/>
          <w:szCs w:val="24"/>
          <w:vertAlign w:val="superscript"/>
        </w:rPr>
        <w:footnoteReference w:id="147"/>
      </w:r>
      <w:r w:rsidRPr="001062B0">
        <w:rPr>
          <w:rFonts w:ascii="Calibri" w:hAnsi="Calibri" w:cs="Calibri"/>
          <w:szCs w:val="24"/>
        </w:rPr>
        <w:t xml:space="preserve">. W województwie jako Pomniki Historii ustanowione zostały: </w:t>
      </w:r>
    </w:p>
    <w:p w14:paraId="78E52D9E" w14:textId="77777777" w:rsidR="00B83214" w:rsidRPr="001062B0" w:rsidRDefault="00B83214" w:rsidP="00B83214">
      <w:pPr>
        <w:numPr>
          <w:ilvl w:val="0"/>
          <w:numId w:val="9"/>
        </w:numPr>
        <w:contextualSpacing/>
        <w:rPr>
          <w:rFonts w:ascii="Calibri" w:hAnsi="Calibri" w:cs="Calibri"/>
          <w:szCs w:val="24"/>
        </w:rPr>
      </w:pPr>
      <w:r w:rsidRPr="001062B0">
        <w:rPr>
          <w:rFonts w:ascii="Calibri" w:hAnsi="Calibri" w:cs="Calibri"/>
          <w:szCs w:val="24"/>
        </w:rPr>
        <w:t xml:space="preserve">zespół katedralny w Kamieniu Pomorskim, </w:t>
      </w:r>
    </w:p>
    <w:p w14:paraId="0B13F3CC" w14:textId="77777777" w:rsidR="00B83214" w:rsidRPr="001062B0" w:rsidRDefault="00B83214" w:rsidP="00B83214">
      <w:pPr>
        <w:numPr>
          <w:ilvl w:val="0"/>
          <w:numId w:val="9"/>
        </w:numPr>
        <w:contextualSpacing/>
        <w:rPr>
          <w:rFonts w:ascii="Calibri" w:hAnsi="Calibri" w:cs="Calibri"/>
          <w:szCs w:val="24"/>
        </w:rPr>
      </w:pPr>
      <w:r w:rsidRPr="001062B0">
        <w:rPr>
          <w:rFonts w:ascii="Calibri" w:hAnsi="Calibri" w:cs="Calibri"/>
          <w:szCs w:val="24"/>
        </w:rPr>
        <w:t>zespół dawnego opactwa Cystersów w Kołbaczu,</w:t>
      </w:r>
    </w:p>
    <w:p w14:paraId="177C9415" w14:textId="77777777" w:rsidR="00B83214" w:rsidRPr="00D55E0E" w:rsidRDefault="00B83214" w:rsidP="00B83214">
      <w:pPr>
        <w:numPr>
          <w:ilvl w:val="0"/>
          <w:numId w:val="9"/>
        </w:numPr>
        <w:contextualSpacing/>
        <w:rPr>
          <w:rFonts w:ascii="Calibri" w:hAnsi="Calibri" w:cs="Calibri"/>
          <w:szCs w:val="24"/>
        </w:rPr>
      </w:pPr>
      <w:r w:rsidRPr="001062B0">
        <w:rPr>
          <w:rFonts w:ascii="Calibri" w:hAnsi="Calibri" w:cs="Calibri"/>
          <w:szCs w:val="24"/>
        </w:rPr>
        <w:t>zespół kościoła pod wezwaniem Najświętszej Maryi Panny Królowej Świata oraz średniowieczne mury obronne miasta w Stargardzie Szczecińskim.</w:t>
      </w:r>
    </w:p>
    <w:p w14:paraId="21499B3C" w14:textId="77777777" w:rsidR="00B83214" w:rsidRPr="001062B0" w:rsidRDefault="00B83214" w:rsidP="00B83214">
      <w:pPr>
        <w:contextualSpacing/>
        <w:rPr>
          <w:rFonts w:ascii="Calibri" w:hAnsi="Calibri" w:cs="Calibri"/>
          <w:szCs w:val="24"/>
        </w:rPr>
      </w:pPr>
      <w:r w:rsidRPr="001062B0">
        <w:rPr>
          <w:rFonts w:ascii="Calibri" w:hAnsi="Calibri" w:cs="Calibri"/>
          <w:szCs w:val="24"/>
        </w:rPr>
        <w:t>Zachodniopomorski Wojewódzki Konserwator Zabytków prowadzi Wojewódzką ewidencję zabytków dla obszaru województwa zachodniopomorskiego. W WEZ znajdują się wszystkie zabytki posiadające jakąkolwiek dokumentację konserwatorską, w archiwum WUOZ. Obejmuje ona kilkadziesiąt tysięcy obiektów zabytkowych (ok. 12 600 obiektów nieruchomych i ok. 17 600 obiektów (stanowisk) archeologicznych). Zabytki wpisywane są do rejestru zabytków z podziałem na poszczególne rodzaje: A – zabytek nieruchomy, B – zabytek ruchomy, C – zabytek archeologiczny</w:t>
      </w:r>
      <w:r w:rsidRPr="001062B0">
        <w:rPr>
          <w:rFonts w:ascii="Calibri" w:hAnsi="Calibri" w:cs="Calibri"/>
          <w:szCs w:val="24"/>
          <w:vertAlign w:val="superscript"/>
        </w:rPr>
        <w:footnoteReference w:id="148"/>
      </w:r>
      <w:r w:rsidRPr="001062B0">
        <w:rPr>
          <w:rFonts w:ascii="Calibri" w:hAnsi="Calibri" w:cs="Calibri"/>
          <w:szCs w:val="24"/>
        </w:rPr>
        <w:t>.</w:t>
      </w:r>
    </w:p>
    <w:p w14:paraId="1FD509B7" w14:textId="4AAFC33D" w:rsidR="00B83214" w:rsidRPr="001062B0" w:rsidRDefault="00B83214" w:rsidP="00B83214">
      <w:pPr>
        <w:contextualSpacing/>
        <w:rPr>
          <w:rFonts w:ascii="Calibri" w:hAnsi="Calibri" w:cs="Calibri"/>
          <w:szCs w:val="24"/>
          <w:highlight w:val="yellow"/>
        </w:rPr>
      </w:pPr>
      <w:r w:rsidRPr="001062B0">
        <w:rPr>
          <w:rFonts w:ascii="Calibri" w:hAnsi="Calibri" w:cs="Calibri"/>
          <w:szCs w:val="24"/>
        </w:rPr>
        <w:t>W rejestrze zabytków województwa zachodniopomorskiego według stanu na dzień 11.01.2022 r. znajdują się 4 404 obiekty nieruchome. Największy odsetek stanowią obiekty sakralne (903 obiekty) oraz obiekty pełniące funkcję zieleni (791 obiektów). Najmniej natomiast jest obiektów należących do małej architektury (17 obiektów) oraz zabytków o funkcji komunikacyjnej (43 obiekty) (</w:t>
      </w:r>
      <w:r w:rsidRPr="001062B0">
        <w:rPr>
          <w:sz w:val="22"/>
        </w:rPr>
        <w:fldChar w:fldCharType="begin"/>
      </w:r>
      <w:r w:rsidRPr="001062B0">
        <w:rPr>
          <w:sz w:val="22"/>
        </w:rPr>
        <w:instrText xml:space="preserve"> REF _Ref96676698 \h  \* MERGEFORMAT </w:instrText>
      </w:r>
      <w:r w:rsidRPr="001062B0">
        <w:rPr>
          <w:sz w:val="22"/>
        </w:rPr>
      </w:r>
      <w:r w:rsidRPr="001062B0">
        <w:rPr>
          <w:sz w:val="22"/>
        </w:rPr>
        <w:fldChar w:fldCharType="separate"/>
      </w:r>
      <w:r w:rsidR="002B5007" w:rsidRPr="002B5007">
        <w:rPr>
          <w:rFonts w:ascii="Calibri" w:hAnsi="Calibri" w:cs="Calibri"/>
          <w:szCs w:val="24"/>
        </w:rPr>
        <w:t>Tabela 29</w:t>
      </w:r>
      <w:r w:rsidRPr="001062B0">
        <w:rPr>
          <w:sz w:val="22"/>
        </w:rPr>
        <w:fldChar w:fldCharType="end"/>
      </w:r>
      <w:r w:rsidRPr="001062B0">
        <w:rPr>
          <w:rFonts w:ascii="Calibri" w:hAnsi="Calibri" w:cs="Calibri"/>
          <w:szCs w:val="24"/>
        </w:rPr>
        <w:t>)</w:t>
      </w:r>
      <w:r w:rsidRPr="001062B0">
        <w:rPr>
          <w:rFonts w:ascii="Calibri" w:hAnsi="Calibri" w:cs="Calibri"/>
          <w:szCs w:val="24"/>
          <w:vertAlign w:val="superscript"/>
        </w:rPr>
        <w:footnoteReference w:id="149"/>
      </w:r>
      <w:r w:rsidRPr="001062B0">
        <w:rPr>
          <w:rFonts w:ascii="Calibri" w:hAnsi="Calibri" w:cs="Calibri"/>
          <w:szCs w:val="24"/>
        </w:rPr>
        <w:t>.</w:t>
      </w:r>
    </w:p>
    <w:p w14:paraId="4AE27ECE" w14:textId="77777777" w:rsidR="00B83214" w:rsidRPr="001062B0" w:rsidRDefault="00B83214" w:rsidP="00B83214">
      <w:pPr>
        <w:pStyle w:val="Podpispodrysunkiem"/>
      </w:pPr>
      <w:bookmarkStart w:id="284" w:name="_Ref96676698"/>
      <w:bookmarkStart w:id="285" w:name="_Toc68068866"/>
      <w:bookmarkStart w:id="286" w:name="_Toc97537958"/>
      <w:bookmarkStart w:id="287" w:name="_Toc98580898"/>
      <w:bookmarkStart w:id="288" w:name="_Toc104790099"/>
      <w:r w:rsidRPr="001062B0">
        <w:t xml:space="preserve">Tabela </w:t>
      </w:r>
      <w:r w:rsidRPr="001062B0">
        <w:rPr>
          <w:noProof/>
        </w:rPr>
        <w:fldChar w:fldCharType="begin"/>
      </w:r>
      <w:r w:rsidRPr="001062B0">
        <w:rPr>
          <w:noProof/>
        </w:rPr>
        <w:instrText xml:space="preserve"> SEQ Tabela \* ARABIC </w:instrText>
      </w:r>
      <w:r w:rsidRPr="001062B0">
        <w:rPr>
          <w:noProof/>
        </w:rPr>
        <w:fldChar w:fldCharType="separate"/>
      </w:r>
      <w:r w:rsidR="002B5007">
        <w:rPr>
          <w:noProof/>
        </w:rPr>
        <w:t>29</w:t>
      </w:r>
      <w:r w:rsidRPr="001062B0">
        <w:rPr>
          <w:noProof/>
        </w:rPr>
        <w:fldChar w:fldCharType="end"/>
      </w:r>
      <w:bookmarkEnd w:id="284"/>
      <w:r w:rsidRPr="001062B0">
        <w:t xml:space="preserve"> </w:t>
      </w:r>
      <w:bookmarkStart w:id="289" w:name="_Hlk102647982"/>
      <w:r w:rsidRPr="001062B0">
        <w:t xml:space="preserve">Zabytki nieruchome w województwie </w:t>
      </w:r>
      <w:bookmarkEnd w:id="285"/>
      <w:bookmarkEnd w:id="286"/>
      <w:bookmarkEnd w:id="287"/>
      <w:r w:rsidRPr="001062B0">
        <w:t>zachodniopomorskim</w:t>
      </w:r>
      <w:bookmarkEnd w:id="288"/>
    </w:p>
    <w:tbl>
      <w:tblPr>
        <w:tblStyle w:val="Tabelasiatki1jasnaakcent11"/>
        <w:tblW w:w="4942" w:type="pct"/>
        <w:jc w:val="center"/>
        <w:tblLook w:val="04A0" w:firstRow="1" w:lastRow="0" w:firstColumn="1" w:lastColumn="0" w:noHBand="0" w:noVBand="1"/>
      </w:tblPr>
      <w:tblGrid>
        <w:gridCol w:w="2358"/>
        <w:gridCol w:w="3522"/>
        <w:gridCol w:w="3301"/>
      </w:tblGrid>
      <w:tr w:rsidR="00B83214" w:rsidRPr="001062B0" w14:paraId="4F3FB257" w14:textId="77777777" w:rsidTr="00B83214">
        <w:trPr>
          <w:cnfStyle w:val="100000000000" w:firstRow="1" w:lastRow="0" w:firstColumn="0" w:lastColumn="0" w:oddVBand="0" w:evenVBand="0" w:oddHBand="0" w:evenHBand="0" w:firstRowFirstColumn="0" w:firstRowLastColumn="0" w:lastRowFirstColumn="0" w:lastRowLastColumn="0"/>
          <w:trHeight w:val="290"/>
          <w:tblHeader/>
          <w:jc w:val="center"/>
        </w:trPr>
        <w:tc>
          <w:tcPr>
            <w:cnfStyle w:val="001000000000" w:firstRow="0" w:lastRow="0" w:firstColumn="1" w:lastColumn="0" w:oddVBand="0" w:evenVBand="0" w:oddHBand="0" w:evenHBand="0" w:firstRowFirstColumn="0" w:firstRowLastColumn="0" w:lastRowFirstColumn="0" w:lastRowLastColumn="0"/>
            <w:tcW w:w="3202" w:type="pct"/>
            <w:gridSpan w:val="2"/>
            <w:noWrap/>
            <w:vAlign w:val="center"/>
            <w:hideMark/>
          </w:tcPr>
          <w:bookmarkEnd w:id="289"/>
          <w:p w14:paraId="6E27900E" w14:textId="77777777" w:rsidR="00B83214" w:rsidRPr="001062B0" w:rsidRDefault="00B83214" w:rsidP="00B83214">
            <w:pPr>
              <w:spacing w:before="0"/>
              <w:jc w:val="center"/>
              <w:rPr>
                <w:rFonts w:ascii="Calibri" w:hAnsi="Calibri" w:cs="Calibri"/>
                <w:szCs w:val="24"/>
              </w:rPr>
            </w:pPr>
            <w:r w:rsidRPr="001062B0">
              <w:rPr>
                <w:rFonts w:ascii="Calibri" w:hAnsi="Calibri" w:cs="Calibri"/>
                <w:szCs w:val="24"/>
              </w:rPr>
              <w:t>Zabytki nieruchome</w:t>
            </w:r>
          </w:p>
        </w:tc>
        <w:tc>
          <w:tcPr>
            <w:tcW w:w="1798" w:type="pct"/>
            <w:noWrap/>
            <w:vAlign w:val="center"/>
            <w:hideMark/>
          </w:tcPr>
          <w:p w14:paraId="7ECE6683" w14:textId="77777777" w:rsidR="00B83214" w:rsidRPr="001062B0" w:rsidRDefault="00B83214" w:rsidP="00B83214">
            <w:pPr>
              <w:spacing w:before="0"/>
              <w:jc w:val="center"/>
              <w:cnfStyle w:val="100000000000" w:firstRow="1"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Liczba</w:t>
            </w:r>
          </w:p>
        </w:tc>
      </w:tr>
      <w:tr w:rsidR="00B83214" w:rsidRPr="001062B0" w14:paraId="3E966B2D"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val="restart"/>
            <w:vAlign w:val="center"/>
            <w:hideMark/>
          </w:tcPr>
          <w:p w14:paraId="59A98C18" w14:textId="77777777" w:rsidR="00B83214" w:rsidRPr="001062B0" w:rsidRDefault="00B83214" w:rsidP="00B83214">
            <w:pPr>
              <w:spacing w:before="0"/>
              <w:jc w:val="center"/>
              <w:rPr>
                <w:rFonts w:ascii="Calibri" w:hAnsi="Calibri" w:cs="Calibri"/>
                <w:szCs w:val="24"/>
              </w:rPr>
            </w:pPr>
            <w:r w:rsidRPr="001062B0">
              <w:rPr>
                <w:rFonts w:ascii="Calibri" w:hAnsi="Calibri" w:cs="Calibri"/>
                <w:szCs w:val="24"/>
              </w:rPr>
              <w:t>Pełniona funkcja</w:t>
            </w:r>
          </w:p>
        </w:tc>
        <w:tc>
          <w:tcPr>
            <w:tcW w:w="1918" w:type="pct"/>
            <w:noWrap/>
            <w:vAlign w:val="center"/>
            <w:hideMark/>
          </w:tcPr>
          <w:p w14:paraId="5870626A"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urbanistyczne</w:t>
            </w:r>
          </w:p>
        </w:tc>
        <w:tc>
          <w:tcPr>
            <w:tcW w:w="1798" w:type="pct"/>
            <w:noWrap/>
            <w:vAlign w:val="center"/>
          </w:tcPr>
          <w:p w14:paraId="6A7C5359"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53</w:t>
            </w:r>
          </w:p>
        </w:tc>
      </w:tr>
      <w:tr w:rsidR="00B83214" w:rsidRPr="001062B0" w14:paraId="3B64CD24"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hideMark/>
          </w:tcPr>
          <w:p w14:paraId="2B9A8221" w14:textId="77777777" w:rsidR="00B83214" w:rsidRPr="001062B0" w:rsidRDefault="00B83214" w:rsidP="00B83214">
            <w:pPr>
              <w:spacing w:before="0"/>
              <w:jc w:val="center"/>
              <w:rPr>
                <w:rFonts w:ascii="Calibri" w:hAnsi="Calibri" w:cs="Calibri"/>
                <w:szCs w:val="24"/>
              </w:rPr>
            </w:pPr>
          </w:p>
        </w:tc>
        <w:tc>
          <w:tcPr>
            <w:tcW w:w="1918" w:type="pct"/>
            <w:noWrap/>
            <w:vAlign w:val="center"/>
            <w:hideMark/>
          </w:tcPr>
          <w:p w14:paraId="617EEB3A"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sakralne</w:t>
            </w:r>
          </w:p>
        </w:tc>
        <w:tc>
          <w:tcPr>
            <w:tcW w:w="1798" w:type="pct"/>
            <w:noWrap/>
            <w:vAlign w:val="center"/>
          </w:tcPr>
          <w:p w14:paraId="5D12F599"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903</w:t>
            </w:r>
          </w:p>
        </w:tc>
      </w:tr>
      <w:tr w:rsidR="00B83214" w:rsidRPr="001062B0" w14:paraId="2F54631E"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hideMark/>
          </w:tcPr>
          <w:p w14:paraId="251EC0C3" w14:textId="77777777" w:rsidR="00B83214" w:rsidRPr="001062B0" w:rsidRDefault="00B83214" w:rsidP="00B83214">
            <w:pPr>
              <w:spacing w:before="0"/>
              <w:jc w:val="center"/>
              <w:rPr>
                <w:rFonts w:ascii="Calibri" w:hAnsi="Calibri" w:cs="Calibri"/>
                <w:szCs w:val="24"/>
              </w:rPr>
            </w:pPr>
          </w:p>
        </w:tc>
        <w:tc>
          <w:tcPr>
            <w:tcW w:w="1918" w:type="pct"/>
            <w:noWrap/>
            <w:vAlign w:val="center"/>
            <w:hideMark/>
          </w:tcPr>
          <w:p w14:paraId="27D5B4C9"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obronne</w:t>
            </w:r>
          </w:p>
        </w:tc>
        <w:tc>
          <w:tcPr>
            <w:tcW w:w="1798" w:type="pct"/>
            <w:noWrap/>
            <w:vAlign w:val="center"/>
          </w:tcPr>
          <w:p w14:paraId="4C85427C"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111</w:t>
            </w:r>
          </w:p>
        </w:tc>
      </w:tr>
      <w:tr w:rsidR="00B83214" w:rsidRPr="001062B0" w14:paraId="11F07D9D"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hideMark/>
          </w:tcPr>
          <w:p w14:paraId="536B4818" w14:textId="77777777" w:rsidR="00B83214" w:rsidRPr="001062B0" w:rsidRDefault="00B83214" w:rsidP="00B83214">
            <w:pPr>
              <w:spacing w:before="0"/>
              <w:jc w:val="center"/>
              <w:rPr>
                <w:rFonts w:ascii="Calibri" w:hAnsi="Calibri" w:cs="Calibri"/>
                <w:szCs w:val="24"/>
              </w:rPr>
            </w:pPr>
          </w:p>
        </w:tc>
        <w:tc>
          <w:tcPr>
            <w:tcW w:w="1918" w:type="pct"/>
            <w:noWrap/>
            <w:vAlign w:val="center"/>
            <w:hideMark/>
          </w:tcPr>
          <w:p w14:paraId="55B9A486"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przemysłowe</w:t>
            </w:r>
          </w:p>
        </w:tc>
        <w:tc>
          <w:tcPr>
            <w:tcW w:w="1798" w:type="pct"/>
            <w:noWrap/>
            <w:vAlign w:val="center"/>
          </w:tcPr>
          <w:p w14:paraId="4DE9806C"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207</w:t>
            </w:r>
          </w:p>
        </w:tc>
      </w:tr>
      <w:tr w:rsidR="00B83214" w:rsidRPr="001062B0" w14:paraId="0A9A24C2"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hideMark/>
          </w:tcPr>
          <w:p w14:paraId="520FA35C" w14:textId="77777777" w:rsidR="00B83214" w:rsidRPr="001062B0" w:rsidRDefault="00B83214" w:rsidP="00B83214">
            <w:pPr>
              <w:spacing w:before="0"/>
              <w:jc w:val="center"/>
              <w:rPr>
                <w:rFonts w:ascii="Calibri" w:hAnsi="Calibri" w:cs="Calibri"/>
                <w:szCs w:val="24"/>
              </w:rPr>
            </w:pPr>
          </w:p>
        </w:tc>
        <w:tc>
          <w:tcPr>
            <w:tcW w:w="1918" w:type="pct"/>
            <w:noWrap/>
            <w:vAlign w:val="center"/>
            <w:hideMark/>
          </w:tcPr>
          <w:p w14:paraId="3CFAEA85"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gospodarcze</w:t>
            </w:r>
          </w:p>
        </w:tc>
        <w:tc>
          <w:tcPr>
            <w:tcW w:w="1798" w:type="pct"/>
            <w:noWrap/>
            <w:vAlign w:val="center"/>
          </w:tcPr>
          <w:p w14:paraId="0103D1F4"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223</w:t>
            </w:r>
          </w:p>
        </w:tc>
      </w:tr>
      <w:tr w:rsidR="00B83214" w:rsidRPr="001062B0" w14:paraId="2E489876"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hideMark/>
          </w:tcPr>
          <w:p w14:paraId="5680D2E9" w14:textId="77777777" w:rsidR="00B83214" w:rsidRPr="001062B0" w:rsidRDefault="00B83214" w:rsidP="00B83214">
            <w:pPr>
              <w:spacing w:before="0"/>
              <w:jc w:val="center"/>
              <w:rPr>
                <w:rFonts w:ascii="Calibri" w:hAnsi="Calibri" w:cs="Calibri"/>
                <w:szCs w:val="24"/>
              </w:rPr>
            </w:pPr>
          </w:p>
        </w:tc>
        <w:tc>
          <w:tcPr>
            <w:tcW w:w="1918" w:type="pct"/>
            <w:noWrap/>
            <w:vAlign w:val="center"/>
            <w:hideMark/>
          </w:tcPr>
          <w:p w14:paraId="27280EF9"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mieszkalne</w:t>
            </w:r>
          </w:p>
        </w:tc>
        <w:tc>
          <w:tcPr>
            <w:tcW w:w="1798" w:type="pct"/>
            <w:noWrap/>
            <w:vAlign w:val="center"/>
          </w:tcPr>
          <w:p w14:paraId="46D32BEA"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492</w:t>
            </w:r>
          </w:p>
        </w:tc>
      </w:tr>
      <w:tr w:rsidR="00B83214" w:rsidRPr="001062B0" w14:paraId="252734D0"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hideMark/>
          </w:tcPr>
          <w:p w14:paraId="320DA249" w14:textId="77777777" w:rsidR="00B83214" w:rsidRPr="001062B0" w:rsidRDefault="00B83214" w:rsidP="00B83214">
            <w:pPr>
              <w:spacing w:before="0"/>
              <w:jc w:val="center"/>
              <w:rPr>
                <w:rFonts w:ascii="Calibri" w:hAnsi="Calibri" w:cs="Calibri"/>
                <w:szCs w:val="24"/>
              </w:rPr>
            </w:pPr>
          </w:p>
        </w:tc>
        <w:tc>
          <w:tcPr>
            <w:tcW w:w="1918" w:type="pct"/>
            <w:noWrap/>
            <w:vAlign w:val="center"/>
            <w:hideMark/>
          </w:tcPr>
          <w:p w14:paraId="5017A5EE"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dwory i pałace</w:t>
            </w:r>
          </w:p>
        </w:tc>
        <w:tc>
          <w:tcPr>
            <w:tcW w:w="1798" w:type="pct"/>
            <w:noWrap/>
            <w:vAlign w:val="center"/>
          </w:tcPr>
          <w:p w14:paraId="36458C61"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395</w:t>
            </w:r>
          </w:p>
        </w:tc>
      </w:tr>
      <w:tr w:rsidR="00B83214" w:rsidRPr="001062B0" w14:paraId="002C988D"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hideMark/>
          </w:tcPr>
          <w:p w14:paraId="6C21E5A7" w14:textId="77777777" w:rsidR="00B83214" w:rsidRPr="001062B0" w:rsidRDefault="00B83214" w:rsidP="00B83214">
            <w:pPr>
              <w:spacing w:before="0"/>
              <w:jc w:val="center"/>
              <w:rPr>
                <w:rFonts w:ascii="Calibri" w:hAnsi="Calibri" w:cs="Calibri"/>
                <w:szCs w:val="24"/>
              </w:rPr>
            </w:pPr>
          </w:p>
        </w:tc>
        <w:tc>
          <w:tcPr>
            <w:tcW w:w="1918" w:type="pct"/>
            <w:noWrap/>
            <w:vAlign w:val="center"/>
            <w:hideMark/>
          </w:tcPr>
          <w:p w14:paraId="6B742C8E"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użyteczności publicznej</w:t>
            </w:r>
          </w:p>
        </w:tc>
        <w:tc>
          <w:tcPr>
            <w:tcW w:w="1798" w:type="pct"/>
            <w:noWrap/>
            <w:vAlign w:val="center"/>
          </w:tcPr>
          <w:p w14:paraId="62DE2B36"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314</w:t>
            </w:r>
          </w:p>
        </w:tc>
      </w:tr>
      <w:tr w:rsidR="00B83214" w:rsidRPr="001062B0" w14:paraId="41F8143D"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hideMark/>
          </w:tcPr>
          <w:p w14:paraId="49E51C35" w14:textId="77777777" w:rsidR="00B83214" w:rsidRPr="001062B0" w:rsidRDefault="00B83214" w:rsidP="00B83214">
            <w:pPr>
              <w:spacing w:before="0"/>
              <w:jc w:val="center"/>
              <w:rPr>
                <w:rFonts w:ascii="Calibri" w:hAnsi="Calibri" w:cs="Calibri"/>
                <w:szCs w:val="24"/>
              </w:rPr>
            </w:pPr>
          </w:p>
        </w:tc>
        <w:tc>
          <w:tcPr>
            <w:tcW w:w="1918" w:type="pct"/>
            <w:noWrap/>
            <w:vAlign w:val="center"/>
            <w:hideMark/>
          </w:tcPr>
          <w:p w14:paraId="757805ED"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komunikacyjne</w:t>
            </w:r>
          </w:p>
        </w:tc>
        <w:tc>
          <w:tcPr>
            <w:tcW w:w="1798" w:type="pct"/>
            <w:noWrap/>
            <w:vAlign w:val="center"/>
          </w:tcPr>
          <w:p w14:paraId="18885A2C"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43</w:t>
            </w:r>
          </w:p>
        </w:tc>
      </w:tr>
      <w:tr w:rsidR="00B83214" w:rsidRPr="001062B0" w14:paraId="1B847636"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hideMark/>
          </w:tcPr>
          <w:p w14:paraId="652D4239" w14:textId="77777777" w:rsidR="00B83214" w:rsidRPr="001062B0" w:rsidRDefault="00B83214" w:rsidP="00B83214">
            <w:pPr>
              <w:spacing w:before="0"/>
              <w:jc w:val="center"/>
              <w:rPr>
                <w:rFonts w:ascii="Calibri" w:hAnsi="Calibri" w:cs="Calibri"/>
                <w:szCs w:val="24"/>
              </w:rPr>
            </w:pPr>
          </w:p>
        </w:tc>
        <w:tc>
          <w:tcPr>
            <w:tcW w:w="1918" w:type="pct"/>
            <w:noWrap/>
            <w:vAlign w:val="center"/>
            <w:hideMark/>
          </w:tcPr>
          <w:p w14:paraId="14526B49"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cmentarze</w:t>
            </w:r>
          </w:p>
        </w:tc>
        <w:tc>
          <w:tcPr>
            <w:tcW w:w="1798" w:type="pct"/>
            <w:noWrap/>
            <w:vAlign w:val="center"/>
          </w:tcPr>
          <w:p w14:paraId="38EA9C8C"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375</w:t>
            </w:r>
          </w:p>
        </w:tc>
      </w:tr>
      <w:tr w:rsidR="00B83214" w:rsidRPr="001062B0" w14:paraId="7F339E2C"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hideMark/>
          </w:tcPr>
          <w:p w14:paraId="43B7B6CE" w14:textId="77777777" w:rsidR="00B83214" w:rsidRPr="001062B0" w:rsidRDefault="00B83214" w:rsidP="00B83214">
            <w:pPr>
              <w:spacing w:before="0"/>
              <w:jc w:val="center"/>
              <w:rPr>
                <w:rFonts w:ascii="Calibri" w:hAnsi="Calibri" w:cs="Calibri"/>
                <w:szCs w:val="24"/>
              </w:rPr>
            </w:pPr>
          </w:p>
        </w:tc>
        <w:tc>
          <w:tcPr>
            <w:tcW w:w="1918" w:type="pct"/>
            <w:noWrap/>
            <w:vAlign w:val="center"/>
            <w:hideMark/>
          </w:tcPr>
          <w:p w14:paraId="79ECD7B9"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zieleń</w:t>
            </w:r>
          </w:p>
        </w:tc>
        <w:tc>
          <w:tcPr>
            <w:tcW w:w="1798" w:type="pct"/>
            <w:noWrap/>
            <w:vAlign w:val="center"/>
          </w:tcPr>
          <w:p w14:paraId="0E1CBAB6"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791</w:t>
            </w:r>
          </w:p>
        </w:tc>
      </w:tr>
      <w:tr w:rsidR="00B83214" w:rsidRPr="001062B0" w14:paraId="2166F12D"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hideMark/>
          </w:tcPr>
          <w:p w14:paraId="7A47F7D1" w14:textId="77777777" w:rsidR="00B83214" w:rsidRPr="001062B0" w:rsidRDefault="00B83214" w:rsidP="00B83214">
            <w:pPr>
              <w:spacing w:before="0"/>
              <w:jc w:val="center"/>
              <w:rPr>
                <w:rFonts w:ascii="Calibri" w:hAnsi="Calibri" w:cs="Calibri"/>
                <w:szCs w:val="24"/>
              </w:rPr>
            </w:pPr>
          </w:p>
        </w:tc>
        <w:tc>
          <w:tcPr>
            <w:tcW w:w="1918" w:type="pct"/>
            <w:noWrap/>
            <w:vAlign w:val="center"/>
            <w:hideMark/>
          </w:tcPr>
          <w:p w14:paraId="35FAF41A"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mała architektura</w:t>
            </w:r>
          </w:p>
        </w:tc>
        <w:tc>
          <w:tcPr>
            <w:tcW w:w="1798" w:type="pct"/>
            <w:noWrap/>
            <w:vAlign w:val="center"/>
          </w:tcPr>
          <w:p w14:paraId="777367ED"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17</w:t>
            </w:r>
          </w:p>
        </w:tc>
      </w:tr>
      <w:tr w:rsidR="00B83214" w:rsidRPr="001062B0" w14:paraId="3D7AAFC9"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hideMark/>
          </w:tcPr>
          <w:p w14:paraId="053F0B6A" w14:textId="77777777" w:rsidR="00B83214" w:rsidRPr="001062B0" w:rsidRDefault="00B83214" w:rsidP="00B83214">
            <w:pPr>
              <w:spacing w:before="0"/>
              <w:jc w:val="center"/>
              <w:rPr>
                <w:rFonts w:ascii="Calibri" w:hAnsi="Calibri" w:cs="Calibri"/>
                <w:szCs w:val="24"/>
              </w:rPr>
            </w:pPr>
          </w:p>
        </w:tc>
        <w:tc>
          <w:tcPr>
            <w:tcW w:w="1918" w:type="pct"/>
            <w:noWrap/>
            <w:vAlign w:val="center"/>
            <w:hideMark/>
          </w:tcPr>
          <w:p w14:paraId="5EA5A099"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inne</w:t>
            </w:r>
          </w:p>
        </w:tc>
        <w:tc>
          <w:tcPr>
            <w:tcW w:w="1798" w:type="pct"/>
            <w:noWrap/>
            <w:vAlign w:val="center"/>
          </w:tcPr>
          <w:p w14:paraId="130EE52D"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480</w:t>
            </w:r>
          </w:p>
        </w:tc>
      </w:tr>
      <w:tr w:rsidR="00B83214" w:rsidRPr="001062B0" w14:paraId="2F87ACCC" w14:textId="77777777" w:rsidTr="00B83214">
        <w:trPr>
          <w:trHeight w:val="290"/>
          <w:jc w:val="center"/>
        </w:trPr>
        <w:tc>
          <w:tcPr>
            <w:cnfStyle w:val="001000000000" w:firstRow="0" w:lastRow="0" w:firstColumn="1" w:lastColumn="0" w:oddVBand="0" w:evenVBand="0" w:oddHBand="0" w:evenHBand="0" w:firstRowFirstColumn="0" w:firstRowLastColumn="0" w:lastRowFirstColumn="0" w:lastRowLastColumn="0"/>
            <w:tcW w:w="1284" w:type="pct"/>
            <w:vMerge/>
            <w:hideMark/>
          </w:tcPr>
          <w:p w14:paraId="26B693F4" w14:textId="77777777" w:rsidR="00B83214" w:rsidRPr="001062B0" w:rsidRDefault="00B83214" w:rsidP="00B83214">
            <w:pPr>
              <w:spacing w:before="0"/>
              <w:jc w:val="center"/>
              <w:rPr>
                <w:rFonts w:ascii="Calibri" w:hAnsi="Calibri" w:cs="Calibri"/>
                <w:szCs w:val="24"/>
              </w:rPr>
            </w:pPr>
          </w:p>
        </w:tc>
        <w:tc>
          <w:tcPr>
            <w:tcW w:w="1918" w:type="pct"/>
            <w:noWrap/>
            <w:vAlign w:val="center"/>
            <w:hideMark/>
          </w:tcPr>
          <w:p w14:paraId="4556BAA0"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Cs w:val="24"/>
              </w:rPr>
            </w:pPr>
            <w:r w:rsidRPr="001062B0">
              <w:rPr>
                <w:rFonts w:ascii="Calibri" w:hAnsi="Calibri" w:cs="Calibri"/>
                <w:b/>
                <w:bCs/>
                <w:szCs w:val="24"/>
              </w:rPr>
              <w:t>suma</w:t>
            </w:r>
          </w:p>
        </w:tc>
        <w:tc>
          <w:tcPr>
            <w:tcW w:w="1798" w:type="pct"/>
            <w:noWrap/>
            <w:vAlign w:val="center"/>
          </w:tcPr>
          <w:p w14:paraId="2B4274CD" w14:textId="77777777" w:rsidR="00B83214" w:rsidRPr="001062B0" w:rsidRDefault="00B83214" w:rsidP="00B83214">
            <w:pPr>
              <w:spacing w:before="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Cs w:val="24"/>
              </w:rPr>
            </w:pPr>
            <w:r w:rsidRPr="001062B0">
              <w:rPr>
                <w:rFonts w:ascii="Calibri" w:hAnsi="Calibri" w:cs="Calibri"/>
                <w:b/>
                <w:bCs/>
                <w:szCs w:val="24"/>
              </w:rPr>
              <w:t>4404</w:t>
            </w:r>
          </w:p>
        </w:tc>
      </w:tr>
    </w:tbl>
    <w:p w14:paraId="02FCDD2A" w14:textId="77777777" w:rsidR="00B83214" w:rsidRPr="001062B0" w:rsidRDefault="00B83214" w:rsidP="00B83214">
      <w:pPr>
        <w:pStyle w:val="rdo"/>
      </w:pPr>
      <w:r w:rsidRPr="001062B0">
        <w:t xml:space="preserve">Źródło: </w:t>
      </w:r>
      <w:bookmarkStart w:id="290" w:name="_Hlk102647342"/>
      <w:r w:rsidRPr="001062B0">
        <w:t>Narodowy Instytut Dziedzictwa - stan na 11.01.2022 r.</w:t>
      </w:r>
      <w:bookmarkEnd w:id="290"/>
    </w:p>
    <w:p w14:paraId="39BD3993" w14:textId="77777777" w:rsidR="00B83214" w:rsidRPr="001062B0" w:rsidRDefault="00B83214" w:rsidP="00B83214">
      <w:pPr>
        <w:rPr>
          <w:rFonts w:ascii="Calibri" w:hAnsi="Calibri" w:cs="Calibri"/>
          <w:szCs w:val="24"/>
        </w:rPr>
      </w:pPr>
      <w:r w:rsidRPr="001062B0">
        <w:rPr>
          <w:rFonts w:ascii="Calibri" w:hAnsi="Calibri" w:cs="Calibri"/>
          <w:szCs w:val="24"/>
        </w:rPr>
        <w:t>W rejestrze zabytków województwa według stanu na dzień 31.12.2021 r. znajduje się 2 231 obiektów ruchomych, z czego 2 024 stanowią wyposażenie świątyń, 4 kolekcje oraz 203 inne obiekty</w:t>
      </w:r>
      <w:r w:rsidRPr="001062B0">
        <w:rPr>
          <w:rFonts w:ascii="Calibri" w:hAnsi="Calibri" w:cs="Calibri"/>
          <w:szCs w:val="24"/>
          <w:vertAlign w:val="superscript"/>
        </w:rPr>
        <w:footnoteReference w:id="150"/>
      </w:r>
      <w:r w:rsidRPr="001062B0">
        <w:rPr>
          <w:rFonts w:ascii="Calibri" w:hAnsi="Calibri" w:cs="Calibri"/>
          <w:szCs w:val="24"/>
        </w:rPr>
        <w:t>.</w:t>
      </w:r>
    </w:p>
    <w:p w14:paraId="2B56816A" w14:textId="53E1C770" w:rsidR="00B83214" w:rsidRPr="001062B0" w:rsidRDefault="00B83214" w:rsidP="00B83214">
      <w:pPr>
        <w:rPr>
          <w:rFonts w:ascii="Calibri" w:hAnsi="Calibri" w:cs="Calibri"/>
          <w:szCs w:val="24"/>
        </w:rPr>
      </w:pPr>
      <w:r w:rsidRPr="001062B0">
        <w:rPr>
          <w:rFonts w:ascii="Calibri" w:hAnsi="Calibri" w:cs="Calibri"/>
          <w:szCs w:val="24"/>
        </w:rPr>
        <w:t>Według stanu na dzień 12.01.2022 r. w rejestrze zabytków znajduje się 370 obiektów archeologicznych, z czego najwięcej bo aż 243 to grodziska, ponadto 69 osad lub obozowisk, 53 cmentarzyska, 4 inne i 1 miejsce produkcji surowca (</w:t>
      </w:r>
      <w:r w:rsidRPr="001062B0">
        <w:rPr>
          <w:sz w:val="22"/>
        </w:rPr>
        <w:fldChar w:fldCharType="begin"/>
      </w:r>
      <w:r w:rsidRPr="001062B0">
        <w:rPr>
          <w:sz w:val="22"/>
        </w:rPr>
        <w:instrText xml:space="preserve"> REF _Ref102712258 \h  \* MERGEFORMAT </w:instrText>
      </w:r>
      <w:r w:rsidRPr="001062B0">
        <w:rPr>
          <w:sz w:val="22"/>
        </w:rPr>
      </w:r>
      <w:r w:rsidRPr="001062B0">
        <w:rPr>
          <w:sz w:val="22"/>
        </w:rPr>
        <w:fldChar w:fldCharType="separate"/>
      </w:r>
      <w:r w:rsidR="002B5007" w:rsidRPr="002B5007">
        <w:rPr>
          <w:szCs w:val="24"/>
        </w:rPr>
        <w:t>Tabela 30</w:t>
      </w:r>
      <w:r w:rsidRPr="001062B0">
        <w:rPr>
          <w:sz w:val="22"/>
        </w:rPr>
        <w:fldChar w:fldCharType="end"/>
      </w:r>
      <w:r w:rsidRPr="001062B0">
        <w:rPr>
          <w:rFonts w:ascii="Calibri" w:hAnsi="Calibri" w:cs="Calibri"/>
          <w:szCs w:val="24"/>
        </w:rPr>
        <w:t xml:space="preserve">). </w:t>
      </w:r>
    </w:p>
    <w:p w14:paraId="30AF9527" w14:textId="77777777" w:rsidR="00B83214" w:rsidRPr="001062B0" w:rsidRDefault="00B83214" w:rsidP="00B83214">
      <w:pPr>
        <w:pStyle w:val="Podpispodrysunkiem"/>
      </w:pPr>
      <w:bookmarkStart w:id="291" w:name="_Ref102712258"/>
      <w:bookmarkStart w:id="292" w:name="_Toc104790100"/>
      <w:r w:rsidRPr="001062B0">
        <w:rPr>
          <w:sz w:val="22"/>
        </w:rPr>
        <w:t xml:space="preserve">Tabela </w:t>
      </w:r>
      <w:r w:rsidRPr="001062B0">
        <w:rPr>
          <w:sz w:val="22"/>
        </w:rPr>
        <w:fldChar w:fldCharType="begin"/>
      </w:r>
      <w:r w:rsidRPr="001062B0">
        <w:rPr>
          <w:sz w:val="22"/>
        </w:rPr>
        <w:instrText xml:space="preserve"> SEQ Tabela \* ARABIC </w:instrText>
      </w:r>
      <w:r w:rsidRPr="001062B0">
        <w:rPr>
          <w:sz w:val="22"/>
        </w:rPr>
        <w:fldChar w:fldCharType="separate"/>
      </w:r>
      <w:r w:rsidR="002B5007">
        <w:rPr>
          <w:noProof/>
          <w:sz w:val="22"/>
        </w:rPr>
        <w:t>30</w:t>
      </w:r>
      <w:r w:rsidRPr="001062B0">
        <w:rPr>
          <w:noProof/>
          <w:sz w:val="22"/>
        </w:rPr>
        <w:fldChar w:fldCharType="end"/>
      </w:r>
      <w:bookmarkEnd w:id="291"/>
      <w:r w:rsidRPr="001062B0">
        <w:t xml:space="preserve"> Zabytki archeologiczne w województwie zachodniopomorskim</w:t>
      </w:r>
      <w:bookmarkEnd w:id="292"/>
    </w:p>
    <w:tbl>
      <w:tblPr>
        <w:tblStyle w:val="Tabelasiatki1jasnaakcent130"/>
        <w:tblW w:w="0" w:type="auto"/>
        <w:tblLayout w:type="fixed"/>
        <w:tblLook w:val="04A0" w:firstRow="1" w:lastRow="0" w:firstColumn="1" w:lastColumn="0" w:noHBand="0" w:noVBand="1"/>
      </w:tblPr>
      <w:tblGrid>
        <w:gridCol w:w="1696"/>
        <w:gridCol w:w="1276"/>
        <w:gridCol w:w="1559"/>
        <w:gridCol w:w="1701"/>
        <w:gridCol w:w="1276"/>
        <w:gridCol w:w="709"/>
        <w:gridCol w:w="845"/>
      </w:tblGrid>
      <w:tr w:rsidR="00B83214" w:rsidRPr="001062B0" w14:paraId="787C08B7" w14:textId="77777777" w:rsidTr="00B832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5AF9C43F" w14:textId="77777777" w:rsidR="00B83214" w:rsidRPr="001062B0" w:rsidRDefault="00B83214" w:rsidP="00B83214">
            <w:pPr>
              <w:jc w:val="center"/>
              <w:rPr>
                <w:rFonts w:ascii="Calibri" w:hAnsi="Calibri" w:cs="Calibri"/>
                <w:szCs w:val="24"/>
              </w:rPr>
            </w:pPr>
            <w:r w:rsidRPr="001062B0">
              <w:rPr>
                <w:rFonts w:ascii="Calibri" w:hAnsi="Calibri" w:cs="Calibri"/>
                <w:szCs w:val="24"/>
              </w:rPr>
              <w:t>Jednostka</w:t>
            </w:r>
          </w:p>
        </w:tc>
        <w:tc>
          <w:tcPr>
            <w:tcW w:w="1276" w:type="dxa"/>
            <w:vAlign w:val="center"/>
          </w:tcPr>
          <w:p w14:paraId="3AEA7EE0" w14:textId="77777777" w:rsidR="00B83214" w:rsidRPr="001062B0" w:rsidRDefault="00B83214" w:rsidP="00B83214">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Grodzisko</w:t>
            </w:r>
          </w:p>
        </w:tc>
        <w:tc>
          <w:tcPr>
            <w:tcW w:w="1559" w:type="dxa"/>
            <w:vAlign w:val="center"/>
          </w:tcPr>
          <w:p w14:paraId="511236FC" w14:textId="77777777" w:rsidR="00B83214" w:rsidRPr="001062B0" w:rsidRDefault="00B83214" w:rsidP="00B83214">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Osady, obozowiska</w:t>
            </w:r>
          </w:p>
        </w:tc>
        <w:tc>
          <w:tcPr>
            <w:tcW w:w="1701" w:type="dxa"/>
            <w:vAlign w:val="center"/>
          </w:tcPr>
          <w:p w14:paraId="42D432B2" w14:textId="77777777" w:rsidR="00B83214" w:rsidRPr="001062B0" w:rsidRDefault="00B83214" w:rsidP="00B83214">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Cmentarzyska</w:t>
            </w:r>
          </w:p>
        </w:tc>
        <w:tc>
          <w:tcPr>
            <w:tcW w:w="1276" w:type="dxa"/>
            <w:vAlign w:val="center"/>
          </w:tcPr>
          <w:p w14:paraId="61A9A5A3" w14:textId="77777777" w:rsidR="00B83214" w:rsidRPr="001062B0" w:rsidRDefault="00B83214" w:rsidP="00B83214">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Miejsca produkcji surowca</w:t>
            </w:r>
          </w:p>
        </w:tc>
        <w:tc>
          <w:tcPr>
            <w:tcW w:w="709" w:type="dxa"/>
            <w:vAlign w:val="center"/>
          </w:tcPr>
          <w:p w14:paraId="4444494A" w14:textId="77777777" w:rsidR="00B83214" w:rsidRPr="001062B0" w:rsidRDefault="00B83214" w:rsidP="00B83214">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Inne</w:t>
            </w:r>
          </w:p>
        </w:tc>
        <w:tc>
          <w:tcPr>
            <w:tcW w:w="845" w:type="dxa"/>
            <w:vAlign w:val="center"/>
          </w:tcPr>
          <w:p w14:paraId="0ABC6504" w14:textId="77777777" w:rsidR="00B83214" w:rsidRPr="001062B0" w:rsidRDefault="00B83214" w:rsidP="00B83214">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szCs w:val="24"/>
              </w:rPr>
              <w:t>Suma</w:t>
            </w:r>
          </w:p>
        </w:tc>
      </w:tr>
      <w:tr w:rsidR="00B83214" w:rsidRPr="001062B0" w14:paraId="204589FE" w14:textId="77777777" w:rsidTr="00B83214">
        <w:tc>
          <w:tcPr>
            <w:cnfStyle w:val="001000000000" w:firstRow="0" w:lastRow="0" w:firstColumn="1" w:lastColumn="0" w:oddVBand="0" w:evenVBand="0" w:oddHBand="0" w:evenHBand="0" w:firstRowFirstColumn="0" w:firstRowLastColumn="0" w:lastRowFirstColumn="0" w:lastRowLastColumn="0"/>
            <w:tcW w:w="1696" w:type="dxa"/>
          </w:tcPr>
          <w:p w14:paraId="49675282" w14:textId="77777777" w:rsidR="00B83214" w:rsidRPr="001062B0" w:rsidRDefault="00B83214" w:rsidP="00B83214">
            <w:pPr>
              <w:jc w:val="center"/>
              <w:rPr>
                <w:rFonts w:ascii="Calibri" w:hAnsi="Calibri" w:cs="Calibri"/>
                <w:szCs w:val="24"/>
              </w:rPr>
            </w:pPr>
            <w:r w:rsidRPr="001062B0">
              <w:rPr>
                <w:rFonts w:ascii="Calibri" w:hAnsi="Calibri" w:cs="Calibri"/>
                <w:szCs w:val="24"/>
              </w:rPr>
              <w:t>Województwo zachodnio</w:t>
            </w:r>
            <w:r>
              <w:rPr>
                <w:rFonts w:ascii="Calibri" w:hAnsi="Calibri" w:cs="Calibri"/>
                <w:szCs w:val="24"/>
              </w:rPr>
              <w:t>-</w:t>
            </w:r>
            <w:r w:rsidRPr="001062B0">
              <w:rPr>
                <w:rFonts w:ascii="Calibri" w:hAnsi="Calibri" w:cs="Calibri"/>
                <w:szCs w:val="24"/>
              </w:rPr>
              <w:t>pomorskie</w:t>
            </w:r>
          </w:p>
        </w:tc>
        <w:tc>
          <w:tcPr>
            <w:tcW w:w="1276" w:type="dxa"/>
            <w:vAlign w:val="center"/>
          </w:tcPr>
          <w:p w14:paraId="1BD53300"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color w:val="000000"/>
                <w:sz w:val="22"/>
                <w:szCs w:val="22"/>
              </w:rPr>
              <w:t>243</w:t>
            </w:r>
          </w:p>
        </w:tc>
        <w:tc>
          <w:tcPr>
            <w:tcW w:w="1559" w:type="dxa"/>
            <w:vAlign w:val="center"/>
          </w:tcPr>
          <w:p w14:paraId="5D123E72"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color w:val="000000"/>
                <w:sz w:val="22"/>
                <w:szCs w:val="22"/>
              </w:rPr>
              <w:t>69</w:t>
            </w:r>
          </w:p>
        </w:tc>
        <w:tc>
          <w:tcPr>
            <w:tcW w:w="1701" w:type="dxa"/>
            <w:vAlign w:val="center"/>
          </w:tcPr>
          <w:p w14:paraId="1FF28524"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color w:val="000000"/>
                <w:sz w:val="22"/>
                <w:szCs w:val="22"/>
              </w:rPr>
              <w:t>53</w:t>
            </w:r>
          </w:p>
        </w:tc>
        <w:tc>
          <w:tcPr>
            <w:tcW w:w="1276" w:type="dxa"/>
            <w:vAlign w:val="center"/>
          </w:tcPr>
          <w:p w14:paraId="35EA74DE"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color w:val="000000"/>
                <w:sz w:val="22"/>
                <w:szCs w:val="22"/>
              </w:rPr>
              <w:t>1</w:t>
            </w:r>
          </w:p>
        </w:tc>
        <w:tc>
          <w:tcPr>
            <w:tcW w:w="709" w:type="dxa"/>
            <w:vAlign w:val="center"/>
          </w:tcPr>
          <w:p w14:paraId="7E924ABA"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color w:val="000000"/>
                <w:sz w:val="22"/>
                <w:szCs w:val="22"/>
              </w:rPr>
              <w:t>4</w:t>
            </w:r>
          </w:p>
        </w:tc>
        <w:tc>
          <w:tcPr>
            <w:tcW w:w="845" w:type="dxa"/>
            <w:vAlign w:val="center"/>
          </w:tcPr>
          <w:p w14:paraId="4D49B8DB"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Cs w:val="24"/>
              </w:rPr>
            </w:pPr>
            <w:r w:rsidRPr="001062B0">
              <w:rPr>
                <w:rFonts w:ascii="Calibri" w:hAnsi="Calibri" w:cs="Calibri"/>
                <w:b/>
                <w:bCs/>
                <w:color w:val="000000"/>
                <w:sz w:val="22"/>
                <w:szCs w:val="22"/>
              </w:rPr>
              <w:t>370</w:t>
            </w:r>
          </w:p>
        </w:tc>
      </w:tr>
      <w:tr w:rsidR="00B83214" w:rsidRPr="001062B0" w14:paraId="4C51C5FC" w14:textId="77777777" w:rsidTr="00B83214">
        <w:tc>
          <w:tcPr>
            <w:cnfStyle w:val="001000000000" w:firstRow="0" w:lastRow="0" w:firstColumn="1" w:lastColumn="0" w:oddVBand="0" w:evenVBand="0" w:oddHBand="0" w:evenHBand="0" w:firstRowFirstColumn="0" w:firstRowLastColumn="0" w:lastRowFirstColumn="0" w:lastRowLastColumn="0"/>
            <w:tcW w:w="1696" w:type="dxa"/>
          </w:tcPr>
          <w:p w14:paraId="26CBA659" w14:textId="77777777" w:rsidR="00B83214" w:rsidRPr="001062B0" w:rsidRDefault="00B83214" w:rsidP="00B83214">
            <w:pPr>
              <w:jc w:val="center"/>
              <w:rPr>
                <w:rFonts w:ascii="Calibri" w:hAnsi="Calibri" w:cs="Calibri"/>
                <w:szCs w:val="24"/>
              </w:rPr>
            </w:pPr>
            <w:r w:rsidRPr="001062B0">
              <w:rPr>
                <w:rFonts w:ascii="Calibri" w:hAnsi="Calibri" w:cs="Calibri"/>
                <w:szCs w:val="24"/>
              </w:rPr>
              <w:t>Polska</w:t>
            </w:r>
          </w:p>
        </w:tc>
        <w:tc>
          <w:tcPr>
            <w:tcW w:w="1276" w:type="dxa"/>
            <w:vAlign w:val="center"/>
          </w:tcPr>
          <w:p w14:paraId="6DB96C56"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color w:val="000000"/>
                <w:sz w:val="22"/>
                <w:szCs w:val="22"/>
              </w:rPr>
              <w:t>1764</w:t>
            </w:r>
          </w:p>
        </w:tc>
        <w:tc>
          <w:tcPr>
            <w:tcW w:w="1559" w:type="dxa"/>
            <w:vAlign w:val="center"/>
          </w:tcPr>
          <w:p w14:paraId="7D7E0E6F"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color w:val="000000"/>
                <w:sz w:val="22"/>
                <w:szCs w:val="22"/>
              </w:rPr>
              <w:t>3847</w:t>
            </w:r>
          </w:p>
        </w:tc>
        <w:tc>
          <w:tcPr>
            <w:tcW w:w="1701" w:type="dxa"/>
            <w:vAlign w:val="center"/>
          </w:tcPr>
          <w:p w14:paraId="67FCA771"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color w:val="000000"/>
                <w:sz w:val="22"/>
                <w:szCs w:val="22"/>
              </w:rPr>
              <w:t>1313</w:t>
            </w:r>
          </w:p>
        </w:tc>
        <w:tc>
          <w:tcPr>
            <w:tcW w:w="1276" w:type="dxa"/>
            <w:vAlign w:val="center"/>
          </w:tcPr>
          <w:p w14:paraId="62B08246"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color w:val="000000"/>
                <w:sz w:val="22"/>
                <w:szCs w:val="22"/>
              </w:rPr>
              <w:t>126</w:t>
            </w:r>
          </w:p>
        </w:tc>
        <w:tc>
          <w:tcPr>
            <w:tcW w:w="709" w:type="dxa"/>
            <w:vAlign w:val="center"/>
          </w:tcPr>
          <w:p w14:paraId="2882AAAC"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1062B0">
              <w:rPr>
                <w:rFonts w:ascii="Calibri" w:hAnsi="Calibri" w:cs="Calibri"/>
                <w:color w:val="000000"/>
                <w:sz w:val="22"/>
                <w:szCs w:val="22"/>
              </w:rPr>
              <w:t>756</w:t>
            </w:r>
          </w:p>
        </w:tc>
        <w:tc>
          <w:tcPr>
            <w:tcW w:w="845" w:type="dxa"/>
            <w:vAlign w:val="center"/>
          </w:tcPr>
          <w:p w14:paraId="37DA49E6"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Cs w:val="24"/>
              </w:rPr>
            </w:pPr>
            <w:r w:rsidRPr="001062B0">
              <w:rPr>
                <w:rFonts w:ascii="Calibri" w:hAnsi="Calibri" w:cs="Calibri"/>
                <w:b/>
                <w:bCs/>
                <w:color w:val="000000"/>
                <w:sz w:val="22"/>
                <w:szCs w:val="22"/>
              </w:rPr>
              <w:t>7806</w:t>
            </w:r>
          </w:p>
        </w:tc>
      </w:tr>
      <w:tr w:rsidR="00B83214" w:rsidRPr="001062B0" w14:paraId="670C3C38" w14:textId="77777777" w:rsidTr="00B83214">
        <w:tc>
          <w:tcPr>
            <w:cnfStyle w:val="001000000000" w:firstRow="0" w:lastRow="0" w:firstColumn="1" w:lastColumn="0" w:oddVBand="0" w:evenVBand="0" w:oddHBand="0" w:evenHBand="0" w:firstRowFirstColumn="0" w:firstRowLastColumn="0" w:lastRowFirstColumn="0" w:lastRowLastColumn="0"/>
            <w:tcW w:w="1696" w:type="dxa"/>
          </w:tcPr>
          <w:p w14:paraId="78252EAF" w14:textId="77777777" w:rsidR="00B83214" w:rsidRPr="001062B0" w:rsidRDefault="00B83214" w:rsidP="00B83214">
            <w:pPr>
              <w:jc w:val="center"/>
              <w:rPr>
                <w:rFonts w:ascii="Calibri" w:hAnsi="Calibri" w:cs="Calibri"/>
                <w:szCs w:val="24"/>
              </w:rPr>
            </w:pPr>
            <w:r w:rsidRPr="001062B0">
              <w:rPr>
                <w:rFonts w:ascii="Calibri" w:hAnsi="Calibri" w:cs="Calibri"/>
                <w:szCs w:val="24"/>
              </w:rPr>
              <w:t xml:space="preserve">Udział % </w:t>
            </w:r>
            <w:r w:rsidRPr="001062B0">
              <w:rPr>
                <w:rFonts w:ascii="Calibri" w:hAnsi="Calibri" w:cs="Calibri"/>
                <w:szCs w:val="24"/>
              </w:rPr>
              <w:br/>
              <w:t>w skali kraju</w:t>
            </w:r>
          </w:p>
        </w:tc>
        <w:tc>
          <w:tcPr>
            <w:tcW w:w="1276" w:type="dxa"/>
            <w:vAlign w:val="center"/>
          </w:tcPr>
          <w:p w14:paraId="457CDD1F"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1062B0">
              <w:rPr>
                <w:rFonts w:ascii="Calibri" w:hAnsi="Calibri" w:cs="Calibri"/>
                <w:color w:val="000000"/>
                <w:sz w:val="22"/>
                <w:szCs w:val="22"/>
              </w:rPr>
              <w:t>13,8</w:t>
            </w:r>
          </w:p>
        </w:tc>
        <w:tc>
          <w:tcPr>
            <w:tcW w:w="1559" w:type="dxa"/>
            <w:vAlign w:val="center"/>
          </w:tcPr>
          <w:p w14:paraId="623BB72A"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1062B0">
              <w:rPr>
                <w:rFonts w:ascii="Calibri" w:hAnsi="Calibri" w:cs="Calibri"/>
                <w:color w:val="000000"/>
                <w:sz w:val="22"/>
                <w:szCs w:val="22"/>
              </w:rPr>
              <w:t>1,8</w:t>
            </w:r>
          </w:p>
        </w:tc>
        <w:tc>
          <w:tcPr>
            <w:tcW w:w="1701" w:type="dxa"/>
            <w:vAlign w:val="center"/>
          </w:tcPr>
          <w:p w14:paraId="27EEBC59"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1062B0">
              <w:rPr>
                <w:rFonts w:ascii="Calibri" w:hAnsi="Calibri" w:cs="Calibri"/>
                <w:color w:val="000000"/>
                <w:sz w:val="22"/>
                <w:szCs w:val="22"/>
              </w:rPr>
              <w:t>4,0</w:t>
            </w:r>
          </w:p>
        </w:tc>
        <w:tc>
          <w:tcPr>
            <w:tcW w:w="1276" w:type="dxa"/>
            <w:vAlign w:val="center"/>
          </w:tcPr>
          <w:p w14:paraId="0CBC6000"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1062B0">
              <w:rPr>
                <w:rFonts w:ascii="Calibri" w:hAnsi="Calibri" w:cs="Calibri"/>
                <w:color w:val="000000"/>
                <w:sz w:val="22"/>
                <w:szCs w:val="22"/>
              </w:rPr>
              <w:t>0,8</w:t>
            </w:r>
          </w:p>
        </w:tc>
        <w:tc>
          <w:tcPr>
            <w:tcW w:w="709" w:type="dxa"/>
            <w:vAlign w:val="center"/>
          </w:tcPr>
          <w:p w14:paraId="31BBA649"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1062B0">
              <w:rPr>
                <w:rFonts w:ascii="Calibri" w:hAnsi="Calibri" w:cs="Calibri"/>
                <w:color w:val="000000"/>
                <w:sz w:val="22"/>
                <w:szCs w:val="22"/>
              </w:rPr>
              <w:t>0,5</w:t>
            </w:r>
          </w:p>
        </w:tc>
        <w:tc>
          <w:tcPr>
            <w:tcW w:w="845" w:type="dxa"/>
            <w:vAlign w:val="center"/>
          </w:tcPr>
          <w:p w14:paraId="06E70089" w14:textId="77777777" w:rsidR="00B83214" w:rsidRPr="001062B0" w:rsidRDefault="00B83214" w:rsidP="00B8321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rPr>
            </w:pPr>
            <w:r w:rsidRPr="001062B0">
              <w:rPr>
                <w:rFonts w:ascii="Calibri" w:hAnsi="Calibri" w:cs="Calibri"/>
                <w:b/>
                <w:bCs/>
                <w:color w:val="000000"/>
                <w:sz w:val="22"/>
                <w:szCs w:val="22"/>
              </w:rPr>
              <w:t>4,7</w:t>
            </w:r>
          </w:p>
        </w:tc>
      </w:tr>
    </w:tbl>
    <w:p w14:paraId="5B6F0FE0" w14:textId="77777777" w:rsidR="00B83214" w:rsidRPr="001062B0" w:rsidRDefault="00B83214" w:rsidP="00B83214">
      <w:pPr>
        <w:pStyle w:val="rdo"/>
      </w:pPr>
      <w:r w:rsidRPr="001062B0">
        <w:t>Źródło: Narodowy Instytut Dziedzictwa - stan na 12.01.2022 r.</w:t>
      </w:r>
    </w:p>
    <w:p w14:paraId="4EC0F4EB" w14:textId="77777777" w:rsidR="00B83214" w:rsidRPr="001062B0" w:rsidRDefault="00B83214" w:rsidP="00B83214">
      <w:pPr>
        <w:rPr>
          <w:rFonts w:ascii="Calibri" w:hAnsi="Calibri" w:cs="Calibri"/>
          <w:szCs w:val="24"/>
        </w:rPr>
      </w:pPr>
      <w:r w:rsidRPr="001062B0">
        <w:rPr>
          <w:rFonts w:ascii="Calibri" w:hAnsi="Calibri" w:cs="Calibri"/>
          <w:szCs w:val="24"/>
        </w:rPr>
        <w:t>W wyniku działań związanych z ochroną zabytków i opieką nad zabytkami na terenie województwa zachodniopomorskiego wydzielono 30 zespołów tzw. Obszary Krajobrazowo-Kulturowe (OKK), które zostały wpisane do Planu Zagospodarowania Przestrzennego Województwa Zachodniopomorskiego, przyjętego przez</w:t>
      </w:r>
      <w:r>
        <w:rPr>
          <w:rFonts w:ascii="Calibri" w:hAnsi="Calibri" w:cs="Calibri"/>
          <w:szCs w:val="24"/>
        </w:rPr>
        <w:t xml:space="preserve"> </w:t>
      </w:r>
      <w:r w:rsidRPr="001062B0">
        <w:rPr>
          <w:rFonts w:ascii="Calibri" w:hAnsi="Calibri" w:cs="Calibri"/>
          <w:szCs w:val="24"/>
        </w:rPr>
        <w:t xml:space="preserve">Sejmik Województwa Zachodniopomorskiego uchwałą. </w:t>
      </w:r>
    </w:p>
    <w:p w14:paraId="5B80AE77" w14:textId="77777777" w:rsidR="00B83214" w:rsidRPr="001062B0" w:rsidRDefault="00B83214" w:rsidP="00B83214">
      <w:pPr>
        <w:rPr>
          <w:rFonts w:ascii="Calibri" w:hAnsi="Calibri" w:cs="Calibri"/>
          <w:szCs w:val="24"/>
        </w:rPr>
      </w:pPr>
      <w:r w:rsidRPr="001062B0">
        <w:rPr>
          <w:rFonts w:ascii="Calibri" w:hAnsi="Calibri" w:cs="Calibri"/>
          <w:szCs w:val="24"/>
        </w:rPr>
        <w:t>Do wydzielonych Obszarów Krajobrazowo-Kulturowych należą:</w:t>
      </w:r>
    </w:p>
    <w:p w14:paraId="72B1F5ED"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01 „AUTOSTRADA”,</w:t>
      </w:r>
    </w:p>
    <w:p w14:paraId="3034781D"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02 „BAROKOWE KOŚCIOŁY”,</w:t>
      </w:r>
    </w:p>
    <w:p w14:paraId="67F0C37B"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03 „BIAŁY BÓR”,</w:t>
      </w:r>
    </w:p>
    <w:p w14:paraId="1A882273"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04 „CEDYŃSKO-MORYŃSKI”,</w:t>
      </w:r>
    </w:p>
    <w:p w14:paraId="739E444E"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05 „CHOJEŃSKI – POGRANICZA,</w:t>
      </w:r>
    </w:p>
    <w:p w14:paraId="19AF5CD3"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06 „DOLINA INY”,</w:t>
      </w:r>
    </w:p>
    <w:p w14:paraId="7788C11F"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07 „DOLINA MYŚLI”,</w:t>
      </w:r>
    </w:p>
    <w:p w14:paraId="5465C47C"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08 „DOLINA DOLNEJ ODRY”,</w:t>
      </w:r>
    </w:p>
    <w:p w14:paraId="5F2FBD69"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09 „DOLINA GRABOWEJ”,</w:t>
      </w:r>
    </w:p>
    <w:p w14:paraId="4582425B"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10 „DOLINA PARSĘTY”,</w:t>
      </w:r>
    </w:p>
    <w:p w14:paraId="31387566"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11 „ DOLINA PŁONI”,</w:t>
      </w:r>
    </w:p>
    <w:p w14:paraId="5DFCA9D0"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12 „DOLINA REGI”,</w:t>
      </w:r>
    </w:p>
    <w:p w14:paraId="410B6FA6"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13 „DRAWIEŃSKI”,</w:t>
      </w:r>
    </w:p>
    <w:p w14:paraId="6EC6FA09"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14 „GRANITOWE KOŚCIOŁY”,</w:t>
      </w:r>
    </w:p>
    <w:p w14:paraId="62731717"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15 „KALISZ POMORSKI I OKOLICE”,</w:t>
      </w:r>
    </w:p>
    <w:p w14:paraId="7449B5E1"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16 „KRAINA BORKÓW”,</w:t>
      </w:r>
    </w:p>
    <w:p w14:paraId="4AD3617D"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 xml:space="preserve">17 „KRAINA W KRATĘ”, </w:t>
      </w:r>
    </w:p>
    <w:p w14:paraId="2A4FCFB4"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18 „POJEZIERZE DRAWSKIE”,</w:t>
      </w:r>
    </w:p>
    <w:p w14:paraId="52DFF751"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19 „REWALSKA WĄSKOTORÓWKA”,</w:t>
      </w:r>
    </w:p>
    <w:p w14:paraId="751FD0D7"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20 „SKARPA NADODRZAŃSKA”,</w:t>
      </w:r>
    </w:p>
    <w:p w14:paraId="609BAFF4"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21 „SUCHAŃSKI”,</w:t>
      </w:r>
    </w:p>
    <w:p w14:paraId="4FBA1A67"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22 „SZWAJCARIA POŁCZYŃSKA”,</w:t>
      </w:r>
    </w:p>
    <w:p w14:paraId="3193B770"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23 „ŚLADAMI GROPIUSA”,</w:t>
      </w:r>
    </w:p>
    <w:p w14:paraId="0AF10B3F"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24 „ŚWIĘTE GÓRY”,</w:t>
      </w:r>
    </w:p>
    <w:p w14:paraId="5C493545"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25 „TRZEBIEŻ”,</w:t>
      </w:r>
    </w:p>
    <w:p w14:paraId="7F8D798B"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26 „TUCZNO”,</w:t>
      </w:r>
    </w:p>
    <w:p w14:paraId="717CD5C2"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27 „WAŁ POMORSKI”,</w:t>
      </w:r>
    </w:p>
    <w:p w14:paraId="5D2174E0"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28 „WAŁECKI”,</w:t>
      </w:r>
    </w:p>
    <w:p w14:paraId="678DA9E3"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29 „KOLEJKĄ DO ELEKTROWNI”,</w:t>
      </w:r>
    </w:p>
    <w:p w14:paraId="40BB549D" w14:textId="77777777" w:rsidR="00B83214" w:rsidRPr="001062B0" w:rsidRDefault="00B83214" w:rsidP="00B83214">
      <w:pPr>
        <w:numPr>
          <w:ilvl w:val="0"/>
          <w:numId w:val="10"/>
        </w:numPr>
        <w:contextualSpacing/>
        <w:rPr>
          <w:rFonts w:ascii="Calibri" w:hAnsi="Calibri" w:cs="Calibri"/>
          <w:szCs w:val="24"/>
        </w:rPr>
      </w:pPr>
      <w:r w:rsidRPr="001062B0">
        <w:rPr>
          <w:rFonts w:ascii="Calibri" w:hAnsi="Calibri" w:cs="Calibri"/>
          <w:szCs w:val="24"/>
        </w:rPr>
        <w:t>30 „ZACHODNIOPOMORSKI PAS NADMORSKI”.</w:t>
      </w:r>
    </w:p>
    <w:p w14:paraId="6DA9DB22" w14:textId="77777777" w:rsidR="00B83214" w:rsidRPr="001062B0" w:rsidRDefault="00B83214" w:rsidP="00B83214">
      <w:pPr>
        <w:rPr>
          <w:rFonts w:ascii="Calibri" w:hAnsi="Calibri" w:cs="Calibri"/>
          <w:caps/>
          <w:spacing w:val="15"/>
          <w:szCs w:val="24"/>
        </w:rPr>
      </w:pPr>
      <w:r w:rsidRPr="001062B0">
        <w:rPr>
          <w:rFonts w:ascii="Calibri" w:hAnsi="Calibri" w:cs="Calibri"/>
          <w:szCs w:val="24"/>
        </w:rPr>
        <w:t>Celem działań była korelacja zadań z uwzględnieniem kontekstu kulturowego i środowiskowego</w:t>
      </w:r>
      <w:r w:rsidRPr="001062B0">
        <w:rPr>
          <w:rFonts w:ascii="Calibri" w:hAnsi="Calibri" w:cs="Calibri"/>
          <w:szCs w:val="24"/>
          <w:vertAlign w:val="superscript"/>
        </w:rPr>
        <w:footnoteReference w:id="151"/>
      </w:r>
      <w:r w:rsidRPr="001062B0">
        <w:rPr>
          <w:rFonts w:ascii="Calibri" w:hAnsi="Calibri" w:cs="Calibri"/>
          <w:szCs w:val="24"/>
        </w:rPr>
        <w:t>.</w:t>
      </w:r>
    </w:p>
    <w:p w14:paraId="284887DC" w14:textId="77777777" w:rsidR="00B83214" w:rsidRPr="001062B0" w:rsidRDefault="00B83214" w:rsidP="00B83214">
      <w:r w:rsidRPr="001062B0">
        <w:t>Zgodnie z Uchwałą Nr XV/196/20 Sejmiku Województwa Zachodniopomorskiego z dnia 7 maja 2020 r.</w:t>
      </w:r>
      <w:r w:rsidRPr="001062B0">
        <w:rPr>
          <w:sz w:val="22"/>
        </w:rPr>
        <w:t xml:space="preserve"> </w:t>
      </w:r>
      <w:r w:rsidRPr="001062B0">
        <w:t>w sprawie udzielenia w roku 2020 dotacji celowej na prace konserwatorskie, restauratorskie lub roboty budowlane przy zabytku wpisanym do rejestru zabytków lub znajdującym się w gminnej ewidencji zabytków, położonym na obszarze województwa zachodniopomorskiego z budżetu Województwa Zachodniopomorskiego na 2020 rok udzielono dotacji celowych w łącznej kwocie 1 800 000 zł, z przeznaczeniem na realizację zadań obejmujących prace konserwatorskie, restauratorskie lub roboty budowlane, przy zabytku wpisanym do rejestru zabytków lub znajdującym się w gminnej ewidencji zabytków, położonym na obszarze województwa zachodniopomorskiego.</w:t>
      </w:r>
    </w:p>
    <w:p w14:paraId="0190DAF7" w14:textId="77777777" w:rsidR="00B83214" w:rsidRPr="001062B0" w:rsidRDefault="00B83214" w:rsidP="00B83214"/>
    <w:p w14:paraId="02871ADD" w14:textId="0BF08762" w:rsidR="00C17C7F" w:rsidRDefault="00C17C7F" w:rsidP="00396BBF">
      <w:pPr>
        <w:pStyle w:val="Nagwek1"/>
        <w:rPr>
          <w:sz w:val="24"/>
          <w:szCs w:val="20"/>
        </w:rPr>
      </w:pPr>
    </w:p>
    <w:p w14:paraId="2F11DFC5" w14:textId="77777777" w:rsidR="00B83214" w:rsidRDefault="00B83214" w:rsidP="00B83214"/>
    <w:p w14:paraId="0D3CB22F" w14:textId="77777777" w:rsidR="00B83214" w:rsidRDefault="00B83214" w:rsidP="00B83214">
      <w:pPr>
        <w:sectPr w:rsidR="00B83214" w:rsidSect="00B83214">
          <w:pgSz w:w="11907" w:h="16839" w:code="9"/>
          <w:pgMar w:top="1417" w:right="1417" w:bottom="1417" w:left="1417" w:header="708" w:footer="708" w:gutter="0"/>
          <w:pgNumType w:fmt="lowerRoman"/>
          <w:cols w:space="708"/>
          <w:titlePg/>
          <w:docGrid w:linePitch="360"/>
        </w:sectPr>
      </w:pPr>
    </w:p>
    <w:p w14:paraId="5BC25391" w14:textId="490CDB0F" w:rsidR="00B83214" w:rsidRPr="00B83214" w:rsidRDefault="00B83214" w:rsidP="00B83214"/>
    <w:p w14:paraId="582FA5F9" w14:textId="668B64FA" w:rsidR="00C85FC9" w:rsidRDefault="00C85FC9" w:rsidP="00396BBF">
      <w:pPr>
        <w:pStyle w:val="Nagwek1"/>
        <w:rPr>
          <w:sz w:val="24"/>
          <w:szCs w:val="20"/>
        </w:rPr>
      </w:pPr>
      <w:bookmarkStart w:id="293" w:name="_Toc104790664"/>
      <w:r w:rsidRPr="00396BBF">
        <w:rPr>
          <w:sz w:val="24"/>
          <w:szCs w:val="20"/>
        </w:rPr>
        <w:t xml:space="preserve">Załącznik </w:t>
      </w:r>
      <w:r w:rsidR="006E38B9">
        <w:rPr>
          <w:sz w:val="24"/>
          <w:szCs w:val="20"/>
        </w:rPr>
        <w:t>4</w:t>
      </w:r>
      <w:r w:rsidRPr="00396BBF">
        <w:rPr>
          <w:sz w:val="24"/>
          <w:szCs w:val="20"/>
        </w:rPr>
        <w:t xml:space="preserve"> Zestawienie potencjalnych oddziaływań pozytywnych i negatywnych możliwych</w:t>
      </w:r>
      <w:r w:rsidR="00396BBF">
        <w:rPr>
          <w:sz w:val="24"/>
          <w:szCs w:val="20"/>
        </w:rPr>
        <w:t xml:space="preserve"> </w:t>
      </w:r>
      <w:r w:rsidRPr="00396BBF">
        <w:rPr>
          <w:sz w:val="24"/>
          <w:szCs w:val="20"/>
        </w:rPr>
        <w:t>do wystąpienia wskutek realizacji działań Programu FEPZ 2021-2027 wraz z katalogiem działań minimalizujących</w:t>
      </w:r>
      <w:bookmarkEnd w:id="293"/>
    </w:p>
    <w:tbl>
      <w:tblPr>
        <w:tblW w:w="5000" w:type="pct"/>
        <w:tblLayout w:type="fixed"/>
        <w:tblCellMar>
          <w:left w:w="70" w:type="dxa"/>
          <w:right w:w="70" w:type="dxa"/>
        </w:tblCellMar>
        <w:tblLook w:val="04A0" w:firstRow="1" w:lastRow="0" w:firstColumn="1" w:lastColumn="0" w:noHBand="0" w:noVBand="1"/>
      </w:tblPr>
      <w:tblGrid>
        <w:gridCol w:w="2764"/>
        <w:gridCol w:w="1983"/>
        <w:gridCol w:w="4255"/>
        <w:gridCol w:w="5143"/>
      </w:tblGrid>
      <w:tr w:rsidR="001563AE" w:rsidRPr="00020C09" w14:paraId="3AEDA950" w14:textId="77777777" w:rsidTr="00941DF5">
        <w:trPr>
          <w:trHeight w:val="20"/>
          <w:tblHeader/>
        </w:trPr>
        <w:tc>
          <w:tcPr>
            <w:tcW w:w="977" w:type="pct"/>
            <w:tcBorders>
              <w:top w:val="single" w:sz="4" w:space="0" w:color="auto"/>
              <w:left w:val="single" w:sz="4" w:space="0" w:color="auto"/>
              <w:bottom w:val="single" w:sz="4" w:space="0" w:color="auto"/>
              <w:right w:val="single" w:sz="4" w:space="0" w:color="auto"/>
            </w:tcBorders>
            <w:shd w:val="clear" w:color="000000" w:fill="FFFFFF"/>
            <w:hideMark/>
          </w:tcPr>
          <w:p w14:paraId="6407905E"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single" w:sz="4" w:space="0" w:color="auto"/>
              <w:left w:val="nil"/>
              <w:bottom w:val="single" w:sz="4" w:space="0" w:color="auto"/>
              <w:right w:val="single" w:sz="4" w:space="0" w:color="auto"/>
            </w:tcBorders>
            <w:shd w:val="clear" w:color="000000" w:fill="FFFFFF"/>
            <w:hideMark/>
          </w:tcPr>
          <w:p w14:paraId="113A5FAF"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single" w:sz="4" w:space="0" w:color="auto"/>
              <w:left w:val="nil"/>
              <w:bottom w:val="single" w:sz="4" w:space="0" w:color="auto"/>
              <w:right w:val="single" w:sz="4" w:space="0" w:color="auto"/>
            </w:tcBorders>
            <w:shd w:val="clear" w:color="000000" w:fill="FFFFFF"/>
            <w:hideMark/>
          </w:tcPr>
          <w:p w14:paraId="077587E2"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single" w:sz="4" w:space="0" w:color="auto"/>
              <w:left w:val="nil"/>
              <w:bottom w:val="single" w:sz="4" w:space="0" w:color="auto"/>
              <w:right w:val="single" w:sz="4" w:space="0" w:color="auto"/>
            </w:tcBorders>
            <w:shd w:val="clear" w:color="000000" w:fill="FFFFFF"/>
            <w:hideMark/>
          </w:tcPr>
          <w:p w14:paraId="42EA8B45"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E762B" w:rsidRPr="00020C09" w14:paraId="73358BA6"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549E39"/>
            <w:hideMark/>
          </w:tcPr>
          <w:p w14:paraId="4A853455" w14:textId="77777777" w:rsidR="001E762B" w:rsidRPr="00020C09" w:rsidRDefault="001E762B" w:rsidP="00B83214">
            <w:pPr>
              <w:spacing w:after="0" w:line="240" w:lineRule="auto"/>
              <w:rPr>
                <w:rFonts w:ascii="Calibri" w:eastAsia="Times New Roman" w:hAnsi="Calibri" w:cs="Times New Roman"/>
                <w:b/>
                <w:bCs/>
                <w:color w:val="FFFFFF"/>
                <w:szCs w:val="24"/>
                <w:lang w:eastAsia="pl-PL"/>
              </w:rPr>
            </w:pPr>
            <w:r w:rsidRPr="00020C09">
              <w:rPr>
                <w:rFonts w:ascii="Calibri" w:eastAsia="Times New Roman" w:hAnsi="Calibri" w:cs="Times New Roman"/>
                <w:b/>
                <w:bCs/>
                <w:color w:val="FFFFFF"/>
                <w:szCs w:val="24"/>
                <w:lang w:eastAsia="pl-PL"/>
              </w:rPr>
              <w:t>Priorytet 1. Fundusze Europejskie na rzecz przedsiębiorczego Pomorza Zachodniego</w:t>
            </w:r>
          </w:p>
        </w:tc>
      </w:tr>
      <w:tr w:rsidR="001E762B" w:rsidRPr="00020C09" w14:paraId="47DD3AA2"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F2F2F2"/>
            <w:hideMark/>
          </w:tcPr>
          <w:p w14:paraId="683B594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Cel polityki CP 1. Bardziej konkurencyjna i inteligentna Europa dzięki wspieraniu innowacyjnej i inteligentnej transformacji gospodarczej oraz regionalnej łączności cyfrowej</w:t>
            </w:r>
          </w:p>
        </w:tc>
      </w:tr>
      <w:tr w:rsidR="001E762B" w:rsidRPr="00020C09" w14:paraId="005BA850"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DAEFD3"/>
            <w:hideMark/>
          </w:tcPr>
          <w:p w14:paraId="0D1F2F06"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(i): Rozwijanie i wzmacnianie zdolności badawczych i innowacyjnych oraz /wykorzystywanie zaawansowanych technologii</w:t>
            </w:r>
          </w:p>
        </w:tc>
      </w:tr>
      <w:tr w:rsidR="001563AE" w:rsidRPr="00020C09" w14:paraId="5AE002A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754C234"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69AB271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608BD8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p>
          <w:p w14:paraId="785AF79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54DA6EF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580A2C6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ED1887E"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76E37D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pośredni pozytywny wpływ na zasoby przyrody poprzez rozwój zielonych technologii oraz w wyniku transformacji do zielonej gospodarki (green economy). </w:t>
            </w:r>
          </w:p>
        </w:tc>
        <w:tc>
          <w:tcPr>
            <w:tcW w:w="1504" w:type="pct"/>
            <w:tcBorders>
              <w:top w:val="nil"/>
              <w:left w:val="nil"/>
              <w:bottom w:val="single" w:sz="4" w:space="0" w:color="auto"/>
              <w:right w:val="single" w:sz="4" w:space="0" w:color="auto"/>
            </w:tcBorders>
            <w:shd w:val="clear" w:color="000000" w:fill="FFFFFF"/>
            <w:hideMark/>
          </w:tcPr>
          <w:p w14:paraId="4A612CC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D001AA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642B41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956B28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2E0ACA1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EF7BC4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nadmierny hałas i wibracje w trakcie budowy inwestycji; </w:t>
            </w:r>
          </w:p>
          <w:p w14:paraId="30FEED8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(2) zanieczyszczenie oświetleniem w trakcie budowy inwestycji; </w:t>
            </w:r>
          </w:p>
          <w:p w14:paraId="3EEAFFB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(3) emisja pyłów i zanieczyszczeń</w:t>
            </w:r>
          </w:p>
        </w:tc>
        <w:tc>
          <w:tcPr>
            <w:tcW w:w="1818" w:type="pct"/>
            <w:tcBorders>
              <w:top w:val="nil"/>
              <w:left w:val="nil"/>
              <w:bottom w:val="single" w:sz="4" w:space="0" w:color="auto"/>
              <w:right w:val="single" w:sz="4" w:space="0" w:color="auto"/>
            </w:tcBorders>
            <w:shd w:val="clear" w:color="000000" w:fill="FFFFFF"/>
            <w:hideMark/>
          </w:tcPr>
          <w:p w14:paraId="5861587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Ad.1. Działania informacyjne i właściwa organizacji placów budowy; prowadzenie budowy z ograniczeniem uciążliwości dla mieszkańców (np. prowadzenie prac nie powodujących hałasu w porze nocnej, minimalizacja okresu wykonywania prac budowlanych). </w:t>
            </w:r>
          </w:p>
          <w:p w14:paraId="298AA0A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Kontrolowanie maszyn i urządzeń, usuwanie usterek, usuwanie wszelkich odpadów po zakończeniu prac budowlanych.</w:t>
            </w:r>
          </w:p>
        </w:tc>
      </w:tr>
      <w:tr w:rsidR="001563AE" w:rsidRPr="00020C09" w14:paraId="20B25C19"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80476E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E5268D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(1) rozwój gospodarczy regionu; (2) stabilne miejsca pracy; (3) podnoszenie kompetencji pracowników </w:t>
            </w:r>
          </w:p>
        </w:tc>
        <w:tc>
          <w:tcPr>
            <w:tcW w:w="1504" w:type="pct"/>
            <w:tcBorders>
              <w:top w:val="nil"/>
              <w:left w:val="nil"/>
              <w:bottom w:val="single" w:sz="4" w:space="0" w:color="auto"/>
              <w:right w:val="single" w:sz="4" w:space="0" w:color="auto"/>
            </w:tcBorders>
            <w:shd w:val="clear" w:color="000000" w:fill="FFFFFF"/>
            <w:hideMark/>
          </w:tcPr>
          <w:p w14:paraId="2A8DC42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1BAB965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96FB3C6"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583E72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000000" w:fill="FFFFFF"/>
            <w:hideMark/>
          </w:tcPr>
          <w:p w14:paraId="604876B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7006FA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chwilowy, zwiększony pobór wód związany z uruchamianiem nowych linii technologicznych, maszyn i urządzeń</w:t>
            </w:r>
          </w:p>
        </w:tc>
        <w:tc>
          <w:tcPr>
            <w:tcW w:w="1818" w:type="pct"/>
            <w:tcBorders>
              <w:top w:val="nil"/>
              <w:left w:val="nil"/>
              <w:bottom w:val="single" w:sz="4" w:space="0" w:color="auto"/>
              <w:right w:val="single" w:sz="4" w:space="0" w:color="auto"/>
            </w:tcBorders>
            <w:shd w:val="clear" w:color="000000" w:fill="FFFFFF"/>
            <w:hideMark/>
          </w:tcPr>
          <w:p w14:paraId="46C8339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Stosowanie wody technologicznej; stosowanie urządzeń podczyszczających lub zabezpieczających potencjalne przedostawanie się zanieczyszczeń na etapie budowy; zabezpieczenie budowy przed potencjalnym spływem zanieczyszczeń do wód powierzchniowych (plac budowy lub miejsce postoju maszyn oddalone od koryt cieków); przekazywanie ścieków wytworzonych na etapie realizacji podmiotom posiadającym uprawnienia do unieszkodliwiania; tankowanie maszyn w miejscach do tego wyznaczonych; stosowanie sprawnego technicznie sprzętu</w:t>
            </w:r>
          </w:p>
        </w:tc>
      </w:tr>
      <w:tr w:rsidR="001563AE" w:rsidRPr="00020C09" w14:paraId="14D87019"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D5061D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FC61D5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zwiększenie stopnia zaawansowania technologicznego w obszarze gospodarki wodno-ściekowej; (2) stymulowanie powstawania nowych rozwiązań technologicznych w obszarze gospodarki wodno-ściekowej</w:t>
            </w:r>
          </w:p>
        </w:tc>
        <w:tc>
          <w:tcPr>
            <w:tcW w:w="1504" w:type="pct"/>
            <w:tcBorders>
              <w:top w:val="nil"/>
              <w:left w:val="nil"/>
              <w:bottom w:val="single" w:sz="4" w:space="0" w:color="auto"/>
              <w:right w:val="single" w:sz="4" w:space="0" w:color="auto"/>
            </w:tcBorders>
            <w:shd w:val="clear" w:color="000000" w:fill="FFFFFF"/>
            <w:hideMark/>
          </w:tcPr>
          <w:p w14:paraId="5E60813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37495F4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0D1380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E5131F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000000" w:fill="FFFFFF"/>
            <w:hideMark/>
          </w:tcPr>
          <w:p w14:paraId="1BF7BEF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w:t>
            </w:r>
          </w:p>
        </w:tc>
        <w:tc>
          <w:tcPr>
            <w:tcW w:w="1504" w:type="pct"/>
            <w:tcBorders>
              <w:top w:val="nil"/>
              <w:left w:val="nil"/>
              <w:bottom w:val="single" w:sz="4" w:space="0" w:color="auto"/>
              <w:right w:val="single" w:sz="4" w:space="0" w:color="auto"/>
            </w:tcBorders>
            <w:shd w:val="clear" w:color="000000" w:fill="FFFFFF"/>
            <w:hideMark/>
          </w:tcPr>
          <w:p w14:paraId="0A6677A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pośrednie, chwilowe o charakterze lokalnym występujące na etapie realizacji inwestycji związanych z rozbudowa infrastruktury (w trakcie budowy, przebudowy, modernizacji): </w:t>
            </w:r>
            <w:r w:rsidRPr="00020C09">
              <w:rPr>
                <w:rFonts w:ascii="Calibri" w:eastAsia="Times New Roman" w:hAnsi="Calibri" w:cs="Times New Roman"/>
                <w:color w:val="000000"/>
                <w:szCs w:val="24"/>
                <w:lang w:eastAsia="pl-PL"/>
              </w:rPr>
              <w:br/>
              <w:t>(1) emisja zanieczyszczeń pyłowych podczas budowy/ przebudowy/ modernizacji elementów infrastruktury;</w:t>
            </w:r>
            <w:r w:rsidRPr="00020C09">
              <w:rPr>
                <w:rFonts w:ascii="Calibri" w:eastAsia="Times New Roman" w:hAnsi="Calibri" w:cs="Times New Roman"/>
                <w:color w:val="000000"/>
                <w:szCs w:val="24"/>
                <w:lang w:eastAsia="pl-PL"/>
              </w:rPr>
              <w:br/>
              <w:t>(2) emisja zanieczyszczeń ze spalania paliw w stosowanych w trakcie prac budowlano-remontowych maszyn i urządzeń budowlanych: SO2, NOx, CO2 podczas budowy; emisje związane z rozładunkiem i załadunkiem pojazdów:</w:t>
            </w:r>
          </w:p>
        </w:tc>
        <w:tc>
          <w:tcPr>
            <w:tcW w:w="1818" w:type="pct"/>
            <w:tcBorders>
              <w:top w:val="nil"/>
              <w:left w:val="nil"/>
              <w:bottom w:val="nil"/>
              <w:right w:val="single" w:sz="4" w:space="0" w:color="auto"/>
            </w:tcBorders>
            <w:shd w:val="clear" w:color="000000" w:fill="FFFFFF"/>
            <w:hideMark/>
          </w:tcPr>
          <w:p w14:paraId="18082A2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Zamiatanie placów budowy i drogi na mokro, mycie i spłukiwanie drogi, mycie kół pojazdu przy wyjeździe z terenu budowy;</w:t>
            </w:r>
          </w:p>
          <w:p w14:paraId="0C465C76" w14:textId="77777777" w:rsidR="001E762B" w:rsidRPr="00020C09" w:rsidRDefault="001E762B" w:rsidP="00622DC9">
            <w:pPr>
              <w:pStyle w:val="Akapitzlist"/>
              <w:numPr>
                <w:ilvl w:val="0"/>
                <w:numId w:val="38"/>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stosowanie kołnierzy i ekranów przeciwkurzowych (przeciwpyłowych) przy pracach demontażowych i rozbiórkowych;</w:t>
            </w:r>
          </w:p>
          <w:p w14:paraId="0255CE1F" w14:textId="23D18C9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Wyłączanie silników maszyn i urządzeń (w tym pojazdów samochodowych)</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w trakcie postoju</w:t>
            </w:r>
          </w:p>
        </w:tc>
      </w:tr>
      <w:tr w:rsidR="001563AE" w:rsidRPr="00020C09" w14:paraId="74D99C9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55F4A4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3B229B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D:bezpośrednie długoterminowe: (1) promowanie rozwiązań innowacyjnych, ekologicznych, których zarówno produkcja jak i eksploatacja nie będzie powodowała nadmiernej emisji zanieczyszczeń do atmosfery</w:t>
            </w:r>
          </w:p>
        </w:tc>
        <w:tc>
          <w:tcPr>
            <w:tcW w:w="1504" w:type="pct"/>
            <w:tcBorders>
              <w:top w:val="nil"/>
              <w:left w:val="nil"/>
              <w:bottom w:val="single" w:sz="4" w:space="0" w:color="auto"/>
              <w:right w:val="single" w:sz="4" w:space="0" w:color="auto"/>
            </w:tcBorders>
            <w:shd w:val="clear" w:color="000000" w:fill="FFFFFF"/>
            <w:hideMark/>
          </w:tcPr>
          <w:p w14:paraId="34F71EB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D:nie zidentyfikowano</w:t>
            </w:r>
          </w:p>
        </w:tc>
        <w:tc>
          <w:tcPr>
            <w:tcW w:w="1818" w:type="pct"/>
            <w:tcBorders>
              <w:top w:val="single" w:sz="4" w:space="0" w:color="auto"/>
              <w:left w:val="nil"/>
              <w:bottom w:val="single" w:sz="4" w:space="0" w:color="auto"/>
              <w:right w:val="single" w:sz="4" w:space="0" w:color="auto"/>
            </w:tcBorders>
            <w:shd w:val="clear" w:color="000000" w:fill="FFFFFF"/>
            <w:hideMark/>
          </w:tcPr>
          <w:p w14:paraId="0762D03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14B8E0E"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B5A822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3A3F54A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2A9F5FA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3F24C94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521EB5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A9564F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04EFBD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512087E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680A7B1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EE92DA3"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14E405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220764C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10B22D5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chaos przestrzenny na etapie budowy</w:t>
            </w:r>
          </w:p>
        </w:tc>
        <w:tc>
          <w:tcPr>
            <w:tcW w:w="1818" w:type="pct"/>
            <w:tcBorders>
              <w:top w:val="nil"/>
              <w:left w:val="nil"/>
              <w:bottom w:val="single" w:sz="4" w:space="0" w:color="auto"/>
              <w:right w:val="single" w:sz="4" w:space="0" w:color="auto"/>
            </w:tcBorders>
            <w:shd w:val="clear" w:color="000000" w:fill="FFFFFF"/>
            <w:hideMark/>
          </w:tcPr>
          <w:p w14:paraId="1E813C0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Utrzymywanie porządku podczas prac budowlanych</w:t>
            </w:r>
          </w:p>
        </w:tc>
      </w:tr>
      <w:tr w:rsidR="001563AE" w:rsidRPr="00020C09" w14:paraId="7780FED3"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288B68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1CF63F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estetyzacja przestrzeni; (2) nowe obiekty związane z transformacją do zielonej gospodarki</w:t>
            </w:r>
          </w:p>
        </w:tc>
        <w:tc>
          <w:tcPr>
            <w:tcW w:w="1504" w:type="pct"/>
            <w:tcBorders>
              <w:top w:val="nil"/>
              <w:left w:val="nil"/>
              <w:bottom w:val="single" w:sz="4" w:space="0" w:color="auto"/>
              <w:right w:val="single" w:sz="4" w:space="0" w:color="auto"/>
            </w:tcBorders>
            <w:shd w:val="clear" w:color="000000" w:fill="FFFFFF"/>
            <w:hideMark/>
          </w:tcPr>
          <w:p w14:paraId="4C3AA51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00DB48B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472A95D"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ABCD1E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000000" w:fill="FFFFFF"/>
            <w:hideMark/>
          </w:tcPr>
          <w:p w14:paraId="28CD437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5A2F19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pośrednie, chwilowe o charakterze lokalnym występujące na etapie realizacji inwestycji związanych z rozbudowa infrastruktury (w trakcie budowy, przebudowy, modernizacji): </w:t>
            </w:r>
            <w:r w:rsidRPr="00020C09">
              <w:rPr>
                <w:rFonts w:ascii="Calibri" w:eastAsia="Times New Roman" w:hAnsi="Calibri" w:cs="Times New Roman"/>
                <w:color w:val="000000"/>
                <w:szCs w:val="24"/>
                <w:lang w:eastAsia="pl-PL"/>
              </w:rPr>
              <w:br/>
              <w:t>(1) emisja gazów cieplarnianych związanych z pracą urządzeń spalinowych na etapie budowy i uruchamiania inwestycji</w:t>
            </w:r>
          </w:p>
        </w:tc>
        <w:tc>
          <w:tcPr>
            <w:tcW w:w="1818" w:type="pct"/>
            <w:tcBorders>
              <w:top w:val="nil"/>
              <w:left w:val="nil"/>
              <w:bottom w:val="single" w:sz="4" w:space="0" w:color="auto"/>
              <w:right w:val="single" w:sz="4" w:space="0" w:color="auto"/>
            </w:tcBorders>
            <w:shd w:val="clear" w:color="000000" w:fill="FFFFFF"/>
            <w:hideMark/>
          </w:tcPr>
          <w:p w14:paraId="371A3BB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Wyłączanie silników maszyn i urządzeń (w tym pojazdów samochodowych) w trakcie postoju</w:t>
            </w:r>
          </w:p>
        </w:tc>
      </w:tr>
      <w:tr w:rsidR="001563AE" w:rsidRPr="00020C09" w14:paraId="288E4433"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DD8173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600AA2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bezpośrednie długoterminowe: (1) promowanie rozwiązań innowacyjnych, ekologicznych, obniżających emisję gazów cieplarnianych do atmosfery;</w:t>
            </w:r>
          </w:p>
        </w:tc>
        <w:tc>
          <w:tcPr>
            <w:tcW w:w="1504" w:type="pct"/>
            <w:tcBorders>
              <w:top w:val="nil"/>
              <w:left w:val="nil"/>
              <w:bottom w:val="single" w:sz="4" w:space="0" w:color="auto"/>
              <w:right w:val="single" w:sz="4" w:space="0" w:color="auto"/>
            </w:tcBorders>
            <w:shd w:val="clear" w:color="000000" w:fill="FFFFFF"/>
            <w:hideMark/>
          </w:tcPr>
          <w:p w14:paraId="028C3A9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58B1657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43D2AC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4DB2B5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1719DDF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56659CF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1343346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6E2A7E3"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99E0CD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F5EC4E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41B4D25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50F6608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24C01B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04F7ED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54C0D91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556086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508DFDB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7B97D9D"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8EAC35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153BB6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5448B14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3C7169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1D72A306"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7214A7B4"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(ii): Czerpanie korzyści z cyfryzacji dla obywateli, przedsiębiorstw, organizacji badawczych i instytucji publicznych</w:t>
            </w:r>
          </w:p>
        </w:tc>
      </w:tr>
      <w:tr w:rsidR="001563AE" w:rsidRPr="00020C09" w14:paraId="658C276D"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51E4CFC1"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52031041"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5A937217"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658CCC72"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35A6610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CD15DA8"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1702E6C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55D081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3D0CF88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AC555C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AE42BAB"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E6C23D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05A7344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A8DBE2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FDB073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F79A61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28E67E0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2D7E988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6CAF65A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813846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0AFA8B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DE813A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zwiększenie ilości usług oferowanych obywatelom w Internecie (w tym w obszarze zdrowia); (2) zwiększenie poziomu cyberbezpieczeństwa; (3) podniesienie kompetencji cyfrowych pracowników</w:t>
            </w:r>
          </w:p>
        </w:tc>
        <w:tc>
          <w:tcPr>
            <w:tcW w:w="1504" w:type="pct"/>
            <w:tcBorders>
              <w:top w:val="nil"/>
              <w:left w:val="nil"/>
              <w:bottom w:val="single" w:sz="4" w:space="0" w:color="auto"/>
              <w:right w:val="single" w:sz="4" w:space="0" w:color="auto"/>
            </w:tcBorders>
            <w:shd w:val="clear" w:color="000000" w:fill="FFFFFF"/>
            <w:hideMark/>
          </w:tcPr>
          <w:p w14:paraId="2B46B6B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2DCB4D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3985A4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FCC83B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000000" w:fill="FFFFFF"/>
            <w:hideMark/>
          </w:tcPr>
          <w:p w14:paraId="03E60B2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2B47955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7438015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1EF8143"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6CCDA7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BE604A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24DA3C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5791081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7BD831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C3EE8A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000000" w:fill="FFFFFF"/>
            <w:hideMark/>
          </w:tcPr>
          <w:p w14:paraId="6470AF6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5204EC1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21E2E0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B23B24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C5BFF0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0535CF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2921B2F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CDB7BA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0608CF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37B03E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2151213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4073F73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3BE0210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FB5BFE1"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30BF39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C8D7D6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0B10376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82933D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AFA2116"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A8EE43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06D6FFA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119ACE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510B564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97718A0"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8D423E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D71553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2FDFF19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D43B4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F62BD7E"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8F8B2C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000000" w:fill="FFFFFF"/>
            <w:hideMark/>
          </w:tcPr>
          <w:p w14:paraId="17EF516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5313102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1D60387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D32128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A0C4E3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521336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05BCC7D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64B2E0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0FC2B64"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4FE415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291CFD7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5834C92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7C15878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94C8563"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51978C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D3ABE1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519B256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7F6273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98229A6"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17A5F73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5509C10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240529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28AE15A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E1ACC68"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518487B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456689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zwiększenie ilości e-usług, w tym w obszarze turystyki</w:t>
            </w:r>
          </w:p>
        </w:tc>
        <w:tc>
          <w:tcPr>
            <w:tcW w:w="1504" w:type="pct"/>
            <w:tcBorders>
              <w:top w:val="nil"/>
              <w:left w:val="nil"/>
              <w:bottom w:val="single" w:sz="4" w:space="0" w:color="auto"/>
              <w:right w:val="single" w:sz="4" w:space="0" w:color="auto"/>
            </w:tcBorders>
            <w:shd w:val="clear" w:color="000000" w:fill="FFFFFF"/>
            <w:hideMark/>
          </w:tcPr>
          <w:p w14:paraId="61F75A2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94A2FD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10EEB284"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4520A88B"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(iii): Wzmacnianie trwałego wzrostu i konkurencyjności MŚP oraz tworzenie miejsc pracy w MŚP, w tym poprzez inwestycje produkcyjne</w:t>
            </w:r>
          </w:p>
        </w:tc>
      </w:tr>
      <w:tr w:rsidR="001563AE" w:rsidRPr="00020C09" w14:paraId="30569665"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30433983"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1E021BFA"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51F800F0"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3248DD17"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49C91C7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4D46EC5"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64AA396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16838D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p>
          <w:p w14:paraId="4658B06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5374FAD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716FCEC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356112B"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7DD75D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5FE7D1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F10C55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7578D2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95DAF3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4A16DC7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A14B01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nadmierny hałas i wibracje w trakcie budowy inwestycji; </w:t>
            </w:r>
          </w:p>
          <w:p w14:paraId="36B58ED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(2) zanieczyszczenie oświetleniem w trakcie budowy inwestycji; </w:t>
            </w:r>
          </w:p>
          <w:p w14:paraId="6E36D34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(3) emisja pyłów i zanieczyszczeń</w:t>
            </w:r>
          </w:p>
        </w:tc>
        <w:tc>
          <w:tcPr>
            <w:tcW w:w="1818" w:type="pct"/>
            <w:tcBorders>
              <w:top w:val="nil"/>
              <w:left w:val="nil"/>
              <w:bottom w:val="single" w:sz="4" w:space="0" w:color="auto"/>
              <w:right w:val="single" w:sz="4" w:space="0" w:color="auto"/>
            </w:tcBorders>
            <w:shd w:val="clear" w:color="000000" w:fill="FFFFFF"/>
            <w:hideMark/>
          </w:tcPr>
          <w:p w14:paraId="48545BE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Działania informacyjne i właściwa organizacji placów budowy; prowadzenie budowy z ograniczeniem uciążliwości dla mieszkańców (np. prowadzenie prac nie powodujących hałasu w porze nocnej, minimalizacja okresu wykonywania prac budowlanych). Ad. 2. Kontrolowanie maszyn i urządzeń, usuwanie usterek, usuwanie wszelkich odpadów po zakończeniu prac budowlanych</w:t>
            </w:r>
          </w:p>
        </w:tc>
      </w:tr>
      <w:tr w:rsidR="001563AE" w:rsidRPr="00020C09" w14:paraId="543070F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4CF0D4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63C224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(1) utrzymanie miejsc pracy; (2) rozwój i tworzenie nowych przedsiębiorstw; (3) zwiększanie ekspansji zagranicznej </w:t>
            </w:r>
          </w:p>
        </w:tc>
        <w:tc>
          <w:tcPr>
            <w:tcW w:w="1504" w:type="pct"/>
            <w:tcBorders>
              <w:top w:val="nil"/>
              <w:left w:val="nil"/>
              <w:bottom w:val="single" w:sz="4" w:space="0" w:color="auto"/>
              <w:right w:val="single" w:sz="4" w:space="0" w:color="auto"/>
            </w:tcBorders>
            <w:shd w:val="clear" w:color="000000" w:fill="FFFFFF"/>
            <w:hideMark/>
          </w:tcPr>
          <w:p w14:paraId="3BFC937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3B28F4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2A649EA"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16A6E1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4B0EA20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0B6AC46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chwilowy, zwiększony pobór wód związany z uruchamianiem nowych linii technologicznych, maszyn i urządzeń</w:t>
            </w:r>
          </w:p>
        </w:tc>
        <w:tc>
          <w:tcPr>
            <w:tcW w:w="1818" w:type="pct"/>
            <w:tcBorders>
              <w:top w:val="nil"/>
              <w:left w:val="nil"/>
              <w:bottom w:val="single" w:sz="4" w:space="0" w:color="auto"/>
              <w:right w:val="single" w:sz="4" w:space="0" w:color="auto"/>
            </w:tcBorders>
            <w:shd w:val="clear" w:color="auto" w:fill="auto"/>
            <w:hideMark/>
          </w:tcPr>
          <w:p w14:paraId="19FE7A4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Stosowanie wody technologicznej; stosowanie urządzeń podczyszczających lub zabezpieczających potencjalne przedostawanie się zanieczyszczeń na etapie budowy; zabezpieczenie budowy przed potencjalnym spływem zanieczyszczeń do wód powierzchniowych (plac budowy lub miejsce postoju maszyn oddalone od koryt cieków); przekazywanie ścieków wytworzonych na etapie realizacji podmiotom posiadającym uprawnienia do unieszkodliwiania; tankowanie maszyn w miejscach do tego wyznaczonych; stosowanie sprawnego technicznie sprzętu</w:t>
            </w:r>
          </w:p>
        </w:tc>
      </w:tr>
      <w:tr w:rsidR="001563AE" w:rsidRPr="00020C09" w14:paraId="735EAD4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06E787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39103AA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zwiększenie stopnia zaawansowania technologicznego w obszarze gospodarki wodno-ściekowej; (2) stymulowanie powstawania nowych rozwiązań technologicznych w obszarze gospodarki wodno-ściekowej</w:t>
            </w:r>
          </w:p>
        </w:tc>
        <w:tc>
          <w:tcPr>
            <w:tcW w:w="1504" w:type="pct"/>
            <w:tcBorders>
              <w:top w:val="nil"/>
              <w:left w:val="nil"/>
              <w:bottom w:val="single" w:sz="4" w:space="0" w:color="auto"/>
              <w:right w:val="single" w:sz="4" w:space="0" w:color="auto"/>
            </w:tcBorders>
            <w:shd w:val="clear" w:color="auto" w:fill="auto"/>
            <w:hideMark/>
          </w:tcPr>
          <w:p w14:paraId="3EA624A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hideMark/>
          </w:tcPr>
          <w:p w14:paraId="06D9FA2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3D77D0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22AEB2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000000" w:fill="FFFFFF"/>
            <w:hideMark/>
          </w:tcPr>
          <w:p w14:paraId="138B964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D10DF3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pośrednie, chwilowe o charakterze lokalnym występujące na etapie realizacji inwestycji związanych z rozbudową infrastruktury (w trakcie budowy, przebudowy, modernizacji): </w:t>
            </w:r>
            <w:r w:rsidRPr="00020C09">
              <w:rPr>
                <w:rFonts w:ascii="Calibri" w:eastAsia="Times New Roman" w:hAnsi="Calibri" w:cs="Times New Roman"/>
                <w:color w:val="000000"/>
                <w:szCs w:val="24"/>
                <w:lang w:eastAsia="pl-PL"/>
              </w:rPr>
              <w:br/>
              <w:t>(1) emisja zanieczyszczeń pyłowych podczas budowy/ przebudowy/ modernizacji elementów infrastruktury;</w:t>
            </w:r>
            <w:r w:rsidRPr="00020C09">
              <w:rPr>
                <w:rFonts w:ascii="Calibri" w:eastAsia="Times New Roman" w:hAnsi="Calibri" w:cs="Times New Roman"/>
                <w:color w:val="000000"/>
                <w:szCs w:val="24"/>
                <w:lang w:eastAsia="pl-PL"/>
              </w:rPr>
              <w:br/>
              <w:t>(2) emisja zanieczyszczeń ze spalania paliw w stosowanych w trakcie prac budowlano-remontowych maszyn i urządzeń budowlanych: SO2, NOx, CO2 podczas budowy; emisje związane z rozładunkiem i załadunkiem pojazdów:</w:t>
            </w:r>
          </w:p>
        </w:tc>
        <w:tc>
          <w:tcPr>
            <w:tcW w:w="1818" w:type="pct"/>
            <w:tcBorders>
              <w:top w:val="single" w:sz="4" w:space="0" w:color="auto"/>
              <w:left w:val="nil"/>
              <w:bottom w:val="nil"/>
              <w:right w:val="single" w:sz="4" w:space="0" w:color="auto"/>
            </w:tcBorders>
            <w:shd w:val="clear" w:color="000000" w:fill="FFFFFF"/>
            <w:hideMark/>
          </w:tcPr>
          <w:p w14:paraId="3B50D88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Zamiatanie placów budowy i drogi na mokro, mycie i spłukiwanie drogi, mycie kół pojazdu przy wyjeździe z terenu budowy;</w:t>
            </w:r>
          </w:p>
          <w:p w14:paraId="278FF496" w14:textId="77777777" w:rsidR="001E762B" w:rsidRPr="00020C09" w:rsidRDefault="001E762B" w:rsidP="00622DC9">
            <w:pPr>
              <w:pStyle w:val="Akapitzlist"/>
              <w:numPr>
                <w:ilvl w:val="0"/>
                <w:numId w:val="38"/>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stosowanie kołnierzy i ekranów przeciwkurzowych (przeciwpyłowych) przy pracach demontażowych i rozbiórkowych;</w:t>
            </w:r>
          </w:p>
          <w:p w14:paraId="58A6D8C9" w14:textId="0201483D"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Wyłączanie silników maszyn i urządzeń (w tym pojazdów samochodowych)</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w trakcie postoju</w:t>
            </w:r>
          </w:p>
        </w:tc>
      </w:tr>
      <w:tr w:rsidR="001563AE" w:rsidRPr="00020C09" w14:paraId="54EF579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CE324A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10197E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bezpośrednie długoterminowe: (1) promowanie i wdrażanie innowacji procesowych i produktowych do działalności przedsiębiorstw, co przyczyni się do zwiększenie efektywności energetycznej procesów produkcyjnych i obniżeniu emisji zanieczyszczeń w tym gazów cieplarnianych; </w:t>
            </w:r>
          </w:p>
        </w:tc>
        <w:tc>
          <w:tcPr>
            <w:tcW w:w="1504" w:type="pct"/>
            <w:tcBorders>
              <w:top w:val="nil"/>
              <w:left w:val="nil"/>
              <w:bottom w:val="single" w:sz="4" w:space="0" w:color="auto"/>
              <w:right w:val="single" w:sz="4" w:space="0" w:color="auto"/>
            </w:tcBorders>
            <w:shd w:val="clear" w:color="000000" w:fill="FFFFFF"/>
            <w:hideMark/>
          </w:tcPr>
          <w:p w14:paraId="752D10B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single" w:sz="4" w:space="0" w:color="auto"/>
              <w:left w:val="nil"/>
              <w:bottom w:val="single" w:sz="4" w:space="0" w:color="auto"/>
              <w:right w:val="single" w:sz="4" w:space="0" w:color="auto"/>
            </w:tcBorders>
            <w:shd w:val="clear" w:color="000000" w:fill="FFFFFF"/>
            <w:hideMark/>
          </w:tcPr>
          <w:p w14:paraId="5CE8401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BEC6903"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D00469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0EA22AE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7E541A4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inwestycje w rozwój przedsiębiorstw zwiększające skalę ich działalności.</w:t>
            </w:r>
            <w:r w:rsidRPr="00020C09">
              <w:rPr>
                <w:rFonts w:ascii="Calibri" w:eastAsia="Times New Roman" w:hAnsi="Calibri" w:cs="Times New Roman"/>
                <w:color w:val="000000"/>
                <w:szCs w:val="24"/>
                <w:lang w:eastAsia="pl-PL"/>
              </w:rPr>
              <w:br/>
              <w:t>(1) naruszenie powierzchni ziemi, powstawanie odkładów ziemnych na etapie budowy instalacji,</w:t>
            </w:r>
            <w:r w:rsidRPr="00020C09">
              <w:rPr>
                <w:rFonts w:ascii="Calibri" w:eastAsia="Times New Roman" w:hAnsi="Calibri" w:cs="Times New Roman"/>
                <w:color w:val="000000"/>
                <w:szCs w:val="24"/>
                <w:lang w:eastAsia="pl-PL"/>
              </w:rPr>
              <w:br/>
              <w:t>(2) emisja zanieczyszczeń do gleby na etapie budowy.</w:t>
            </w:r>
          </w:p>
        </w:tc>
        <w:tc>
          <w:tcPr>
            <w:tcW w:w="1818" w:type="pct"/>
            <w:tcBorders>
              <w:top w:val="nil"/>
              <w:left w:val="nil"/>
              <w:bottom w:val="single" w:sz="4" w:space="0" w:color="auto"/>
              <w:right w:val="single" w:sz="4" w:space="0" w:color="auto"/>
            </w:tcBorders>
            <w:shd w:val="clear" w:color="000000" w:fill="FFFFFF"/>
            <w:hideMark/>
          </w:tcPr>
          <w:p w14:paraId="7B822C5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r w:rsidRPr="00020C09">
              <w:rPr>
                <w:rFonts w:ascii="Calibri" w:eastAsia="Times New Roman" w:hAnsi="Calibri" w:cs="Times New Roman"/>
                <w:color w:val="000000"/>
                <w:szCs w:val="24"/>
                <w:lang w:eastAsia="pl-PL"/>
              </w:rPr>
              <w:br/>
              <w:t>Ad.2. Kontrolowanie maszyn i urządzeń, usuwanie usterek, usuwanie wszelkich odpadów po zakończeniu prac budowlanych.</w:t>
            </w:r>
          </w:p>
        </w:tc>
      </w:tr>
      <w:tr w:rsidR="001563AE" w:rsidRPr="00020C09" w14:paraId="74563923"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7857CB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70E768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30E546F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6E1827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DE1EAC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ADAD8D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28BE9EE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3E1FC9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chaos przestrzenny na etapie budowy</w:t>
            </w:r>
          </w:p>
        </w:tc>
        <w:tc>
          <w:tcPr>
            <w:tcW w:w="1818" w:type="pct"/>
            <w:tcBorders>
              <w:top w:val="nil"/>
              <w:left w:val="nil"/>
              <w:bottom w:val="single" w:sz="4" w:space="0" w:color="auto"/>
              <w:right w:val="single" w:sz="4" w:space="0" w:color="auto"/>
            </w:tcBorders>
            <w:shd w:val="clear" w:color="auto" w:fill="auto"/>
            <w:hideMark/>
          </w:tcPr>
          <w:p w14:paraId="7FA451C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Utrzymywanie porządku podczas prac budowlanych</w:t>
            </w:r>
          </w:p>
        </w:tc>
      </w:tr>
      <w:tr w:rsidR="001563AE" w:rsidRPr="00020C09" w14:paraId="79FA6A64"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EF7AF1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F04584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24BA5BC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hideMark/>
          </w:tcPr>
          <w:p w14:paraId="1C5EC00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3DB496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6D07CF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000000" w:fill="FFFFFF"/>
            <w:hideMark/>
          </w:tcPr>
          <w:p w14:paraId="57569BF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 oddziaływanie o charakterze neutralnym</w:t>
            </w:r>
          </w:p>
        </w:tc>
        <w:tc>
          <w:tcPr>
            <w:tcW w:w="1504" w:type="pct"/>
            <w:tcBorders>
              <w:top w:val="nil"/>
              <w:left w:val="nil"/>
              <w:bottom w:val="single" w:sz="4" w:space="0" w:color="auto"/>
              <w:right w:val="single" w:sz="4" w:space="0" w:color="auto"/>
            </w:tcBorders>
            <w:shd w:val="clear" w:color="000000" w:fill="FFFFFF"/>
            <w:hideMark/>
          </w:tcPr>
          <w:p w14:paraId="30A95DB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6C7C33C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DE332E5"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E9B2A9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1BEA62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 oddziaływanie o charakterze neutralnym</w:t>
            </w:r>
          </w:p>
        </w:tc>
        <w:tc>
          <w:tcPr>
            <w:tcW w:w="1504" w:type="pct"/>
            <w:tcBorders>
              <w:top w:val="nil"/>
              <w:left w:val="nil"/>
              <w:bottom w:val="single" w:sz="4" w:space="0" w:color="auto"/>
              <w:right w:val="single" w:sz="4" w:space="0" w:color="auto"/>
            </w:tcBorders>
            <w:shd w:val="clear" w:color="000000" w:fill="FFFFFF"/>
            <w:hideMark/>
          </w:tcPr>
          <w:p w14:paraId="69F9B75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2BFC01F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380029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0246BD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6048BE5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61BAD6C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57CECC4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5104FE9"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0F0D85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2A847E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4CDAB7D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DCB8DE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FA3E521"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5DD6418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7F9CFED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4E917F5" w14:textId="77777777" w:rsidR="001E762B" w:rsidRPr="00020C09" w:rsidRDefault="001E762B" w:rsidP="00B83214">
            <w:pPr>
              <w:spacing w:after="0" w:line="240" w:lineRule="auto"/>
              <w:rPr>
                <w:rFonts w:ascii="Calibri" w:eastAsia="Times New Roman" w:hAnsi="Calibri" w:cs="Times New Roman"/>
                <w:color w:val="000000"/>
                <w:szCs w:val="24"/>
                <w:highlight w:val="yellow"/>
                <w:lang w:eastAsia="pl-PL"/>
              </w:rPr>
            </w:pPr>
            <w:r w:rsidRPr="00020C09">
              <w:rPr>
                <w:rFonts w:ascii="Calibri" w:eastAsia="Times New Roman" w:hAnsi="Calibri" w:cs="Times New Roman"/>
                <w:color w:val="000000"/>
                <w:szCs w:val="24"/>
                <w:lang w:eastAsia="pl-PL"/>
              </w:rPr>
              <w:t>K: (1) wibracje na etapie budowy inwestycji</w:t>
            </w:r>
          </w:p>
        </w:tc>
        <w:tc>
          <w:tcPr>
            <w:tcW w:w="1818" w:type="pct"/>
            <w:tcBorders>
              <w:top w:val="nil"/>
              <w:left w:val="nil"/>
              <w:bottom w:val="single" w:sz="4" w:space="0" w:color="auto"/>
              <w:right w:val="single" w:sz="4" w:space="0" w:color="auto"/>
            </w:tcBorders>
            <w:shd w:val="clear" w:color="000000" w:fill="FFFFFF"/>
            <w:hideMark/>
          </w:tcPr>
          <w:p w14:paraId="3D48DF1B" w14:textId="77777777" w:rsidR="001E762B" w:rsidRPr="00020C09" w:rsidRDefault="001E762B" w:rsidP="00B83214">
            <w:pPr>
              <w:spacing w:after="0" w:line="240" w:lineRule="auto"/>
              <w:rPr>
                <w:rFonts w:ascii="Calibri" w:eastAsia="Times New Roman" w:hAnsi="Calibri" w:cs="Times New Roman"/>
                <w:color w:val="000000"/>
                <w:szCs w:val="24"/>
                <w:highlight w:val="yellow"/>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zgodnie z zaleceniami wojewódzkiego konserwatora zabytków</w:t>
            </w:r>
          </w:p>
        </w:tc>
      </w:tr>
      <w:tr w:rsidR="001563AE" w:rsidRPr="00020C09" w14:paraId="5301F615"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3D99E00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335545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wzrostu konkurencyjności turystycznej regionu</w:t>
            </w:r>
          </w:p>
        </w:tc>
        <w:tc>
          <w:tcPr>
            <w:tcW w:w="1504" w:type="pct"/>
            <w:tcBorders>
              <w:top w:val="nil"/>
              <w:left w:val="nil"/>
              <w:bottom w:val="single" w:sz="4" w:space="0" w:color="auto"/>
              <w:right w:val="single" w:sz="4" w:space="0" w:color="auto"/>
            </w:tcBorders>
            <w:shd w:val="clear" w:color="000000" w:fill="FFFFFF"/>
            <w:hideMark/>
          </w:tcPr>
          <w:p w14:paraId="3FF1BD5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zwiększenie ruchu turystycznego</w:t>
            </w:r>
          </w:p>
        </w:tc>
        <w:tc>
          <w:tcPr>
            <w:tcW w:w="1818" w:type="pct"/>
            <w:tcBorders>
              <w:top w:val="nil"/>
              <w:left w:val="nil"/>
              <w:bottom w:val="single" w:sz="4" w:space="0" w:color="auto"/>
              <w:right w:val="single" w:sz="4" w:space="0" w:color="auto"/>
            </w:tcBorders>
            <w:shd w:val="clear" w:color="000000" w:fill="FFFFFF"/>
            <w:hideMark/>
          </w:tcPr>
          <w:p w14:paraId="37F87DE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Dostosowanie liczby turystów np. poprzez wprowadzenie limitów wejść</w:t>
            </w:r>
          </w:p>
        </w:tc>
      </w:tr>
      <w:tr w:rsidR="001E762B" w:rsidRPr="00020C09" w14:paraId="784CBDA2"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549E39"/>
            <w:hideMark/>
          </w:tcPr>
          <w:p w14:paraId="0D4A5933" w14:textId="77777777" w:rsidR="001E762B" w:rsidRPr="00020C09" w:rsidRDefault="001E762B" w:rsidP="00B83214">
            <w:pPr>
              <w:spacing w:after="0" w:line="240" w:lineRule="auto"/>
              <w:rPr>
                <w:rFonts w:ascii="Calibri" w:eastAsia="Times New Roman" w:hAnsi="Calibri" w:cs="Times New Roman"/>
                <w:b/>
                <w:bCs/>
                <w:color w:val="FFFFFF"/>
                <w:szCs w:val="24"/>
                <w:lang w:eastAsia="pl-PL"/>
              </w:rPr>
            </w:pPr>
            <w:r w:rsidRPr="00020C09">
              <w:rPr>
                <w:rFonts w:ascii="Calibri" w:eastAsia="Times New Roman" w:hAnsi="Calibri" w:cs="Times New Roman"/>
                <w:b/>
                <w:bCs/>
                <w:color w:val="FFFFFF"/>
                <w:szCs w:val="24"/>
                <w:lang w:eastAsia="pl-PL"/>
              </w:rPr>
              <w:t>Priorytet 2. Fundusze Europejskie na rzecz zielonego Pomorza Zachodniego</w:t>
            </w:r>
          </w:p>
        </w:tc>
      </w:tr>
      <w:tr w:rsidR="001E762B" w:rsidRPr="00020C09" w14:paraId="1F90F363"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F2F2F2"/>
            <w:hideMark/>
          </w:tcPr>
          <w:p w14:paraId="3313F453" w14:textId="6C6A2A6C"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Cel polityki CP 2.</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Bardziej przyjazna dla środowiska, niskoemisyjna i przechodząca w kierunku gospodarki zeroemisyjnej oraz odporna Europa, dzięki promowaniu czystej i sprawiedliwej</w:t>
            </w:r>
            <w:r w:rsidRPr="00020C09">
              <w:rPr>
                <w:rFonts w:ascii="Calibri" w:eastAsia="Times New Roman" w:hAnsi="Calibri" w:cs="Times New Roman"/>
                <w:color w:val="000000"/>
                <w:szCs w:val="24"/>
                <w:lang w:eastAsia="pl-PL"/>
              </w:rPr>
              <w:br/>
              <w:t>transformacji energetycznej, zielonych i niebieskich inwestycji, gospodarki w obiegu zamkniętym, łagodzenia zmian klimatu i przystosowania się do nich, zapobiegania ryzyku i zarządzania ryzykiem, oraz zrównoważonej mobilności miejskiej.</w:t>
            </w:r>
          </w:p>
        </w:tc>
      </w:tr>
      <w:tr w:rsidR="001E762B" w:rsidRPr="00020C09" w14:paraId="28A3B76F"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16D5F1A3"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(i): Wspieranie efektywności energetycznej i redukcji emisji gazów cieplarnianych</w:t>
            </w:r>
          </w:p>
        </w:tc>
      </w:tr>
      <w:tr w:rsidR="001563AE" w:rsidRPr="00020C09" w14:paraId="73ADB7B4"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2BC0E029"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21645FA3"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22B5A26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2D24B12C"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791C19E5"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A6D629C"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016CDC0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840EA5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r w:rsidRPr="00020C09">
              <w:rPr>
                <w:rFonts w:ascii="Calibri" w:eastAsia="Times New Roman" w:hAnsi="Calibri" w:cs="Times New Roman"/>
                <w:color w:val="000000"/>
                <w:szCs w:val="24"/>
                <w:lang w:eastAsia="pl-PL"/>
              </w:rPr>
              <w:b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7D6A7BC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38AADADB"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61A6FD6"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F4132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Poprawa stanu środowiska, w tym zasobów przyrodniczych poprzez ograniczenie emisji zanieczyszczeń do środowiska</w:t>
            </w:r>
            <w:r w:rsidRPr="00020C09">
              <w:rPr>
                <w:rFonts w:ascii="Calibri" w:eastAsia="Times New Roman" w:hAnsi="Calibri" w:cs="Times New Roman"/>
                <w:color w:val="000000"/>
                <w:szCs w:val="24"/>
                <w:lang w:eastAsia="pl-PL"/>
              </w:rPr>
              <w:br/>
              <w:t>(2) kształtowanie postaw proekologicznych wśród mieszkańców</w:t>
            </w:r>
          </w:p>
        </w:tc>
        <w:tc>
          <w:tcPr>
            <w:tcW w:w="1504" w:type="pct"/>
            <w:tcBorders>
              <w:top w:val="nil"/>
              <w:left w:val="nil"/>
              <w:bottom w:val="single" w:sz="4" w:space="0" w:color="auto"/>
              <w:right w:val="single" w:sz="4" w:space="0" w:color="auto"/>
            </w:tcBorders>
            <w:shd w:val="clear" w:color="000000" w:fill="FFFFFF"/>
            <w:hideMark/>
          </w:tcPr>
          <w:p w14:paraId="032D81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3C5070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DD504F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D9AC91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06210AC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CA6B66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nadmierny hałas i wibracje w trakcie budowy inwestycji (w tym termomodernizacji); </w:t>
            </w:r>
          </w:p>
          <w:p w14:paraId="62B065E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(2) zanieczyszczenie oświetleniem w trakcie budowy inwestycji; </w:t>
            </w:r>
          </w:p>
          <w:p w14:paraId="244262F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(3) emisja pyłów i zanieczyszczeń</w:t>
            </w:r>
          </w:p>
        </w:tc>
        <w:tc>
          <w:tcPr>
            <w:tcW w:w="1818" w:type="pct"/>
            <w:tcBorders>
              <w:top w:val="nil"/>
              <w:left w:val="nil"/>
              <w:bottom w:val="single" w:sz="4" w:space="0" w:color="auto"/>
              <w:right w:val="single" w:sz="4" w:space="0" w:color="auto"/>
            </w:tcBorders>
            <w:shd w:val="clear" w:color="000000" w:fill="FFFFFF"/>
            <w:hideMark/>
          </w:tcPr>
          <w:p w14:paraId="21DBE7A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Ad.1. Działania informacyjne i właściwa organizacji placów budowy; prowadzenie budowy z ograniczeniem uciążliwości dla mieszkańców (np. prowadzenie prac nie powodujących hałasu w porze nocnej, minimalizacja okresu wykonywania prac budowlanych). </w:t>
            </w:r>
          </w:p>
          <w:p w14:paraId="0C532C3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Kontrolowanie maszyn i urządzeń, usuwanie usterek, usuwanie wszelkich odpadów po zakończeniu prac budowlanych.</w:t>
            </w:r>
          </w:p>
        </w:tc>
      </w:tr>
      <w:tr w:rsidR="001563AE" w:rsidRPr="00020C09" w14:paraId="29718F59"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02B50C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8C73AE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przeciwdziałanie ubóstwu energetycznemu; (2) podnoszenie świadomości i wiedzy w zakresie efektywności energetycznej i wykorzystania OZE; (3) poprawa jakości powietrza</w:t>
            </w:r>
          </w:p>
        </w:tc>
        <w:tc>
          <w:tcPr>
            <w:tcW w:w="1504" w:type="pct"/>
            <w:tcBorders>
              <w:top w:val="nil"/>
              <w:left w:val="nil"/>
              <w:bottom w:val="single" w:sz="4" w:space="0" w:color="auto"/>
              <w:right w:val="single" w:sz="4" w:space="0" w:color="auto"/>
            </w:tcBorders>
            <w:shd w:val="clear" w:color="000000" w:fill="FFFFFF"/>
            <w:hideMark/>
          </w:tcPr>
          <w:p w14:paraId="4E2BDB3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3853C9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D9497B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49508C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647F4E2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02E70CE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potencjalne ryzyko przedostawania się zanieczyszczeń na etapie realizacji inwestycji w przypadku wystąpienia awarii (w trakcie budowy, przebudowy, modernizacji)</w:t>
            </w:r>
          </w:p>
        </w:tc>
        <w:tc>
          <w:tcPr>
            <w:tcW w:w="1818" w:type="pct"/>
            <w:tcBorders>
              <w:top w:val="nil"/>
              <w:left w:val="nil"/>
              <w:bottom w:val="single" w:sz="4" w:space="0" w:color="auto"/>
              <w:right w:val="single" w:sz="4" w:space="0" w:color="auto"/>
            </w:tcBorders>
            <w:shd w:val="clear" w:color="auto" w:fill="auto"/>
            <w:hideMark/>
          </w:tcPr>
          <w:p w14:paraId="74E70415" w14:textId="1E342EB2"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Stosowanie urządzeń podczyszczających lub zabezpieczających potencjalne przedostawanie się zanieczyszczeń na etapie budowy; zabezpieczenie budowy przed potencjalnym spływem zanieczyszczeń do wód powierzchniowych (plac budowy lub miejsce postoju maszyn oddalone od koryt cieków); przekazywanie ścieków wytworzonych na etapie realizacji podmiotom posiadającym uprawnienia do unieszkodliwiania;</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tankowanie maszyn w miejscach do tego wyznaczonych; stosowanie sprawnego technicznie sprzętu</w:t>
            </w:r>
          </w:p>
        </w:tc>
      </w:tr>
      <w:tr w:rsidR="001563AE" w:rsidRPr="00020C09" w14:paraId="4C5FC03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88DEC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67BD797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ograniczenie emisji zanieczyszczeń pyłowych (opady suche i mokre) oraz ograniczeniu emisji gazów cieplarnianych do atmosfery; (2) rozwój nowych technologii służących poprawie wydajności energetycznej; (3) ograniczenie skutków zjawiska globalnego ocieplenia i związanego z tym wzrostu temperatur mającego wpływ na zubażanie ilości zasobów wodnych; (4) ograniczenie niskiej emisji; (5) ograniczenie emisji zanieczyszczeń (w szczególności NOx i PM), które pośrednio mogą powodować zakwaszanie wód i przedostawanie się pyłów do wód</w:t>
            </w:r>
          </w:p>
        </w:tc>
        <w:tc>
          <w:tcPr>
            <w:tcW w:w="1504" w:type="pct"/>
            <w:tcBorders>
              <w:top w:val="nil"/>
              <w:left w:val="nil"/>
              <w:bottom w:val="single" w:sz="4" w:space="0" w:color="auto"/>
              <w:right w:val="single" w:sz="4" w:space="0" w:color="auto"/>
            </w:tcBorders>
            <w:shd w:val="clear" w:color="auto" w:fill="auto"/>
            <w:hideMark/>
          </w:tcPr>
          <w:p w14:paraId="6AE9DB8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hideMark/>
          </w:tcPr>
          <w:p w14:paraId="2897388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70BC05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05F15B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000000" w:fill="FFFFFF"/>
            <w:hideMark/>
          </w:tcPr>
          <w:p w14:paraId="2AD1E03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09418D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bezpośrednie, chwilowe o charakterze lokalnym na etapie realizacji inwestycji związanych z kompleksowa modernizacją energetyczną budynków; budową i modernizacją systemów dostaw ciepła i gazu:</w:t>
            </w:r>
            <w:r w:rsidRPr="00020C09">
              <w:rPr>
                <w:rFonts w:ascii="Calibri" w:eastAsia="Times New Roman" w:hAnsi="Calibri" w:cs="Times New Roman"/>
                <w:color w:val="000000"/>
                <w:szCs w:val="24"/>
                <w:lang w:eastAsia="pl-PL"/>
              </w:rPr>
              <w:br/>
              <w:t>(1) emisja zanieczyszczeń pyłowych podczas budowy/ przebudowy/ modernizacji infrastruktury;</w:t>
            </w:r>
            <w:r w:rsidRPr="00020C09">
              <w:rPr>
                <w:rFonts w:ascii="Calibri" w:eastAsia="Times New Roman" w:hAnsi="Calibri" w:cs="Times New Roman"/>
                <w:color w:val="000000"/>
                <w:szCs w:val="24"/>
                <w:lang w:eastAsia="pl-PL"/>
              </w:rPr>
              <w:br/>
              <w:t>(2) emisja zanieczyszczeń ze spalania paliw w stosowanych w trakcie prac budowlano-remontowych maszyn i urządzeń budowlanych: SO2, NOx, CO2 podczas budowy; emisje związane z rozładunkiem i załadunkiem pojazdów</w:t>
            </w:r>
          </w:p>
        </w:tc>
        <w:tc>
          <w:tcPr>
            <w:tcW w:w="1818" w:type="pct"/>
            <w:tcBorders>
              <w:top w:val="nil"/>
              <w:left w:val="nil"/>
              <w:bottom w:val="single" w:sz="4" w:space="0" w:color="auto"/>
              <w:right w:val="single" w:sz="4" w:space="0" w:color="auto"/>
            </w:tcBorders>
            <w:shd w:val="clear" w:color="000000" w:fill="FFFFFF"/>
            <w:hideMark/>
          </w:tcPr>
          <w:p w14:paraId="5C89CF0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Zamiatanie drogi dojazdowej do miejsca / placu budowy na mokro, mycie i spłukiwanie drogi;</w:t>
            </w:r>
          </w:p>
          <w:p w14:paraId="2DD891CB" w14:textId="77777777" w:rsidR="001E762B" w:rsidRPr="00020C09" w:rsidRDefault="001E762B" w:rsidP="00622DC9">
            <w:pPr>
              <w:pStyle w:val="Akapitzlist"/>
              <w:numPr>
                <w:ilvl w:val="0"/>
                <w:numId w:val="38"/>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mycie kół pojazdu przy wyjeździe z terenu budowy;</w:t>
            </w:r>
          </w:p>
          <w:p w14:paraId="685DE672" w14:textId="77777777" w:rsidR="001E762B" w:rsidRPr="00020C09" w:rsidRDefault="001E762B" w:rsidP="00622DC9">
            <w:pPr>
              <w:pStyle w:val="Akapitzlist"/>
              <w:numPr>
                <w:ilvl w:val="0"/>
                <w:numId w:val="38"/>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stosowanie kołnierzy i ekranów przeciwkurzowych (przeciwpyłowych) przy pracach demontażowych i rozbiórkowych;</w:t>
            </w:r>
          </w:p>
          <w:p w14:paraId="755E8B1D" w14:textId="609F4876"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Wyłączanie silników maszyn i urządzeń (w tym pojazdów samochodowych)</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w trakcie postoju</w:t>
            </w:r>
          </w:p>
        </w:tc>
      </w:tr>
      <w:tr w:rsidR="001563AE" w:rsidRPr="00020C09" w14:paraId="3F36C78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8DF67C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D9C4B4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bezpośrednie długoterminowe: (1) modernizacja energetyczna obiektów oraz likwidacja indywidualnych źródeł ciepła przyczyni się bezpośrednio do obniżenia emisji zanieczyszczeń gazowych i pyłowych do atmosfery</w:t>
            </w:r>
          </w:p>
        </w:tc>
        <w:tc>
          <w:tcPr>
            <w:tcW w:w="1504" w:type="pct"/>
            <w:tcBorders>
              <w:top w:val="nil"/>
              <w:left w:val="nil"/>
              <w:bottom w:val="single" w:sz="4" w:space="0" w:color="auto"/>
              <w:right w:val="single" w:sz="4" w:space="0" w:color="auto"/>
            </w:tcBorders>
            <w:shd w:val="clear" w:color="000000" w:fill="FFFFFF"/>
            <w:hideMark/>
          </w:tcPr>
          <w:p w14:paraId="0FFFC4E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232501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EC680EA"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391BC6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78F6330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1811864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naruszenie powierzchni ziemi, powstawanie odkładów ziemnych na etapie budowy instalacji,</w:t>
            </w:r>
            <w:r w:rsidRPr="00020C09">
              <w:rPr>
                <w:rFonts w:ascii="Calibri" w:eastAsia="Times New Roman" w:hAnsi="Calibri" w:cs="Times New Roman"/>
                <w:color w:val="000000"/>
                <w:szCs w:val="24"/>
                <w:lang w:eastAsia="pl-PL"/>
              </w:rPr>
              <w:br/>
              <w:t>(2) emisja zanieczyszczeń do gleby na etapie budowy.</w:t>
            </w:r>
          </w:p>
        </w:tc>
        <w:tc>
          <w:tcPr>
            <w:tcW w:w="1818" w:type="pct"/>
            <w:tcBorders>
              <w:top w:val="nil"/>
              <w:left w:val="nil"/>
              <w:bottom w:val="single" w:sz="4" w:space="0" w:color="auto"/>
              <w:right w:val="single" w:sz="4" w:space="0" w:color="auto"/>
            </w:tcBorders>
            <w:shd w:val="clear" w:color="000000" w:fill="FFFFFF"/>
            <w:hideMark/>
          </w:tcPr>
          <w:p w14:paraId="7359956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r w:rsidRPr="00020C09">
              <w:rPr>
                <w:rFonts w:ascii="Calibri" w:eastAsia="Times New Roman" w:hAnsi="Calibri" w:cs="Times New Roman"/>
                <w:color w:val="000000"/>
                <w:szCs w:val="24"/>
                <w:lang w:eastAsia="pl-PL"/>
              </w:rPr>
              <w:br/>
              <w:t>Ad. 2. Kontrolowanie maszyn i urządzeń, usuwanie usterek, usuwanie wszelkich odpadów po zakończeniu prac budowlanych.</w:t>
            </w:r>
          </w:p>
        </w:tc>
      </w:tr>
      <w:tr w:rsidR="001563AE" w:rsidRPr="00020C09" w14:paraId="11DB7F67"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04C76D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077C3D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0D9FD4C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7B1FA4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3F3AE9A"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CB349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7508CE4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DDF47F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29D8F9C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B1008D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67DF2D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8DA9C2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15A4F01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39B62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5F1421D"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130085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000000" w:fill="FFFFFF"/>
            <w:hideMark/>
          </w:tcPr>
          <w:p w14:paraId="4ABC71C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A64E0E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bezpośrednie, chwilowe o charakterze lokalnym na etapie realizacji inwestycji związanych z kompleksowa modernizacją energetyczną budynków; budową i modernizacją systemów dostaw ciepła i gazu:</w:t>
            </w:r>
            <w:r w:rsidRPr="00020C09">
              <w:rPr>
                <w:rFonts w:ascii="Calibri" w:eastAsia="Times New Roman" w:hAnsi="Calibri" w:cs="Times New Roman"/>
                <w:color w:val="000000"/>
                <w:szCs w:val="24"/>
                <w:lang w:eastAsia="pl-PL"/>
              </w:rPr>
              <w:br/>
              <w:t>(1) emisja zanieczyszczeń ze spalania paliw w stosowanych w trakcie prac budowlano-remontowych maszyn i urządzeń budowlanych: SO2, NOx, CO2 podczas budowy; emisje związane z rozładunkiem i załadunkiem pojazdów:</w:t>
            </w:r>
          </w:p>
        </w:tc>
        <w:tc>
          <w:tcPr>
            <w:tcW w:w="1818" w:type="pct"/>
            <w:tcBorders>
              <w:top w:val="nil"/>
              <w:left w:val="nil"/>
              <w:bottom w:val="single" w:sz="4" w:space="0" w:color="auto"/>
              <w:right w:val="single" w:sz="4" w:space="0" w:color="auto"/>
            </w:tcBorders>
            <w:shd w:val="clear" w:color="000000" w:fill="FFFFFF"/>
            <w:hideMark/>
          </w:tcPr>
          <w:p w14:paraId="4B14544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Wyłączanie silników maszyn i urządzeń (w tym pojazdów samochodowych) w trakcie postoju</w:t>
            </w:r>
          </w:p>
        </w:tc>
      </w:tr>
      <w:tr w:rsidR="001563AE" w:rsidRPr="00020C09" w14:paraId="46F8D50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382401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6E12E8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bezpośrednie długoterminowe: (1) modernizacja energetyczna obiektów, w tym likwidacja indywidualnych źródeł ciepła oraz modernizacja sieci przyczyni się bezpośrednio do obniżenia emisji gazów cieplarnianych do atmosfery</w:t>
            </w:r>
          </w:p>
        </w:tc>
        <w:tc>
          <w:tcPr>
            <w:tcW w:w="1504" w:type="pct"/>
            <w:tcBorders>
              <w:top w:val="nil"/>
              <w:left w:val="nil"/>
              <w:bottom w:val="single" w:sz="4" w:space="0" w:color="auto"/>
              <w:right w:val="single" w:sz="4" w:space="0" w:color="auto"/>
            </w:tcBorders>
            <w:shd w:val="clear" w:color="000000" w:fill="FFFFFF"/>
            <w:hideMark/>
          </w:tcPr>
          <w:p w14:paraId="67C30D9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brak</w:t>
            </w:r>
          </w:p>
        </w:tc>
        <w:tc>
          <w:tcPr>
            <w:tcW w:w="1818" w:type="pct"/>
            <w:tcBorders>
              <w:top w:val="nil"/>
              <w:left w:val="nil"/>
              <w:bottom w:val="single" w:sz="4" w:space="0" w:color="auto"/>
              <w:right w:val="single" w:sz="4" w:space="0" w:color="auto"/>
            </w:tcBorders>
            <w:shd w:val="clear" w:color="000000" w:fill="FFFFFF"/>
            <w:noWrap/>
            <w:hideMark/>
          </w:tcPr>
          <w:p w14:paraId="40EC5EA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105BD96"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310967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3E699D9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4D05AF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surowce naturalne na etapie trwania budowy</w:t>
            </w:r>
          </w:p>
        </w:tc>
        <w:tc>
          <w:tcPr>
            <w:tcW w:w="1818" w:type="pct"/>
            <w:tcBorders>
              <w:top w:val="nil"/>
              <w:left w:val="nil"/>
              <w:bottom w:val="single" w:sz="4" w:space="0" w:color="auto"/>
              <w:right w:val="single" w:sz="4" w:space="0" w:color="auto"/>
            </w:tcBorders>
            <w:shd w:val="clear" w:color="000000" w:fill="FFFFFF"/>
            <w:hideMark/>
          </w:tcPr>
          <w:p w14:paraId="783E81C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Działania informacyjne, odpowiednie dysponowanie dostępnymi zasobami surowców naturalnych.</w:t>
            </w:r>
          </w:p>
        </w:tc>
      </w:tr>
      <w:tr w:rsidR="001563AE" w:rsidRPr="00020C09" w14:paraId="058CAB5D"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446D49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C55BDE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bezpośrednie: (1) zmniejszenie zapotrzebowania na surowce naturalne (2) spowolnienie procesu wyczerpywania się konwencjonalnych zasobów energii</w:t>
            </w:r>
          </w:p>
        </w:tc>
        <w:tc>
          <w:tcPr>
            <w:tcW w:w="1504" w:type="pct"/>
            <w:tcBorders>
              <w:top w:val="nil"/>
              <w:left w:val="nil"/>
              <w:bottom w:val="single" w:sz="4" w:space="0" w:color="auto"/>
              <w:right w:val="single" w:sz="4" w:space="0" w:color="auto"/>
            </w:tcBorders>
            <w:shd w:val="clear" w:color="000000" w:fill="FFFFFF"/>
            <w:hideMark/>
          </w:tcPr>
          <w:p w14:paraId="1063311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85F27F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94038B5"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0096BB9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31A7818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220BA3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3C94885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64FD342"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1FCC538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CADC28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Ograniczenie emisji zanieczyszczeń do środowiska przyczyni się do spowolnienia degradacji obiektów zabytkowych.</w:t>
            </w:r>
          </w:p>
        </w:tc>
        <w:tc>
          <w:tcPr>
            <w:tcW w:w="1504" w:type="pct"/>
            <w:tcBorders>
              <w:top w:val="nil"/>
              <w:left w:val="nil"/>
              <w:bottom w:val="single" w:sz="4" w:space="0" w:color="auto"/>
              <w:right w:val="single" w:sz="4" w:space="0" w:color="auto"/>
            </w:tcBorders>
            <w:shd w:val="clear" w:color="000000" w:fill="FFFFFF"/>
            <w:hideMark/>
          </w:tcPr>
          <w:p w14:paraId="310C966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AF1B8E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5072544F"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2F68542F"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(ii): Wspieranie energii odnawialnej zgodnie z dyrektywą (UE) 2018/2001, w tym określonymi w niej kryteriami zrównoważonego rozwoju</w:t>
            </w:r>
          </w:p>
        </w:tc>
      </w:tr>
      <w:tr w:rsidR="001563AE" w:rsidRPr="00020C09" w14:paraId="4F850E5E"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4D192E3E"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5A0FEEA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3043F069"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396AC144"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69EDD41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E84FC9F"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0EDC3CC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213553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r w:rsidRPr="00020C09">
              <w:rPr>
                <w:rFonts w:ascii="Calibri" w:eastAsia="Times New Roman" w:hAnsi="Calibri" w:cs="Times New Roman"/>
                <w:color w:val="000000"/>
                <w:szCs w:val="24"/>
                <w:lang w:eastAsia="pl-PL"/>
              </w:rPr>
              <w:b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2AB7D83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42EF81A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3EFA0EC"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AFD5AA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(1) Poprawa stanu środowiska, w tym zasobów przyrodniczych poprzez ograniczenie emisji zanieczyszczeń do środowiska </w:t>
            </w:r>
            <w:r w:rsidRPr="00020C09">
              <w:rPr>
                <w:rFonts w:ascii="Calibri" w:eastAsia="Times New Roman" w:hAnsi="Calibri" w:cs="Times New Roman"/>
                <w:color w:val="000000"/>
                <w:szCs w:val="24"/>
                <w:lang w:eastAsia="pl-PL"/>
              </w:rPr>
              <w:br/>
              <w:t>(2) kształtowanie postaw proekologicznych śród mieszkańców</w:t>
            </w:r>
          </w:p>
        </w:tc>
        <w:tc>
          <w:tcPr>
            <w:tcW w:w="1504" w:type="pct"/>
            <w:tcBorders>
              <w:top w:val="nil"/>
              <w:left w:val="nil"/>
              <w:bottom w:val="single" w:sz="4" w:space="0" w:color="auto"/>
              <w:right w:val="single" w:sz="4" w:space="0" w:color="auto"/>
            </w:tcBorders>
            <w:shd w:val="clear" w:color="000000" w:fill="FFFFFF"/>
            <w:hideMark/>
          </w:tcPr>
          <w:p w14:paraId="648B4EC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F59CBE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7AD4715"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94DDAB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3ACD037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60AA34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nadmierny hałas i wibracje w trakcie budowy inwestycji; </w:t>
            </w:r>
          </w:p>
          <w:p w14:paraId="4127AE3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(2) zanieczyszczenie oświetleniem w trakcie budowy inwestycji;</w:t>
            </w:r>
          </w:p>
          <w:p w14:paraId="2A536DB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 (3) emisja pyłów i zanieczyszczeń</w:t>
            </w:r>
          </w:p>
        </w:tc>
        <w:tc>
          <w:tcPr>
            <w:tcW w:w="1818" w:type="pct"/>
            <w:tcBorders>
              <w:top w:val="nil"/>
              <w:left w:val="single" w:sz="4" w:space="0" w:color="auto"/>
              <w:bottom w:val="single" w:sz="4" w:space="0" w:color="auto"/>
              <w:right w:val="single" w:sz="4" w:space="0" w:color="auto"/>
            </w:tcBorders>
            <w:shd w:val="clear" w:color="000000" w:fill="FFFFFF"/>
            <w:hideMark/>
          </w:tcPr>
          <w:p w14:paraId="5DA5CBD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Ad.1. Działania informacyjne i właściwa organizacji placów budowy; prowadzenie budowy z ograniczeniem uciążliwości dla mieszkańców (np. prowadzenie prac nie powodujących hałasu w porze nocnej, minimalizacja okresu wykonywania prac budowlanych). </w:t>
            </w:r>
          </w:p>
          <w:p w14:paraId="3C8AE62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Kontrolowanie maszyn i urządzeń, usuwanie usterek, usuwanie wszelkich odpadów po zakończeniu prac budowlanych.</w:t>
            </w:r>
          </w:p>
        </w:tc>
      </w:tr>
      <w:tr w:rsidR="001563AE" w:rsidRPr="00020C09" w14:paraId="5CB04B5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D8CB85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A888E8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poprawa jakości środowiska w związku ze zmniejszeniem emisji zanieczyszczeń</w:t>
            </w:r>
          </w:p>
        </w:tc>
        <w:tc>
          <w:tcPr>
            <w:tcW w:w="1504" w:type="pct"/>
            <w:tcBorders>
              <w:top w:val="single" w:sz="4" w:space="0" w:color="auto"/>
              <w:left w:val="nil"/>
              <w:bottom w:val="single" w:sz="4" w:space="0" w:color="auto"/>
              <w:right w:val="single" w:sz="4" w:space="0" w:color="auto"/>
            </w:tcBorders>
            <w:shd w:val="clear" w:color="000000" w:fill="FFFFFF"/>
            <w:hideMark/>
          </w:tcPr>
          <w:p w14:paraId="13D2038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single" w:sz="4" w:space="0" w:color="auto"/>
              <w:left w:val="single" w:sz="4" w:space="0" w:color="auto"/>
              <w:bottom w:val="single" w:sz="4" w:space="0" w:color="auto"/>
              <w:right w:val="single" w:sz="4" w:space="0" w:color="auto"/>
            </w:tcBorders>
            <w:hideMark/>
          </w:tcPr>
          <w:p w14:paraId="7ADF1ED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A15FD9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24846D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59D1887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566CC3C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odwodnienie wykopów; (2) ryzyko potencjalnej awarii maszyn lub urządzeń (np. przecieki paliw, olejów, smarów)</w:t>
            </w:r>
          </w:p>
        </w:tc>
        <w:tc>
          <w:tcPr>
            <w:tcW w:w="1818" w:type="pct"/>
            <w:tcBorders>
              <w:top w:val="nil"/>
              <w:left w:val="nil"/>
              <w:bottom w:val="single" w:sz="4" w:space="0" w:color="auto"/>
              <w:right w:val="single" w:sz="4" w:space="0" w:color="auto"/>
            </w:tcBorders>
            <w:shd w:val="clear" w:color="auto" w:fill="auto"/>
            <w:hideMark/>
          </w:tcPr>
          <w:p w14:paraId="259E6F0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Ad.1.-Ad.2. Wariantowanie lokalizacji inwestycji na etapie uzyskania niezbędnych pozwoleń; stosowanie technicznie sprawnego sprzętu; oddalenie maszyn i urządzeń od ewentualnych wód powierzchniowych; natychmiastowa utylizacja substancji w przypadku ich wylania; tankowanie pojazdów tylko w miejscach do tego wyznaczonych i odpowiednio zabezpieczonych (stacje paliw); wyłączenie maszyn i urządzeń podczas postoju; ograniczenie emisji pyłu związanej ze zdejmowaniem wierzchniej warstwy gleby i gruntu poprzez zwiększenie wilgotności ziemi (zraszanie); stosowanie wody technologicznej; stosowanie urządzeń podczyszczających lub zabezpieczających potencjalne przedostawanie się zanieczyszczeń na etapie budowy</w:t>
            </w:r>
          </w:p>
        </w:tc>
      </w:tr>
      <w:tr w:rsidR="001563AE" w:rsidRPr="00020C09" w14:paraId="79EA7D63"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8AE5D7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6444E01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ograniczenie ilości zanieczyszczeń emitowanych do środowiska; (2) ograniczone wprowadzania do wód zanieczyszczeń pyłowych (opad suchy) oraz zanieczyszczeń wprowadzanych wraz z wodami opadowymi (tzw. kwaśne opady), które powstają wskutek spalania konwencjonalnych paliw; (3) ograniczenie zmian stosunków wodnych; (4) ograniczenie ingerencji w przepływ wód gruntowych i podziemnych</w:t>
            </w:r>
          </w:p>
        </w:tc>
        <w:tc>
          <w:tcPr>
            <w:tcW w:w="1504" w:type="pct"/>
            <w:tcBorders>
              <w:top w:val="nil"/>
              <w:left w:val="nil"/>
              <w:bottom w:val="single" w:sz="4" w:space="0" w:color="auto"/>
              <w:right w:val="single" w:sz="4" w:space="0" w:color="auto"/>
            </w:tcBorders>
            <w:shd w:val="clear" w:color="auto" w:fill="auto"/>
            <w:hideMark/>
          </w:tcPr>
          <w:p w14:paraId="4154E8B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hideMark/>
          </w:tcPr>
          <w:p w14:paraId="71703D3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FB1089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3D9478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319B17E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25F0184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bezpośrednie, chwilowe o charakterze lokalnym na etapie realizacji inwestycji związanych z budową/ rozbudową instalacji OZE:</w:t>
            </w:r>
            <w:r w:rsidRPr="00020C09">
              <w:rPr>
                <w:rFonts w:ascii="Calibri" w:eastAsia="Times New Roman" w:hAnsi="Calibri" w:cs="Times New Roman"/>
                <w:color w:val="000000"/>
                <w:szCs w:val="24"/>
                <w:lang w:eastAsia="pl-PL"/>
              </w:rPr>
              <w:br/>
              <w:t>(1) emisja zanieczyszczeń pyłowych podczas budowy/ przebudowy/ modernizacji infrastruktury;</w:t>
            </w:r>
            <w:r w:rsidRPr="00020C09">
              <w:rPr>
                <w:rFonts w:ascii="Calibri" w:eastAsia="Times New Roman" w:hAnsi="Calibri" w:cs="Times New Roman"/>
                <w:color w:val="000000"/>
                <w:szCs w:val="24"/>
                <w:lang w:eastAsia="pl-PL"/>
              </w:rPr>
              <w:br/>
              <w:t>(2) emisja zanieczyszczeń ze spalania paliw w stosowanych w trakcie prac budowlano-remontowych maszyn i urządzeń budowlanych: SO2, NOx, CO2 podczas budowy; emisje związane z rozładunkiem i załadunkiem pojazdów</w:t>
            </w:r>
          </w:p>
        </w:tc>
        <w:tc>
          <w:tcPr>
            <w:tcW w:w="1818" w:type="pct"/>
            <w:tcBorders>
              <w:top w:val="nil"/>
              <w:left w:val="nil"/>
              <w:bottom w:val="single" w:sz="4" w:space="0" w:color="auto"/>
              <w:right w:val="single" w:sz="4" w:space="0" w:color="auto"/>
            </w:tcBorders>
            <w:shd w:val="clear" w:color="000000" w:fill="FFFFFF"/>
            <w:hideMark/>
          </w:tcPr>
          <w:p w14:paraId="06DF900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Zamiatanie drogi dojazdowej do miejsca / placu budowy na mokro, mycie i spłukiwanie drogi;</w:t>
            </w:r>
          </w:p>
          <w:p w14:paraId="49A5B755" w14:textId="77777777" w:rsidR="001E762B" w:rsidRPr="00020C09" w:rsidRDefault="001E762B" w:rsidP="00622DC9">
            <w:pPr>
              <w:pStyle w:val="Akapitzlist"/>
              <w:numPr>
                <w:ilvl w:val="0"/>
                <w:numId w:val="39"/>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mycie kół pojazdu przy wyjeździe z terenu budowy;</w:t>
            </w:r>
          </w:p>
          <w:p w14:paraId="757720B3" w14:textId="77777777" w:rsidR="001E762B" w:rsidRPr="00020C09" w:rsidRDefault="001E762B" w:rsidP="00622DC9">
            <w:pPr>
              <w:pStyle w:val="Akapitzlist"/>
              <w:numPr>
                <w:ilvl w:val="0"/>
                <w:numId w:val="39"/>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stosowanie kołnierzy i ekranów przeciwkurzowych (przeciwpyłowych) przy pracach demontażowych i rozbiórkowych;</w:t>
            </w:r>
          </w:p>
          <w:p w14:paraId="762E77A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Wyłączanie silników maszyn i urządzeń (w tym pojazdów samochodowych) w trakcie postoju</w:t>
            </w:r>
          </w:p>
        </w:tc>
      </w:tr>
      <w:tr w:rsidR="001563AE" w:rsidRPr="00020C09" w14:paraId="3C6B9965"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5A4BC8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4BE2C371" w14:textId="2F278D91"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bezpośrednie długoterminowe: (1) budowa i rozbudowa instalacji do produkcji energii z OZE przyczyni się bezpośrednio do obniżenia</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emisji zanieczyszczeń z sektora energetycznego</w:t>
            </w:r>
          </w:p>
        </w:tc>
        <w:tc>
          <w:tcPr>
            <w:tcW w:w="1504" w:type="pct"/>
            <w:tcBorders>
              <w:top w:val="nil"/>
              <w:left w:val="nil"/>
              <w:bottom w:val="single" w:sz="4" w:space="0" w:color="auto"/>
              <w:right w:val="single" w:sz="4" w:space="0" w:color="auto"/>
            </w:tcBorders>
            <w:shd w:val="clear" w:color="000000" w:fill="FFFFFF"/>
            <w:hideMark/>
          </w:tcPr>
          <w:p w14:paraId="5570ABE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E7EAAC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D50BAE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6E89B8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auto" w:fill="auto"/>
            <w:hideMark/>
          </w:tcPr>
          <w:p w14:paraId="24A22EE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CED3C1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naruszenie powierzchni ziemi, powstawanie odkładów ziemnych na etapie budowy instalacji,</w:t>
            </w:r>
            <w:r w:rsidRPr="00020C09">
              <w:rPr>
                <w:rFonts w:ascii="Calibri" w:eastAsia="Times New Roman" w:hAnsi="Calibri" w:cs="Times New Roman"/>
                <w:color w:val="000000"/>
                <w:szCs w:val="24"/>
                <w:lang w:eastAsia="pl-PL"/>
              </w:rPr>
              <w:br/>
              <w:t>(2) emisja zanieczyszczeń do gleby na etapie budowy.</w:t>
            </w:r>
          </w:p>
        </w:tc>
        <w:tc>
          <w:tcPr>
            <w:tcW w:w="1818" w:type="pct"/>
            <w:tcBorders>
              <w:top w:val="nil"/>
              <w:left w:val="nil"/>
              <w:bottom w:val="single" w:sz="4" w:space="0" w:color="auto"/>
              <w:right w:val="single" w:sz="4" w:space="0" w:color="auto"/>
            </w:tcBorders>
            <w:shd w:val="clear" w:color="000000" w:fill="FFFFFF"/>
            <w:hideMark/>
          </w:tcPr>
          <w:p w14:paraId="3427FE3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r w:rsidRPr="00020C09">
              <w:rPr>
                <w:rFonts w:ascii="Calibri" w:eastAsia="Times New Roman" w:hAnsi="Calibri" w:cs="Times New Roman"/>
                <w:color w:val="000000"/>
                <w:szCs w:val="24"/>
                <w:lang w:eastAsia="pl-PL"/>
              </w:rPr>
              <w:br/>
              <w:t>Ad.2. Kontrolowanie maszyn i urządzeń, usuwanie usterek, usuwanie wszelkich odpadów po zakończeniu prac budowlanych.</w:t>
            </w:r>
          </w:p>
        </w:tc>
      </w:tr>
      <w:tr w:rsidR="001563AE" w:rsidRPr="00020C09" w14:paraId="3C85A23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D1E325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A7DFCF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3E5E3C8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4045457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A02C16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DAD119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2388A02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B73D68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chaos przestrzenny</w:t>
            </w:r>
          </w:p>
        </w:tc>
        <w:tc>
          <w:tcPr>
            <w:tcW w:w="1818" w:type="pct"/>
            <w:tcBorders>
              <w:top w:val="nil"/>
              <w:left w:val="nil"/>
              <w:bottom w:val="single" w:sz="4" w:space="0" w:color="auto"/>
              <w:right w:val="single" w:sz="4" w:space="0" w:color="auto"/>
            </w:tcBorders>
            <w:shd w:val="clear" w:color="auto" w:fill="auto"/>
            <w:hideMark/>
          </w:tcPr>
          <w:p w14:paraId="35FA9A6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Utrzymywanie porządku podczas prac budowlanych</w:t>
            </w:r>
          </w:p>
        </w:tc>
      </w:tr>
      <w:tr w:rsidR="001563AE" w:rsidRPr="00020C09" w14:paraId="68D51BA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6C17D2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7EB35F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2582BED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hideMark/>
          </w:tcPr>
          <w:p w14:paraId="23E0241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C0597E6"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292062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000000" w:fill="FFFFFF"/>
            <w:hideMark/>
          </w:tcPr>
          <w:p w14:paraId="4703842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CF2830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bezpośrednie, chwilowe o charakterze lokalnym na etapie realizacji inwestycji związanych z budową/ rozbudową instalacji OZE:</w:t>
            </w:r>
            <w:r w:rsidRPr="00020C09">
              <w:rPr>
                <w:rFonts w:ascii="Calibri" w:eastAsia="Times New Roman" w:hAnsi="Calibri" w:cs="Times New Roman"/>
                <w:color w:val="000000"/>
                <w:szCs w:val="24"/>
                <w:lang w:eastAsia="pl-PL"/>
              </w:rPr>
              <w:br/>
              <w:t>(1) emisja zanieczyszczeń ze spalania paliw w stosowanych w trakcie prac budowlano-remontowych maszyn i urządzeń budowlanych: SO2, NOx, CO2 podczas budowy; emisje związane z rozładunkiem i załadunkiem pojazdów;</w:t>
            </w:r>
          </w:p>
        </w:tc>
        <w:tc>
          <w:tcPr>
            <w:tcW w:w="1818" w:type="pct"/>
            <w:tcBorders>
              <w:top w:val="nil"/>
              <w:left w:val="nil"/>
              <w:bottom w:val="single" w:sz="4" w:space="0" w:color="auto"/>
              <w:right w:val="single" w:sz="4" w:space="0" w:color="auto"/>
            </w:tcBorders>
            <w:shd w:val="clear" w:color="000000" w:fill="FFFFFF"/>
            <w:hideMark/>
          </w:tcPr>
          <w:p w14:paraId="2E9A2EE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Wyłączanie silników maszyn i urządzeń (w tym pojazdów samochodowych) w trakcie postoju</w:t>
            </w:r>
          </w:p>
        </w:tc>
      </w:tr>
      <w:tr w:rsidR="001563AE" w:rsidRPr="00020C09" w14:paraId="2C38B52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DA13FC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E196F0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bezpośrednie, długoterminowe: (1) promowanie i wdrażanie systemów energetycznych opartych na OZE przyczyni się bezpośrednio do obniżenia emisji gazów cieplarnianych do atmosfery</w:t>
            </w:r>
          </w:p>
        </w:tc>
        <w:tc>
          <w:tcPr>
            <w:tcW w:w="1504" w:type="pct"/>
            <w:tcBorders>
              <w:top w:val="nil"/>
              <w:left w:val="nil"/>
              <w:bottom w:val="single" w:sz="4" w:space="0" w:color="auto"/>
              <w:right w:val="single" w:sz="4" w:space="0" w:color="auto"/>
            </w:tcBorders>
            <w:shd w:val="clear" w:color="000000" w:fill="FFFFFF"/>
            <w:hideMark/>
          </w:tcPr>
          <w:p w14:paraId="50C4DA9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2B02F9D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15DA4B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6899A0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37E65BE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1B61701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surowce naturalne na etapie trwania budowy</w:t>
            </w:r>
          </w:p>
        </w:tc>
        <w:tc>
          <w:tcPr>
            <w:tcW w:w="1818" w:type="pct"/>
            <w:tcBorders>
              <w:top w:val="nil"/>
              <w:left w:val="nil"/>
              <w:bottom w:val="single" w:sz="4" w:space="0" w:color="auto"/>
              <w:right w:val="single" w:sz="4" w:space="0" w:color="auto"/>
            </w:tcBorders>
            <w:shd w:val="clear" w:color="000000" w:fill="FFFFFF"/>
            <w:hideMark/>
          </w:tcPr>
          <w:p w14:paraId="0415BF6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Działania informacyjne, odpowiednie dysponowanie dostępnymi zasobami surowców naturalnych.</w:t>
            </w:r>
          </w:p>
        </w:tc>
      </w:tr>
      <w:tr w:rsidR="001563AE" w:rsidRPr="00020C09" w14:paraId="621E8BDD"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08504C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A16242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bezpośrednie: (1) zmniejszenie zapotrzebowania na surowce naturalne (2) spowolnienie procesu wyczerpywania się konwencjonalnych zasobów energii</w:t>
            </w:r>
          </w:p>
        </w:tc>
        <w:tc>
          <w:tcPr>
            <w:tcW w:w="1504" w:type="pct"/>
            <w:tcBorders>
              <w:top w:val="nil"/>
              <w:left w:val="nil"/>
              <w:bottom w:val="single" w:sz="4" w:space="0" w:color="auto"/>
              <w:right w:val="single" w:sz="4" w:space="0" w:color="auto"/>
            </w:tcBorders>
            <w:shd w:val="clear" w:color="000000" w:fill="FFFFFF"/>
            <w:hideMark/>
          </w:tcPr>
          <w:p w14:paraId="1E75094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0AF1322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D758045"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48E87AD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19BE91D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EED638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3410395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5A96F25"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4FC6CEF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8FE321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Ograniczenie emisji zanieczyszczeń do środowiska przyczyni się do spowolnienia degradacji obiektów zabytkowych.</w:t>
            </w:r>
          </w:p>
        </w:tc>
        <w:tc>
          <w:tcPr>
            <w:tcW w:w="1504" w:type="pct"/>
            <w:tcBorders>
              <w:top w:val="nil"/>
              <w:left w:val="nil"/>
              <w:bottom w:val="single" w:sz="4" w:space="0" w:color="auto"/>
              <w:right w:val="single" w:sz="4" w:space="0" w:color="auto"/>
            </w:tcBorders>
            <w:shd w:val="clear" w:color="000000" w:fill="FFFFFF"/>
            <w:hideMark/>
          </w:tcPr>
          <w:p w14:paraId="6AD4992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905917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68491699"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3019C937"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(iv): Wspieranie przystosowania się do zmian klimatu i zapobiegania ryzyku związanemu z klęskami żywiołowymi i katastrofami, a także odporności, z uwzględnieniem podejścia ekosystemowego</w:t>
            </w:r>
          </w:p>
        </w:tc>
      </w:tr>
      <w:tr w:rsidR="001563AE" w:rsidRPr="00020C09" w14:paraId="09CA2A30"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56F4E0B2"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0B5CE2D6"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0576DAE0"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3BB78084"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0E05977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BC12BEF"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2CBF480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13A93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r w:rsidRPr="00020C09">
              <w:rPr>
                <w:rFonts w:ascii="Calibri" w:eastAsia="Times New Roman" w:hAnsi="Calibri" w:cs="Times New Roman"/>
                <w:color w:val="000000"/>
                <w:szCs w:val="24"/>
                <w:lang w:eastAsia="pl-PL"/>
              </w:rPr>
              <w:b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7F30CBC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1FDF7787"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7905686"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753FF3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dostosowanie do zmian klimatycznych z poszanowaniem środowiska, zwłaszcza ekosystemów wodnych oraz różnorodności biologicznej</w:t>
            </w:r>
            <w:r w:rsidRPr="00020C09">
              <w:rPr>
                <w:rFonts w:ascii="Calibri" w:eastAsia="Times New Roman" w:hAnsi="Calibri" w:cs="Times New Roman"/>
                <w:color w:val="000000"/>
                <w:szCs w:val="24"/>
                <w:lang w:eastAsia="pl-PL"/>
              </w:rPr>
              <w:br/>
              <w:t>(2) zapobieganie zubażaniu różnorodności biologicznej poprzez tworzenie nowych terenów zielonych ( zadrzewienia, parki kieszonkowe i parki miejskie, skwery) - kreowanie nowych siedlisk, przywracanie naturalnych warunków siedliskowych</w:t>
            </w:r>
            <w:r w:rsidRPr="00020C09">
              <w:rPr>
                <w:rFonts w:ascii="Calibri" w:eastAsia="Times New Roman" w:hAnsi="Calibri" w:cs="Times New Roman"/>
                <w:color w:val="000000"/>
                <w:szCs w:val="24"/>
                <w:lang w:eastAsia="pl-PL"/>
              </w:rPr>
              <w:br/>
              <w:t>(3) ochrona i odtworzenie naturalnych lub seminaturalnych ekosystemów retencjonujących wodę (np. torfowiska, tereny podmokłe, stawy, starorzecza)</w:t>
            </w:r>
            <w:r w:rsidRPr="00020C09">
              <w:rPr>
                <w:rFonts w:ascii="Calibri" w:eastAsia="Times New Roman" w:hAnsi="Calibri" w:cs="Times New Roman"/>
                <w:color w:val="000000"/>
                <w:szCs w:val="24"/>
                <w:lang w:eastAsia="pl-PL"/>
              </w:rPr>
              <w:br/>
              <w:t>(4) wzrost świadomości ekologicznej, kształtowanie postaw proekologicznych wśród mieszkańców</w:t>
            </w:r>
          </w:p>
        </w:tc>
        <w:tc>
          <w:tcPr>
            <w:tcW w:w="1504" w:type="pct"/>
            <w:tcBorders>
              <w:top w:val="nil"/>
              <w:left w:val="nil"/>
              <w:bottom w:val="single" w:sz="4" w:space="0" w:color="auto"/>
              <w:right w:val="single" w:sz="4" w:space="0" w:color="auto"/>
            </w:tcBorders>
            <w:shd w:val="clear" w:color="000000" w:fill="FFFFFF"/>
            <w:hideMark/>
          </w:tcPr>
          <w:p w14:paraId="7C71AA3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2F9C727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60464A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AF9300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24B4B9B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44653C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nadmierny hałas i wibracje w trakcie budowy inwestycji; </w:t>
            </w:r>
          </w:p>
          <w:p w14:paraId="590934D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(2) zanieczyszczenie oświetleniem w trakcie budowy inwestycji; </w:t>
            </w:r>
          </w:p>
          <w:p w14:paraId="513CE86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(3) emisja pyłów i zanieczyszczeń</w:t>
            </w:r>
          </w:p>
        </w:tc>
        <w:tc>
          <w:tcPr>
            <w:tcW w:w="1818" w:type="pct"/>
            <w:tcBorders>
              <w:top w:val="nil"/>
              <w:left w:val="nil"/>
              <w:bottom w:val="single" w:sz="4" w:space="0" w:color="auto"/>
              <w:right w:val="single" w:sz="4" w:space="0" w:color="auto"/>
            </w:tcBorders>
            <w:shd w:val="clear" w:color="000000" w:fill="FFFFFF"/>
            <w:hideMark/>
          </w:tcPr>
          <w:p w14:paraId="28ABCDF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Ad.1. Działania informacyjne i właściwa organizacji placów budowy; prowadzenie budowy z ograniczeniem uciążliwości dla mieszkańców (np. prowadzenie prac nie powodujących hałasu w porze nocnej, minimalizacja okresu wykonywania prac budowlanych). </w:t>
            </w:r>
          </w:p>
          <w:p w14:paraId="620A73A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 2. Kontrolowanie maszyn i urządzeń, usuwanie usterek, usuwanie wszelkich odpadów po zakończeniu prac budowlanych.</w:t>
            </w:r>
          </w:p>
        </w:tc>
      </w:tr>
      <w:tr w:rsidR="001563AE" w:rsidRPr="00020C09" w14:paraId="0A592837"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195317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3980FF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zwiększenie świadomości w zakresie zmian klimatycznych; (2) zwiększenie odporności na negatywne skutki zmian klimatu (skuteczniejsza pomoc w sytuacjach wystąpienia zjawisk katastrofalnych)</w:t>
            </w:r>
          </w:p>
        </w:tc>
        <w:tc>
          <w:tcPr>
            <w:tcW w:w="1504" w:type="pct"/>
            <w:tcBorders>
              <w:top w:val="nil"/>
              <w:left w:val="nil"/>
              <w:bottom w:val="single" w:sz="4" w:space="0" w:color="auto"/>
              <w:right w:val="single" w:sz="4" w:space="0" w:color="auto"/>
            </w:tcBorders>
            <w:shd w:val="clear" w:color="000000" w:fill="FFFFFF"/>
            <w:hideMark/>
          </w:tcPr>
          <w:p w14:paraId="3BA9D0E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CC0C52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AD69F65"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96889F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5A80B2B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16554AB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emisja zanieczyszczeń pyłowych i spalinowych w trakcie prac budowlanych</w:t>
            </w:r>
          </w:p>
        </w:tc>
        <w:tc>
          <w:tcPr>
            <w:tcW w:w="1818" w:type="pct"/>
            <w:tcBorders>
              <w:top w:val="nil"/>
              <w:left w:val="nil"/>
              <w:bottom w:val="single" w:sz="4" w:space="0" w:color="auto"/>
              <w:right w:val="single" w:sz="4" w:space="0" w:color="auto"/>
            </w:tcBorders>
            <w:shd w:val="clear" w:color="auto" w:fill="auto"/>
            <w:hideMark/>
          </w:tcPr>
          <w:p w14:paraId="611EEF7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Stosowanie urządzeń podczyszczających lub zabezpieczających potencjalne przedostawanie się zanieczyszczeń na etapie budowy; zabezpieczenie budowy przed potencjalnym spływem zanieczyszczeń do wód powierzchniowych (plac budowy lub miejsce postoju maszyn oddalone od koryt cieków); przekazywanie ścieków wytworzonych na etapie realizacji podmiotom posiadającym uprawnienia do unieszkodliwiania; tankowanie maszyn w miejscach do tego wyznaczonych; stosowanie sprawnego technicznie sprzętu</w:t>
            </w:r>
          </w:p>
        </w:tc>
      </w:tr>
      <w:tr w:rsidR="001563AE" w:rsidRPr="00020C09" w14:paraId="528273CD"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6ADD1B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255416C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poprawa lokalnego bilansu wodnego; (2) opóźnienie lub zmniejszenie odpływu wody ze zlewni; (3) niwelacja skutków suszy; (4) kształtowanie zasobów wodnych; (5) wzrost dostępności wody dla roślin i zwierząt; (6) wzrost świadomości mieszkańców w zakresie zmian klimatu i ochrony zasobów wodnych; (7) minimalizacja skutków wystąpienia ekstremalnych zjawisk hydrologiczno-meteorologicznych</w:t>
            </w:r>
          </w:p>
        </w:tc>
        <w:tc>
          <w:tcPr>
            <w:tcW w:w="1504" w:type="pct"/>
            <w:tcBorders>
              <w:top w:val="nil"/>
              <w:left w:val="nil"/>
              <w:bottom w:val="single" w:sz="4" w:space="0" w:color="auto"/>
              <w:right w:val="single" w:sz="4" w:space="0" w:color="auto"/>
            </w:tcBorders>
            <w:shd w:val="clear" w:color="auto" w:fill="auto"/>
            <w:hideMark/>
          </w:tcPr>
          <w:p w14:paraId="25FB99D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hideMark/>
          </w:tcPr>
          <w:p w14:paraId="40492E4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A6F50F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1A156E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000000" w:fill="FFFFFF"/>
            <w:hideMark/>
          </w:tcPr>
          <w:p w14:paraId="559027D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1656805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bezpośrednie, chwilowe o charakterze lokalnym na etapie realizacji inwestycji związanych z pracami budowlanymi i adaptacyjnymi służącymi dostosowaniu infrastruktury do ekstremalnych zjawisk pogodowych: </w:t>
            </w:r>
            <w:r w:rsidRPr="00020C09">
              <w:rPr>
                <w:rFonts w:ascii="Calibri" w:eastAsia="Times New Roman" w:hAnsi="Calibri" w:cs="Times New Roman"/>
                <w:color w:val="000000"/>
                <w:szCs w:val="24"/>
                <w:lang w:eastAsia="pl-PL"/>
              </w:rPr>
              <w:br/>
              <w:t xml:space="preserve">(1) emisja zanieczyszczeń pyłowych i spalinowych w trakcie prac </w:t>
            </w:r>
          </w:p>
        </w:tc>
        <w:tc>
          <w:tcPr>
            <w:tcW w:w="1818" w:type="pct"/>
            <w:tcBorders>
              <w:top w:val="nil"/>
              <w:left w:val="nil"/>
              <w:bottom w:val="single" w:sz="4" w:space="0" w:color="auto"/>
              <w:right w:val="single" w:sz="4" w:space="0" w:color="auto"/>
            </w:tcBorders>
            <w:shd w:val="clear" w:color="000000" w:fill="FFFFFF"/>
            <w:hideMark/>
          </w:tcPr>
          <w:p w14:paraId="0F86336B" w14:textId="044DB873"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Wyłączanie silników maszyn i urządzeń (w tym pojazdów samochodowych) w trakcie postoju;</w:t>
            </w:r>
            <w:r w:rsidRPr="00020C09">
              <w:rPr>
                <w:rFonts w:ascii="Calibri" w:eastAsia="Times New Roman" w:hAnsi="Calibri" w:cs="Times New Roman"/>
                <w:color w:val="000000"/>
                <w:szCs w:val="24"/>
                <w:lang w:eastAsia="pl-PL"/>
              </w:rPr>
              <w:br/>
              <w:t>- spłukiwanie dróg i ulic dojazdowych do placu</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lub miejsca budowy;</w:t>
            </w:r>
          </w:p>
        </w:tc>
      </w:tr>
      <w:tr w:rsidR="001563AE" w:rsidRPr="00020C09" w14:paraId="34043B5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B82A77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E5F6AD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1D93193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2F3C368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B8F8C54"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166880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757E1AB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ochrona zasobów gleb </w:t>
            </w:r>
          </w:p>
        </w:tc>
        <w:tc>
          <w:tcPr>
            <w:tcW w:w="1504" w:type="pct"/>
            <w:tcBorders>
              <w:top w:val="nil"/>
              <w:left w:val="nil"/>
              <w:bottom w:val="single" w:sz="4" w:space="0" w:color="auto"/>
              <w:right w:val="single" w:sz="4" w:space="0" w:color="auto"/>
            </w:tcBorders>
            <w:shd w:val="clear" w:color="000000" w:fill="FFFFFF"/>
            <w:hideMark/>
          </w:tcPr>
          <w:p w14:paraId="01D3969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2D456DB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D98A92D"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D076AD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09AFC1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kształtowane będą prośrodowiskowe postawy społeczne</w:t>
            </w:r>
          </w:p>
        </w:tc>
        <w:tc>
          <w:tcPr>
            <w:tcW w:w="1504" w:type="pct"/>
            <w:tcBorders>
              <w:top w:val="nil"/>
              <w:left w:val="nil"/>
              <w:bottom w:val="single" w:sz="4" w:space="0" w:color="auto"/>
              <w:right w:val="single" w:sz="4" w:space="0" w:color="auto"/>
            </w:tcBorders>
            <w:shd w:val="clear" w:color="000000" w:fill="FFFFFF"/>
            <w:hideMark/>
          </w:tcPr>
          <w:p w14:paraId="24C608D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5C4D53E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19FBA9A"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49ED82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5CD7EBF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6285719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chaos przestrzenny</w:t>
            </w:r>
          </w:p>
        </w:tc>
        <w:tc>
          <w:tcPr>
            <w:tcW w:w="1818" w:type="pct"/>
            <w:tcBorders>
              <w:top w:val="nil"/>
              <w:left w:val="nil"/>
              <w:bottom w:val="single" w:sz="4" w:space="0" w:color="auto"/>
              <w:right w:val="single" w:sz="4" w:space="0" w:color="auto"/>
            </w:tcBorders>
            <w:shd w:val="clear" w:color="auto" w:fill="auto"/>
            <w:hideMark/>
          </w:tcPr>
          <w:p w14:paraId="3462E95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Utrzymywanie porządku podczas prac budowlanych</w:t>
            </w:r>
          </w:p>
        </w:tc>
      </w:tr>
      <w:tr w:rsidR="001563AE" w:rsidRPr="00020C09" w14:paraId="07464C2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7C67EA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4F5F5A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estetyzacja istniejących budynków; (2) zwiększenie świadomości w zakresie zmian klimatycznych i wrażliwości na krajobraz</w:t>
            </w:r>
          </w:p>
        </w:tc>
        <w:tc>
          <w:tcPr>
            <w:tcW w:w="1504" w:type="pct"/>
            <w:tcBorders>
              <w:top w:val="nil"/>
              <w:left w:val="nil"/>
              <w:bottom w:val="single" w:sz="4" w:space="0" w:color="auto"/>
              <w:right w:val="single" w:sz="4" w:space="0" w:color="auto"/>
            </w:tcBorders>
            <w:shd w:val="clear" w:color="000000" w:fill="FFFFFF"/>
            <w:hideMark/>
          </w:tcPr>
          <w:p w14:paraId="3ADD126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4E17EF5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C7BC39D"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EE442B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05DF67E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6A2D0F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bezpośrednie, chwilowe o charakterze lokalnym na etapie realizacji inwestycji związanych z pracami budowlanymi i adaptacyjnymi służącymi dostosowaniu infrastruktury do ekstremalnych zjawisk pogodowych:</w:t>
            </w:r>
            <w:r w:rsidRPr="00020C09">
              <w:rPr>
                <w:rFonts w:ascii="Calibri" w:eastAsia="Times New Roman" w:hAnsi="Calibri" w:cs="Times New Roman"/>
                <w:color w:val="000000"/>
                <w:szCs w:val="24"/>
                <w:lang w:eastAsia="pl-PL"/>
              </w:rPr>
              <w:br/>
              <w:t>(1) emisja zanieczyszczeń ze spalania paliw w stosowanych w trakcie prac budowlano-remontowych maszyn i urządzeń budowlanych: SO2, NOx, CO2 podczas budowy; emisje związane z rozładunkiem i załadunkiem pojazdów</w:t>
            </w:r>
          </w:p>
        </w:tc>
        <w:tc>
          <w:tcPr>
            <w:tcW w:w="1818" w:type="pct"/>
            <w:tcBorders>
              <w:top w:val="nil"/>
              <w:left w:val="nil"/>
              <w:bottom w:val="single" w:sz="4" w:space="0" w:color="auto"/>
              <w:right w:val="single" w:sz="4" w:space="0" w:color="auto"/>
            </w:tcBorders>
            <w:shd w:val="clear" w:color="000000" w:fill="FFFFFF"/>
            <w:hideMark/>
          </w:tcPr>
          <w:p w14:paraId="0F37030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Wyłączanie silników maszyn i urządzeń (w tym pojazdów samochodowych) w trakcie postoju</w:t>
            </w:r>
          </w:p>
        </w:tc>
      </w:tr>
      <w:tr w:rsidR="001563AE" w:rsidRPr="00020C09" w14:paraId="48D9FFDD"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30C2DF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54CEF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bezpośrednie długoterminowe: (1) działania związane z adaptacją infrastruktury do ekstremalnych zjawisk pogodowych przyczyni się do łagodzenia skutków związanych z ich występowaniem na terenie woj. Zachodniopomorskiego</w:t>
            </w:r>
          </w:p>
        </w:tc>
        <w:tc>
          <w:tcPr>
            <w:tcW w:w="1504" w:type="pct"/>
            <w:tcBorders>
              <w:top w:val="nil"/>
              <w:left w:val="nil"/>
              <w:bottom w:val="single" w:sz="4" w:space="0" w:color="auto"/>
              <w:right w:val="single" w:sz="4" w:space="0" w:color="auto"/>
            </w:tcBorders>
            <w:shd w:val="clear" w:color="000000" w:fill="FFFFFF"/>
            <w:hideMark/>
          </w:tcPr>
          <w:p w14:paraId="337E322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0B57F83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BD3983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E39AFB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361768B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K:nie zidentyfikowano</w:t>
            </w:r>
          </w:p>
        </w:tc>
        <w:tc>
          <w:tcPr>
            <w:tcW w:w="1504" w:type="pct"/>
            <w:tcBorders>
              <w:top w:val="nil"/>
              <w:left w:val="nil"/>
              <w:bottom w:val="single" w:sz="4" w:space="0" w:color="auto"/>
              <w:right w:val="single" w:sz="4" w:space="0" w:color="auto"/>
            </w:tcBorders>
            <w:shd w:val="clear" w:color="000000" w:fill="FFFFFF"/>
            <w:hideMark/>
          </w:tcPr>
          <w:p w14:paraId="3B19B90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64DB4AD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6E666F7"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F82411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308703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D:nie zidentyfikowano</w:t>
            </w:r>
          </w:p>
        </w:tc>
        <w:tc>
          <w:tcPr>
            <w:tcW w:w="1504" w:type="pct"/>
            <w:tcBorders>
              <w:top w:val="nil"/>
              <w:left w:val="nil"/>
              <w:bottom w:val="single" w:sz="4" w:space="0" w:color="auto"/>
              <w:right w:val="single" w:sz="4" w:space="0" w:color="auto"/>
            </w:tcBorders>
            <w:shd w:val="clear" w:color="000000" w:fill="FFFFFF"/>
            <w:hideMark/>
          </w:tcPr>
          <w:p w14:paraId="45C5CBC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5027EE1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1122C8F"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7008CD7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1CBE85B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41C047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hałas i wibracje w trakcie budowy inwestycji</w:t>
            </w:r>
          </w:p>
        </w:tc>
        <w:tc>
          <w:tcPr>
            <w:tcW w:w="1818" w:type="pct"/>
            <w:tcBorders>
              <w:top w:val="nil"/>
              <w:left w:val="nil"/>
              <w:bottom w:val="single" w:sz="4" w:space="0" w:color="auto"/>
              <w:right w:val="single" w:sz="4" w:space="0" w:color="auto"/>
            </w:tcBorders>
            <w:shd w:val="clear" w:color="auto" w:fill="auto"/>
            <w:noWrap/>
            <w:hideMark/>
          </w:tcPr>
          <w:p w14:paraId="51E3F3F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zgodnie z zaleceniami wojewódzkiego konserwatora zabytków</w:t>
            </w:r>
          </w:p>
        </w:tc>
      </w:tr>
      <w:tr w:rsidR="001563AE" w:rsidRPr="00020C09" w14:paraId="2DF6F3DA"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214432C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05CEB6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poprawa bezpieczeństwa powodziowego</w:t>
            </w:r>
          </w:p>
        </w:tc>
        <w:tc>
          <w:tcPr>
            <w:tcW w:w="1504" w:type="pct"/>
            <w:tcBorders>
              <w:top w:val="nil"/>
              <w:left w:val="nil"/>
              <w:bottom w:val="single" w:sz="4" w:space="0" w:color="auto"/>
              <w:right w:val="single" w:sz="4" w:space="0" w:color="auto"/>
            </w:tcBorders>
            <w:shd w:val="clear" w:color="000000" w:fill="FFFFFF"/>
            <w:hideMark/>
          </w:tcPr>
          <w:p w14:paraId="17C0034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3C4B408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6F1D63E8"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75F5BB3F"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(v): Wspieranie dostępu do wody oraz zrównoważonej gospodarki wodnej</w:t>
            </w:r>
          </w:p>
        </w:tc>
      </w:tr>
      <w:tr w:rsidR="001563AE" w:rsidRPr="00020C09" w14:paraId="71AE2177"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558EBD95"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600BD22C"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408AC20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2642F498"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032ED34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046BF8D"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752F5EA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54F5C7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r w:rsidRPr="00020C09">
              <w:rPr>
                <w:rFonts w:ascii="Calibri" w:eastAsia="Times New Roman" w:hAnsi="Calibri" w:cs="Times New Roman"/>
                <w:color w:val="000000"/>
                <w:szCs w:val="24"/>
                <w:lang w:eastAsia="pl-PL"/>
              </w:rPr>
              <w:b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409A86B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3349D75B"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66C187F"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BF4817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pośrednie pozytywne oddziaływanie na zasoby bioróżnorodności w szczególności siedliska wodne i wodozależne poprzez ograniczenie zanieczyszczenia wód</w:t>
            </w:r>
          </w:p>
        </w:tc>
        <w:tc>
          <w:tcPr>
            <w:tcW w:w="1504" w:type="pct"/>
            <w:tcBorders>
              <w:top w:val="nil"/>
              <w:left w:val="nil"/>
              <w:bottom w:val="single" w:sz="4" w:space="0" w:color="auto"/>
              <w:right w:val="single" w:sz="4" w:space="0" w:color="auto"/>
            </w:tcBorders>
            <w:shd w:val="clear" w:color="000000" w:fill="FFFFFF"/>
            <w:hideMark/>
          </w:tcPr>
          <w:p w14:paraId="1E17FEC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zajęcie areału pod inwestycję, zniszczenie/przeobrażenia siedlisk przyrodniczych</w:t>
            </w:r>
          </w:p>
        </w:tc>
        <w:tc>
          <w:tcPr>
            <w:tcW w:w="1818" w:type="pct"/>
            <w:tcBorders>
              <w:top w:val="nil"/>
              <w:left w:val="nil"/>
              <w:bottom w:val="single" w:sz="4" w:space="0" w:color="auto"/>
              <w:right w:val="single" w:sz="4" w:space="0" w:color="auto"/>
            </w:tcBorders>
            <w:shd w:val="clear" w:color="000000" w:fill="FFFFFF"/>
            <w:hideMark/>
          </w:tcPr>
          <w:p w14:paraId="19963A5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Ad.1. Ograniczenie zajęcia terenu pod inwestycję, stosowanie dobrych praktyk w zakresie ochrony środowiska podczas realizacji </w:t>
            </w:r>
            <w:r w:rsidRPr="00020C09">
              <w:rPr>
                <w:rFonts w:ascii="Calibri" w:eastAsia="Times New Roman" w:hAnsi="Calibri" w:cs="Times New Roman"/>
                <w:color w:val="000000" w:themeColor="text1"/>
                <w:szCs w:val="24"/>
                <w:lang w:eastAsia="pl-PL"/>
              </w:rPr>
              <w:t>inwestycji, inwentaryzacja przyrodnicza przeprowadzona w okresie umożliwiającym identyfikację występujących na terenie gatunków roślin i zwierząt oraz wystarczającym do oceny znaczenia tego obszaru dla bioróżnorodności i chronionych gatunków</w:t>
            </w:r>
          </w:p>
        </w:tc>
      </w:tr>
      <w:tr w:rsidR="001563AE" w:rsidRPr="00020C09" w14:paraId="62FCB21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2D7822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10A989B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315AA2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nadmierny hałas i wibracje w trakcie budowy inwestycji; (2) zanieczyszczenie oświetleniem w trakcie budowy inwestycji; (3) emisja pyłów i zanieczyszczeń</w:t>
            </w:r>
          </w:p>
        </w:tc>
        <w:tc>
          <w:tcPr>
            <w:tcW w:w="1818" w:type="pct"/>
            <w:tcBorders>
              <w:top w:val="nil"/>
              <w:left w:val="nil"/>
              <w:bottom w:val="single" w:sz="4" w:space="0" w:color="auto"/>
              <w:right w:val="single" w:sz="4" w:space="0" w:color="auto"/>
            </w:tcBorders>
            <w:shd w:val="clear" w:color="000000" w:fill="FFFFFF"/>
            <w:hideMark/>
          </w:tcPr>
          <w:p w14:paraId="012E084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Ad.1. Działania informacyjne i właściwa organizacji placów budowy; prowadzenie budowy z ograniczeniem uciążliwości dla mieszkańców (np. prowadzenie prac nie powodujących hałasu w porze nocnej, minimalizacja okresu wykonywania prac budowlanych). </w:t>
            </w:r>
          </w:p>
          <w:p w14:paraId="5E00E27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 2. Kontrolowanie maszyn i urządzeń, usuwanie usterek, usuwanie wszelkich odpadów po zakończeniu prac budowlanych.</w:t>
            </w:r>
          </w:p>
        </w:tc>
      </w:tr>
      <w:tr w:rsidR="001563AE" w:rsidRPr="00020C09" w14:paraId="04C5CDD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3481C6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07585C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zwiększenie odsetku ludności, korzystającej z systemu oczyszczania ścieków; (2) poprawa jakości wody zdatnej do spożycia</w:t>
            </w:r>
          </w:p>
        </w:tc>
        <w:tc>
          <w:tcPr>
            <w:tcW w:w="1504" w:type="pct"/>
            <w:tcBorders>
              <w:top w:val="nil"/>
              <w:left w:val="nil"/>
              <w:bottom w:val="single" w:sz="4" w:space="0" w:color="auto"/>
              <w:right w:val="single" w:sz="4" w:space="0" w:color="auto"/>
            </w:tcBorders>
            <w:shd w:val="clear" w:color="000000" w:fill="FFFFFF"/>
            <w:hideMark/>
          </w:tcPr>
          <w:p w14:paraId="479A53F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6945D2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5AA30F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376D8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7153B2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32E52E0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odwodnienie terenu (rowy melioracyjne, wykopy) na etapie realizacji inwestycji; (2) zwiększony ruch pojazdów ciężarowych i ciężkiego sprzętu na etapie realizacji inwestycji</w:t>
            </w:r>
          </w:p>
        </w:tc>
        <w:tc>
          <w:tcPr>
            <w:tcW w:w="1818" w:type="pct"/>
            <w:tcBorders>
              <w:top w:val="nil"/>
              <w:left w:val="nil"/>
              <w:bottom w:val="single" w:sz="4" w:space="0" w:color="auto"/>
              <w:right w:val="single" w:sz="4" w:space="0" w:color="auto"/>
            </w:tcBorders>
            <w:shd w:val="clear" w:color="auto" w:fill="auto"/>
            <w:hideMark/>
          </w:tcPr>
          <w:p w14:paraId="1D2453A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Ad.1.-Ad.2. Stosowanie urządzeń podczyszczających lub zabezpieczających potencjalne przedostawanie się zanieczyszczeń na etapie budowy; zabezpieczenie budowy przed potencjalnym spływem zanieczyszczeń do wód powierzchniowych (plac budowy lub miejsce postoju maszyn oddalone od koryt cieków); przekazywanie ścieków wytworzonych na etapie realizacji podmiotom posiadającym uprawnienia do unieszkodliwiania; tankowanie maszyn w miejscach do tego wyznaczonych; stosowanie sprawnego technicznie sprzętu</w:t>
            </w:r>
          </w:p>
        </w:tc>
      </w:tr>
      <w:tr w:rsidR="001563AE" w:rsidRPr="00020C09" w14:paraId="4A8AE79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D24706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39F8297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ograniczenie zużycia zasobów wodnych; (2) ograniczenie ryzyka przedostawania się zanieczyszczeń na terenach nieposiadających systemów kanalizacyjnych; (3) zwiększenie odsetka ludności korzystającej z systemu oczyszczania ścieków; (4) zmniejszenie strat wody na sieciach wodociągowych; (5) zmniejszenie awaryjności sieci wodociągowych; (6) zapewnienie ciągłości dostaw wody pitnej dla mieszkańców; (7) obniżenie emisji ładunków zanieczyszczeń do ekosystemów wodnych</w:t>
            </w:r>
          </w:p>
        </w:tc>
        <w:tc>
          <w:tcPr>
            <w:tcW w:w="1504" w:type="pct"/>
            <w:tcBorders>
              <w:top w:val="nil"/>
              <w:left w:val="nil"/>
              <w:bottom w:val="single" w:sz="4" w:space="0" w:color="auto"/>
              <w:right w:val="single" w:sz="4" w:space="0" w:color="auto"/>
            </w:tcBorders>
            <w:shd w:val="clear" w:color="auto" w:fill="auto"/>
            <w:hideMark/>
          </w:tcPr>
          <w:p w14:paraId="005C31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hideMark/>
          </w:tcPr>
          <w:p w14:paraId="6BDAF8E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0FCECA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DE487D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000000" w:fill="FFFFFF"/>
            <w:hideMark/>
          </w:tcPr>
          <w:p w14:paraId="533B3A9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działanie będzie miało charakter neutralny</w:t>
            </w:r>
          </w:p>
        </w:tc>
        <w:tc>
          <w:tcPr>
            <w:tcW w:w="1504" w:type="pct"/>
            <w:tcBorders>
              <w:top w:val="nil"/>
              <w:left w:val="nil"/>
              <w:bottom w:val="single" w:sz="4" w:space="0" w:color="auto"/>
              <w:right w:val="single" w:sz="4" w:space="0" w:color="auto"/>
            </w:tcBorders>
            <w:shd w:val="clear" w:color="000000" w:fill="FFFFFF"/>
            <w:hideMark/>
          </w:tcPr>
          <w:p w14:paraId="2243684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bezpośrednie, chwilowe o charakterze lokalnym na etapie realizacji inwestycji związanych z budową, rozbudową infrastruktury wodno-ściekowej: </w:t>
            </w:r>
            <w:r w:rsidRPr="00020C09">
              <w:rPr>
                <w:rFonts w:ascii="Calibri" w:eastAsia="Times New Roman" w:hAnsi="Calibri" w:cs="Times New Roman"/>
                <w:color w:val="000000"/>
                <w:szCs w:val="24"/>
                <w:lang w:eastAsia="pl-PL"/>
              </w:rPr>
              <w:br/>
              <w:t>(1) emisja zanieczyszczeń pyłowych w trakcie prac remontowo-budowlanych;</w:t>
            </w:r>
            <w:r w:rsidRPr="00020C09">
              <w:rPr>
                <w:rFonts w:ascii="Calibri" w:eastAsia="Times New Roman" w:hAnsi="Calibri" w:cs="Times New Roman"/>
                <w:color w:val="000000"/>
                <w:szCs w:val="24"/>
                <w:lang w:eastAsia="pl-PL"/>
              </w:rPr>
              <w:br/>
              <w:t>(2) emisja zanieczyszczeń gazowych związanych z pracą urządzeń i pojazdów spalinowych w trakcie wykonywanych prac remontowo-budowlanych</w:t>
            </w:r>
          </w:p>
        </w:tc>
        <w:tc>
          <w:tcPr>
            <w:tcW w:w="1818" w:type="pct"/>
            <w:tcBorders>
              <w:top w:val="nil"/>
              <w:left w:val="nil"/>
              <w:bottom w:val="single" w:sz="4" w:space="0" w:color="auto"/>
              <w:right w:val="single" w:sz="4" w:space="0" w:color="auto"/>
            </w:tcBorders>
            <w:shd w:val="clear" w:color="000000" w:fill="FFFFFF"/>
            <w:hideMark/>
          </w:tcPr>
          <w:p w14:paraId="0F04593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Zamiatanie drogi na mokro, mycie i spłukiwanie drogi, mycie kół pojazdu przy wyjeździe z terenu budowy;</w:t>
            </w:r>
          </w:p>
          <w:p w14:paraId="34DE67C5" w14:textId="77777777" w:rsidR="001E762B" w:rsidRPr="00020C09" w:rsidRDefault="001E762B" w:rsidP="00622DC9">
            <w:pPr>
              <w:pStyle w:val="Akapitzlist"/>
              <w:numPr>
                <w:ilvl w:val="0"/>
                <w:numId w:val="40"/>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stosowanie kołnierzy i ekranów przeciwkurzowych (przeciwpyłowych) przy pracach demontażowych i rozbiórkowych;</w:t>
            </w:r>
          </w:p>
          <w:p w14:paraId="533FC88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Wyłączanie silników maszyn i urządzeń (w tym pojazdów samochodowych) w trakcie postoju</w:t>
            </w:r>
          </w:p>
        </w:tc>
      </w:tr>
      <w:tr w:rsidR="001563AE" w:rsidRPr="00020C09" w14:paraId="2483888B"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210E94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DD19A9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działanie będzie miało charakter neutralny</w:t>
            </w:r>
          </w:p>
        </w:tc>
        <w:tc>
          <w:tcPr>
            <w:tcW w:w="1504" w:type="pct"/>
            <w:tcBorders>
              <w:top w:val="nil"/>
              <w:left w:val="nil"/>
              <w:bottom w:val="single" w:sz="4" w:space="0" w:color="auto"/>
              <w:right w:val="single" w:sz="4" w:space="0" w:color="auto"/>
            </w:tcBorders>
            <w:shd w:val="clear" w:color="000000" w:fill="FFFFFF"/>
            <w:hideMark/>
          </w:tcPr>
          <w:p w14:paraId="5D235D6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0C22EA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1BF1B73"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519FCD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31065EE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5C72F19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naruszenie powierzchni ziemi, powstawanie odkładów ziemnych na etapie budowy instalacji,</w:t>
            </w:r>
            <w:r w:rsidRPr="00020C09">
              <w:rPr>
                <w:rFonts w:ascii="Calibri" w:eastAsia="Times New Roman" w:hAnsi="Calibri" w:cs="Times New Roman"/>
                <w:color w:val="000000"/>
                <w:szCs w:val="24"/>
                <w:lang w:eastAsia="pl-PL"/>
              </w:rPr>
              <w:br/>
              <w:t>(2) potencjalna emisja zanieczyszczeń do gleby na etapie budowy.</w:t>
            </w:r>
          </w:p>
        </w:tc>
        <w:tc>
          <w:tcPr>
            <w:tcW w:w="1818" w:type="pct"/>
            <w:tcBorders>
              <w:top w:val="nil"/>
              <w:left w:val="nil"/>
              <w:bottom w:val="single" w:sz="4" w:space="0" w:color="auto"/>
              <w:right w:val="single" w:sz="4" w:space="0" w:color="auto"/>
            </w:tcBorders>
            <w:shd w:val="clear" w:color="000000" w:fill="FFFFFF"/>
            <w:hideMark/>
          </w:tcPr>
          <w:p w14:paraId="40AA565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r w:rsidRPr="00020C09">
              <w:rPr>
                <w:rFonts w:ascii="Calibri" w:eastAsia="Times New Roman" w:hAnsi="Calibri" w:cs="Times New Roman"/>
                <w:color w:val="000000"/>
                <w:szCs w:val="24"/>
                <w:lang w:eastAsia="pl-PL"/>
              </w:rPr>
              <w:br/>
              <w:t>Ad.2. Kontrolowanie maszyn i urządzeń, usuwanie usterek, usuwanie wszelkich odpadów po zakończeniu prac budowlanych.</w:t>
            </w:r>
          </w:p>
        </w:tc>
      </w:tr>
      <w:tr w:rsidR="001563AE" w:rsidRPr="00020C09" w14:paraId="33AB24EC"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B8CEE6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8A3E22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7226E2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58D30D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57B150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7B4303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66AAE74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577703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1218337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634F9E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DE27B3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49EE13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2E33308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CD9AFA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85C11E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964EBF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000000" w:fill="FFFFFF"/>
            <w:hideMark/>
          </w:tcPr>
          <w:p w14:paraId="2FBD27A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06A782C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bezpośrednie, chwilowe o charakterze lokalnym na etapie realizacji inwestycji związanych z budową, rozbudową infrastruktury wodno-ściekowej: </w:t>
            </w:r>
            <w:r w:rsidRPr="00020C09">
              <w:rPr>
                <w:rFonts w:ascii="Calibri" w:eastAsia="Times New Roman" w:hAnsi="Calibri" w:cs="Times New Roman"/>
                <w:color w:val="000000"/>
                <w:szCs w:val="24"/>
                <w:lang w:eastAsia="pl-PL"/>
              </w:rPr>
              <w:br/>
              <w:t>(1) emisja zanieczyszczeń gazowych związanych z pracą urządzeń i pojazdów spalinowych w trakcie wykonywanych prac remontowo-budowlanych</w:t>
            </w:r>
          </w:p>
        </w:tc>
        <w:tc>
          <w:tcPr>
            <w:tcW w:w="1818" w:type="pct"/>
            <w:tcBorders>
              <w:top w:val="nil"/>
              <w:left w:val="nil"/>
              <w:bottom w:val="single" w:sz="4" w:space="0" w:color="auto"/>
              <w:right w:val="single" w:sz="4" w:space="0" w:color="auto"/>
            </w:tcBorders>
            <w:shd w:val="clear" w:color="000000" w:fill="FFFFFF"/>
            <w:hideMark/>
          </w:tcPr>
          <w:p w14:paraId="63517E0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Wyłączanie silników maszyn i urządzeń (w tym pojazdów samochodowych) w trakcie postoju</w:t>
            </w:r>
          </w:p>
        </w:tc>
      </w:tr>
      <w:tr w:rsidR="001563AE" w:rsidRPr="00020C09" w14:paraId="4EAC9AA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F26C7F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DD1554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42C1276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0711BDD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AE01A5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EB5BF5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2D79B80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194EAF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surowce naturalne na etapie trwania budowy</w:t>
            </w:r>
          </w:p>
        </w:tc>
        <w:tc>
          <w:tcPr>
            <w:tcW w:w="1818" w:type="pct"/>
            <w:tcBorders>
              <w:top w:val="nil"/>
              <w:left w:val="nil"/>
              <w:bottom w:val="single" w:sz="4" w:space="0" w:color="auto"/>
              <w:right w:val="single" w:sz="4" w:space="0" w:color="auto"/>
            </w:tcBorders>
            <w:shd w:val="clear" w:color="000000" w:fill="FFFFFF"/>
            <w:hideMark/>
          </w:tcPr>
          <w:p w14:paraId="3905B43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Racjonalna gospodarka materiałami, w tym surowcami naturalnymi podczas prac budowlanych</w:t>
            </w:r>
          </w:p>
        </w:tc>
      </w:tr>
      <w:tr w:rsidR="001563AE" w:rsidRPr="00020C09" w14:paraId="03761E4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260674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7680F6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wpływ na stan zasobów wód</w:t>
            </w:r>
          </w:p>
        </w:tc>
        <w:tc>
          <w:tcPr>
            <w:tcW w:w="1504" w:type="pct"/>
            <w:tcBorders>
              <w:top w:val="nil"/>
              <w:left w:val="nil"/>
              <w:bottom w:val="single" w:sz="4" w:space="0" w:color="auto"/>
              <w:right w:val="single" w:sz="4" w:space="0" w:color="auto"/>
            </w:tcBorders>
            <w:shd w:val="clear" w:color="000000" w:fill="FFFFFF"/>
            <w:hideMark/>
          </w:tcPr>
          <w:p w14:paraId="6E23A3D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6850EBE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A7BCAF3"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6574A08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4640066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2141AA2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6F2A729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7998949"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0A25A4E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134A0A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3B03822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10A5E6F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44C29EB4"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68349846"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(vi): Wspieranie transformacji w kierunku gospodarki o obiegu zamkniętym i gospodarki zasobooszczędnej</w:t>
            </w:r>
          </w:p>
        </w:tc>
      </w:tr>
      <w:tr w:rsidR="001563AE" w:rsidRPr="00020C09" w14:paraId="7D2A645E"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794F4118"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70813086"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272F79C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636036FD"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7728E9AE"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E596FE5"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282686E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910FB5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r w:rsidRPr="00020C09">
              <w:rPr>
                <w:rFonts w:ascii="Calibri" w:eastAsia="Times New Roman" w:hAnsi="Calibri" w:cs="Times New Roman"/>
                <w:color w:val="000000"/>
                <w:szCs w:val="24"/>
                <w:lang w:eastAsia="pl-PL"/>
              </w:rPr>
              <w:b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4B86384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1DC36DB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799B0C4"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E1F597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pośredni pozytywny wpływ jako efekt promowania rozwiązań zmierzających do strategii „zero waste” i strategii opartych o technologie przyjazne dla środowiska</w:t>
            </w:r>
            <w:r w:rsidRPr="00020C09">
              <w:rPr>
                <w:rFonts w:ascii="Calibri" w:eastAsia="Times New Roman" w:hAnsi="Calibri" w:cs="Times New Roman"/>
                <w:color w:val="000000"/>
                <w:szCs w:val="24"/>
                <w:lang w:eastAsia="pl-PL"/>
              </w:rPr>
              <w:br/>
              <w:t>(2) wzrost świadomości ekologicznej mieszkańców</w:t>
            </w:r>
          </w:p>
        </w:tc>
        <w:tc>
          <w:tcPr>
            <w:tcW w:w="1504" w:type="pct"/>
            <w:tcBorders>
              <w:top w:val="nil"/>
              <w:left w:val="nil"/>
              <w:bottom w:val="single" w:sz="4" w:space="0" w:color="auto"/>
              <w:right w:val="single" w:sz="4" w:space="0" w:color="auto"/>
            </w:tcBorders>
            <w:shd w:val="clear" w:color="000000" w:fill="FFFFFF"/>
            <w:hideMark/>
          </w:tcPr>
          <w:p w14:paraId="73B7493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97FFAC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9D331C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D54064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4B80B5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23B1211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nadmierny hałas i wibracje w trakcie budowy inwestycji oraz prac demontażowych; </w:t>
            </w:r>
          </w:p>
          <w:p w14:paraId="5D4EECA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(2) zanieczyszczenie oświetleniem w trakcie budowy inwestycji; </w:t>
            </w:r>
          </w:p>
          <w:p w14:paraId="37D9D48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(3) emisja pyłów i zanieczyszczeń</w:t>
            </w:r>
          </w:p>
        </w:tc>
        <w:tc>
          <w:tcPr>
            <w:tcW w:w="1818" w:type="pct"/>
            <w:tcBorders>
              <w:top w:val="nil"/>
              <w:left w:val="nil"/>
              <w:bottom w:val="single" w:sz="4" w:space="0" w:color="auto"/>
              <w:right w:val="single" w:sz="4" w:space="0" w:color="auto"/>
            </w:tcBorders>
            <w:shd w:val="clear" w:color="000000" w:fill="FFFFFF"/>
            <w:hideMark/>
          </w:tcPr>
          <w:p w14:paraId="3ABC182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Ad.1. Działania informacyjne i właściwa organizacji placów budowy; prowadzenie budowy z ograniczeniem uciążliwości dla mieszkańców (np. prowadzenie prac nie powodujących hałasu w porze nocnej, minimalizacja okresu wykonywania prac budowlanych). </w:t>
            </w:r>
          </w:p>
          <w:p w14:paraId="5CF7CF2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 2. Kontrolowanie maszyn i urządzeń, usuwanie usterek, usuwanie wszelkich odpadów po zakończeniu prac budowlanych.</w:t>
            </w:r>
          </w:p>
        </w:tc>
      </w:tr>
      <w:tr w:rsidR="001563AE" w:rsidRPr="00020C09" w14:paraId="009552F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62AAAD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DE8CF6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ograniczenie zagrożeń w wyniku utylizacji azbestu, odpadów niebezpiecznych; 2) zwiększenie świadomości w zakresie GOZ</w:t>
            </w:r>
          </w:p>
        </w:tc>
        <w:tc>
          <w:tcPr>
            <w:tcW w:w="1504" w:type="pct"/>
            <w:tcBorders>
              <w:top w:val="nil"/>
              <w:left w:val="nil"/>
              <w:bottom w:val="single" w:sz="4" w:space="0" w:color="auto"/>
              <w:right w:val="single" w:sz="4" w:space="0" w:color="auto"/>
            </w:tcBorders>
            <w:shd w:val="clear" w:color="000000" w:fill="FFFFFF"/>
            <w:hideMark/>
          </w:tcPr>
          <w:p w14:paraId="7768647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AE3648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C48087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B9C63D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39AED2A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02D306E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potencjalne ryzyko wtórnego uwalniania zanieczyszczeń na etapie realizacji inwestycji</w:t>
            </w:r>
          </w:p>
        </w:tc>
        <w:tc>
          <w:tcPr>
            <w:tcW w:w="1818" w:type="pct"/>
            <w:tcBorders>
              <w:top w:val="nil"/>
              <w:left w:val="nil"/>
              <w:bottom w:val="single" w:sz="4" w:space="0" w:color="auto"/>
              <w:right w:val="single" w:sz="4" w:space="0" w:color="auto"/>
            </w:tcBorders>
            <w:shd w:val="clear" w:color="auto" w:fill="auto"/>
            <w:hideMark/>
          </w:tcPr>
          <w:p w14:paraId="74BC063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Stosowanie urządzeń podczyszczających lub zabezpieczających potencjalne przedostawanie się zanieczyszczeń na etapie realizacji inwestycji; zabezpieczenie na etapie realizacji inwestycji przed potencjalnym spływem zanieczyszczeń do wód powierzchniowych</w:t>
            </w:r>
          </w:p>
        </w:tc>
      </w:tr>
      <w:tr w:rsidR="001563AE" w:rsidRPr="00020C09" w14:paraId="6D5365D5"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27A61F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4C0D811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minimalizacja lub nawet eliminacja zanieczyszczeń, które obecnie trafiają do środowiska wodnego w wyniku eksploatacji przestarzałych technologii/obiektów; (2) zmniejszenie ilości zużywanej do procesów technologicznych wody; (3) zmniejszenie ilości powstających ścieków; (4) wykorzystanie surowców odpadowych, w tym również wody z procesów technologicznych; (5) minimalizacja poboru nadmiernych ilości wody na cele technologiczne; (6) likwidacja potencjalnych ognisk zanieczyszczeń włóknami azbestowymi; (7) wzrost świadomości mieszkańców w zakresie gospodarki cyrkularnej, jak również w zakresie rozwiązań proekologicznych</w:t>
            </w:r>
          </w:p>
        </w:tc>
        <w:tc>
          <w:tcPr>
            <w:tcW w:w="1504" w:type="pct"/>
            <w:tcBorders>
              <w:top w:val="nil"/>
              <w:left w:val="nil"/>
              <w:bottom w:val="single" w:sz="4" w:space="0" w:color="auto"/>
              <w:right w:val="single" w:sz="4" w:space="0" w:color="auto"/>
            </w:tcBorders>
            <w:shd w:val="clear" w:color="auto" w:fill="auto"/>
            <w:hideMark/>
          </w:tcPr>
          <w:p w14:paraId="3D1D73C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hideMark/>
          </w:tcPr>
          <w:p w14:paraId="2DF00DE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5B5AA1A"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3769EA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000000" w:fill="FFFFFF"/>
            <w:hideMark/>
          </w:tcPr>
          <w:p w14:paraId="68B24E4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1B70F3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bezpośrednie, chwilowe o charakterze lokalnym na etapie realizacji inwestycji związanych z budową, rozbudową instalacji do przetwarzania odpadów, linii do recyklingu, itp.:</w:t>
            </w:r>
            <w:r w:rsidRPr="00020C09">
              <w:rPr>
                <w:rFonts w:ascii="Calibri" w:eastAsia="Times New Roman" w:hAnsi="Calibri" w:cs="Times New Roman"/>
                <w:color w:val="000000"/>
                <w:szCs w:val="24"/>
                <w:lang w:eastAsia="pl-PL"/>
              </w:rPr>
              <w:br/>
              <w:t>(1) emisja zanieczyszczeń pyłowych w trakcie prac remontowo-budowlanych;</w:t>
            </w:r>
            <w:r w:rsidRPr="00020C09">
              <w:rPr>
                <w:rFonts w:ascii="Calibri" w:eastAsia="Times New Roman" w:hAnsi="Calibri" w:cs="Times New Roman"/>
                <w:color w:val="000000"/>
                <w:szCs w:val="24"/>
                <w:lang w:eastAsia="pl-PL"/>
              </w:rPr>
              <w:br/>
              <w:t>(2) emisja zanieczyszczeń gazowych związanych z pracą urządzeń i pojazdów spalinowych w trakcie wykonywanych prac remontowo-budowlanych</w:t>
            </w:r>
          </w:p>
        </w:tc>
        <w:tc>
          <w:tcPr>
            <w:tcW w:w="1818" w:type="pct"/>
            <w:tcBorders>
              <w:top w:val="nil"/>
              <w:left w:val="nil"/>
              <w:bottom w:val="single" w:sz="4" w:space="0" w:color="auto"/>
              <w:right w:val="single" w:sz="4" w:space="0" w:color="auto"/>
            </w:tcBorders>
            <w:shd w:val="clear" w:color="000000" w:fill="FFFFFF"/>
            <w:hideMark/>
          </w:tcPr>
          <w:p w14:paraId="5740E21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Wyłączanie silników maszyn i urządzeń (w tym pojazdów samochodowych) w trakcie postoju;</w:t>
            </w:r>
          </w:p>
          <w:p w14:paraId="6F2DF5E0" w14:textId="6F48460D" w:rsidR="001E762B" w:rsidRPr="00020C09" w:rsidRDefault="001E762B" w:rsidP="00622DC9">
            <w:pPr>
              <w:pStyle w:val="Akapitzlist"/>
              <w:numPr>
                <w:ilvl w:val="0"/>
                <w:numId w:val="40"/>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spłukiwanie dróg i ulic dojazdowych do placu</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lub miejsca budowy;</w:t>
            </w:r>
          </w:p>
          <w:p w14:paraId="513E7FB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Wyłączanie urządzeń i pojazdów spalinowych w trakcie postoju w pracach budowlano- modernizacyjnych;</w:t>
            </w:r>
          </w:p>
        </w:tc>
      </w:tr>
      <w:tr w:rsidR="001563AE" w:rsidRPr="00020C09" w14:paraId="28E4B4A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54B8A8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E0D2F49" w14:textId="7FB15FB1"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bezpośrednie długoterminowe: (1) budowa i rozbudowa</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przyjaznych środowisku instalacji do przetwarzania odpadów przyczyni się bezpośrednio do obniżenia</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emisji zanieczyszczeń z sektora komunalnego (obszar: gospodarka odpadami)</w:t>
            </w:r>
          </w:p>
        </w:tc>
        <w:tc>
          <w:tcPr>
            <w:tcW w:w="1504" w:type="pct"/>
            <w:tcBorders>
              <w:top w:val="nil"/>
              <w:left w:val="nil"/>
              <w:bottom w:val="single" w:sz="4" w:space="0" w:color="auto"/>
              <w:right w:val="single" w:sz="4" w:space="0" w:color="auto"/>
            </w:tcBorders>
            <w:shd w:val="clear" w:color="000000" w:fill="FFFFFF"/>
            <w:hideMark/>
          </w:tcPr>
          <w:p w14:paraId="1ADBD4B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7E7D52F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67FD18A"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8F4673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03290B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589C38B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naruszenie powierzchni ziemi, powstawanie odkładów ziemnych na etapie budowy instalacji,</w:t>
            </w:r>
            <w:r w:rsidRPr="00020C09">
              <w:rPr>
                <w:rFonts w:ascii="Calibri" w:eastAsia="Times New Roman" w:hAnsi="Calibri" w:cs="Times New Roman"/>
                <w:color w:val="000000"/>
                <w:szCs w:val="24"/>
                <w:lang w:eastAsia="pl-PL"/>
              </w:rPr>
              <w:br/>
              <w:t>(2) emisja zanieczyszczeń do gleby na etapie budowy.</w:t>
            </w:r>
          </w:p>
        </w:tc>
        <w:tc>
          <w:tcPr>
            <w:tcW w:w="1818" w:type="pct"/>
            <w:tcBorders>
              <w:top w:val="nil"/>
              <w:left w:val="nil"/>
              <w:bottom w:val="single" w:sz="4" w:space="0" w:color="auto"/>
              <w:right w:val="single" w:sz="4" w:space="0" w:color="auto"/>
            </w:tcBorders>
            <w:shd w:val="clear" w:color="000000" w:fill="FFFFFF"/>
            <w:hideMark/>
          </w:tcPr>
          <w:p w14:paraId="7C38B4D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r w:rsidRPr="00020C09">
              <w:rPr>
                <w:rFonts w:ascii="Calibri" w:eastAsia="Times New Roman" w:hAnsi="Calibri" w:cs="Times New Roman"/>
                <w:color w:val="000000"/>
                <w:szCs w:val="24"/>
                <w:lang w:eastAsia="pl-PL"/>
              </w:rPr>
              <w:br/>
              <w:t>Ad.2. Kontrolowanie maszyn i urządzeń, usuwanie usterek, usuwanie wszelkich odpadów po zakończeniu prac budowlanych.</w:t>
            </w:r>
          </w:p>
        </w:tc>
      </w:tr>
      <w:tr w:rsidR="001563AE" w:rsidRPr="00020C09" w14:paraId="7DE3D7A1"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0965EC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3BF6C6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11AEC9B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797E508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7BEADA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8D4291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6E39E7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E6462D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chaos przestrzenny</w:t>
            </w:r>
          </w:p>
        </w:tc>
        <w:tc>
          <w:tcPr>
            <w:tcW w:w="1818" w:type="pct"/>
            <w:tcBorders>
              <w:top w:val="nil"/>
              <w:left w:val="nil"/>
              <w:bottom w:val="single" w:sz="4" w:space="0" w:color="auto"/>
              <w:right w:val="single" w:sz="4" w:space="0" w:color="auto"/>
            </w:tcBorders>
            <w:shd w:val="clear" w:color="auto" w:fill="auto"/>
            <w:hideMark/>
          </w:tcPr>
          <w:p w14:paraId="2C3065D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Lokalizacja inwestycji z preferencją "brown field", terenów zurbanizowanych</w:t>
            </w:r>
          </w:p>
        </w:tc>
      </w:tr>
      <w:tr w:rsidR="001563AE" w:rsidRPr="00020C09" w14:paraId="3123E24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9180E3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AE6698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346B9BE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chaos przestrzenny</w:t>
            </w:r>
          </w:p>
        </w:tc>
        <w:tc>
          <w:tcPr>
            <w:tcW w:w="1818" w:type="pct"/>
            <w:tcBorders>
              <w:top w:val="nil"/>
              <w:left w:val="nil"/>
              <w:bottom w:val="single" w:sz="4" w:space="0" w:color="auto"/>
              <w:right w:val="single" w:sz="4" w:space="0" w:color="auto"/>
            </w:tcBorders>
            <w:shd w:val="clear" w:color="auto" w:fill="auto"/>
            <w:hideMark/>
          </w:tcPr>
          <w:p w14:paraId="1F483B9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Wprowadzenie zieleni osłonowej</w:t>
            </w:r>
          </w:p>
        </w:tc>
      </w:tr>
      <w:tr w:rsidR="001563AE" w:rsidRPr="00020C09" w14:paraId="64B0325D"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8ADB63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000000" w:fill="FFFFFF"/>
            <w:hideMark/>
          </w:tcPr>
          <w:p w14:paraId="4B34E4D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73C5CDB" w14:textId="6B481CBC"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bezpośrednie, chwilowe o charakterze lokalnym na etapie realizacji inwestycji związanych z budową, rozbudową instalacji do przetwarzania odpadów:</w:t>
            </w:r>
            <w:r w:rsidRPr="00020C09">
              <w:rPr>
                <w:rFonts w:ascii="Calibri" w:eastAsia="Times New Roman" w:hAnsi="Calibri" w:cs="Times New Roman"/>
                <w:color w:val="000000"/>
                <w:szCs w:val="24"/>
                <w:lang w:eastAsia="pl-PL"/>
              </w:rPr>
              <w:br/>
              <w:t>(1)</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emisja zanieczyszczeń gazowych związanych z pracą urządzeń i pojazdów spalinowych w trakcie wykonywanych prac remontowo-budowlanych</w:t>
            </w:r>
          </w:p>
        </w:tc>
        <w:tc>
          <w:tcPr>
            <w:tcW w:w="1818" w:type="pct"/>
            <w:tcBorders>
              <w:top w:val="nil"/>
              <w:left w:val="nil"/>
              <w:bottom w:val="single" w:sz="4" w:space="0" w:color="auto"/>
              <w:right w:val="single" w:sz="4" w:space="0" w:color="auto"/>
            </w:tcBorders>
            <w:shd w:val="clear" w:color="000000" w:fill="FFFFFF"/>
            <w:hideMark/>
          </w:tcPr>
          <w:p w14:paraId="71C3195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Wyłączanie urządzeń i pojazdów spalinowych w trakcie postoju w pracach budowlano- modernizacyjnych;</w:t>
            </w:r>
          </w:p>
        </w:tc>
      </w:tr>
      <w:tr w:rsidR="001563AE" w:rsidRPr="00020C09" w14:paraId="3AFCB539"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688FB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01685DD" w14:textId="07C9BAE1"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bezpośrednie długoterminowe: (1) budowa i rozbudowa</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przyjaznych środowisku instalacji do przetwarzania odpadów przyczyni się bezpośrednio do obniżenia</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emisji gazów cieplarnianych z sektora komunalnego (obszar: gospodarka odpadami) do atmosfery</w:t>
            </w:r>
          </w:p>
        </w:tc>
        <w:tc>
          <w:tcPr>
            <w:tcW w:w="1504" w:type="pct"/>
            <w:tcBorders>
              <w:top w:val="nil"/>
              <w:left w:val="nil"/>
              <w:bottom w:val="single" w:sz="4" w:space="0" w:color="auto"/>
              <w:right w:val="single" w:sz="4" w:space="0" w:color="auto"/>
            </w:tcBorders>
            <w:shd w:val="clear" w:color="000000" w:fill="FFFFFF"/>
            <w:hideMark/>
          </w:tcPr>
          <w:p w14:paraId="5B1A529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1BDE520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160296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BC122C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0B5FE25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87A15D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surowce naturalne na etapie trwania budowy</w:t>
            </w:r>
          </w:p>
        </w:tc>
        <w:tc>
          <w:tcPr>
            <w:tcW w:w="1818" w:type="pct"/>
            <w:tcBorders>
              <w:top w:val="nil"/>
              <w:left w:val="nil"/>
              <w:bottom w:val="single" w:sz="4" w:space="0" w:color="auto"/>
              <w:right w:val="single" w:sz="4" w:space="0" w:color="auto"/>
            </w:tcBorders>
            <w:shd w:val="clear" w:color="000000" w:fill="FFFFFF"/>
            <w:hideMark/>
          </w:tcPr>
          <w:p w14:paraId="7EA4BFD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Racjonalna gospodarka materiałami, w tym surowcami naturalnymi podczas prac budowlanych</w:t>
            </w:r>
          </w:p>
        </w:tc>
      </w:tr>
      <w:tr w:rsidR="001563AE" w:rsidRPr="00020C09" w14:paraId="2C02369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121BC0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636F6F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zastosowanie rozwiązań z zakresu obiegu cyrkularnego przyczyni się do spowolnienia wyczerpywania zasobów naturalnych oraz wzrostu świadomości ekologicznej mieszkańców.</w:t>
            </w:r>
          </w:p>
        </w:tc>
        <w:tc>
          <w:tcPr>
            <w:tcW w:w="1504" w:type="pct"/>
            <w:tcBorders>
              <w:top w:val="nil"/>
              <w:left w:val="nil"/>
              <w:bottom w:val="single" w:sz="4" w:space="0" w:color="auto"/>
              <w:right w:val="single" w:sz="4" w:space="0" w:color="auto"/>
            </w:tcBorders>
            <w:shd w:val="clear" w:color="000000" w:fill="FFFFFF"/>
            <w:hideMark/>
          </w:tcPr>
          <w:p w14:paraId="35AD31D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505D729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B33E251"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6BF524F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3698A12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186A30D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3CE0E81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18F2B25"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307E06D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DD9D9B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59816F3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59433A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5D36CC77"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5C77063A"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(vii): Wzmacnianie ochrony i zachowania przyrody, różnorodności biologicznej oraz zielonej infrastruktury, w tym na obszarach miejskich, oraz ograniczanie wszelkich rodzajów zanieczyszczenia</w:t>
            </w:r>
          </w:p>
        </w:tc>
      </w:tr>
      <w:tr w:rsidR="001563AE" w:rsidRPr="00020C09" w14:paraId="0070774C"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1A4ED291"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5CF0B647"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198DA513"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6A02973A"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1EEE291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59D4F4F"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2EF88C7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rekultywacja terenów zdegradowanych, w tym nielegalnych składowisk odpadów oraz remediacja (w tym dekontaminacja) terenów zanieczyszczonych z potencjalnym przeznaczeniem na cele przyrodnicze; rozwój błękitno-zielonej infrastruktury stanowiącej siedliska dla fauny i flory</w:t>
            </w:r>
          </w:p>
        </w:tc>
        <w:tc>
          <w:tcPr>
            <w:tcW w:w="1504" w:type="pct"/>
            <w:tcBorders>
              <w:top w:val="nil"/>
              <w:left w:val="nil"/>
              <w:bottom w:val="single" w:sz="4" w:space="0" w:color="auto"/>
              <w:right w:val="single" w:sz="4" w:space="0" w:color="auto"/>
            </w:tcBorders>
            <w:shd w:val="clear" w:color="000000" w:fill="FFFFFF"/>
            <w:hideMark/>
          </w:tcPr>
          <w:p w14:paraId="1030FBC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r w:rsidRPr="00020C09">
              <w:rPr>
                <w:rFonts w:ascii="Calibri" w:eastAsia="Times New Roman" w:hAnsi="Calibri" w:cs="Times New Roman"/>
                <w:color w:val="000000"/>
                <w:szCs w:val="24"/>
                <w:lang w:eastAsia="pl-PL"/>
              </w:rPr>
              <w:b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4238FA7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45D79EE9"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1A9FF43"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1B28CDF" w14:textId="2EC2CD16"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ochrona przyrody i krajobrazu, przeciwdziałanie zubażaniu różnorodności biologicznej oraz wzmocnienie potencjałów przyrodniczych w przestrzeni miejskiej i pozamiejskiej</w:t>
            </w:r>
            <w:r w:rsidRPr="00020C09">
              <w:rPr>
                <w:rFonts w:ascii="Calibri" w:eastAsia="Times New Roman" w:hAnsi="Calibri" w:cs="Times New Roman"/>
                <w:color w:val="000000"/>
                <w:szCs w:val="24"/>
                <w:lang w:eastAsia="pl-PL"/>
              </w:rPr>
              <w:br/>
              <w:t>(2) likwidacja zagrożenia dla rodzimych gatunków -</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usuwanie gatunków obcych, w tym inwazyjnych</w:t>
            </w:r>
            <w:r w:rsidRPr="00020C09">
              <w:rPr>
                <w:rFonts w:ascii="Calibri" w:eastAsia="Times New Roman" w:hAnsi="Calibri" w:cs="Times New Roman"/>
                <w:color w:val="000000"/>
                <w:szCs w:val="24"/>
                <w:lang w:eastAsia="pl-PL"/>
              </w:rPr>
              <w:br/>
              <w:t>(3) zarządzanie środowiskowe mające odzwierciedlenie w dokumentach planistycznych - dbałość o obszary chronione i ich integralność</w:t>
            </w:r>
            <w:r w:rsidRPr="00020C09">
              <w:rPr>
                <w:rFonts w:ascii="Calibri" w:eastAsia="Times New Roman" w:hAnsi="Calibri" w:cs="Times New Roman"/>
                <w:color w:val="000000"/>
                <w:szCs w:val="24"/>
                <w:lang w:eastAsia="pl-PL"/>
              </w:rPr>
              <w:br/>
              <w:t xml:space="preserve">(4) wzrost świadomości ekologicznej w zakresie ochrony przyrody, dziedzictwa przyrodniczego, wpływu zmian klimatycznych na różnorodność biologiczną poprzez wsparcie ośrodków edukacji ekologicznej oraz działania edukacyjne </w:t>
            </w:r>
            <w:r w:rsidRPr="00020C09">
              <w:rPr>
                <w:rFonts w:ascii="Calibri" w:eastAsia="Times New Roman" w:hAnsi="Calibri" w:cs="Times New Roman"/>
                <w:color w:val="000000"/>
                <w:szCs w:val="24"/>
                <w:lang w:eastAsia="pl-PL"/>
              </w:rPr>
              <w:br/>
              <w:t>(5) przywracanie terenom zdegradowanym nowych funkcji, w tym przyrodniczych</w:t>
            </w:r>
            <w:r w:rsidRPr="00020C09">
              <w:rPr>
                <w:rFonts w:ascii="Calibri" w:eastAsia="Times New Roman" w:hAnsi="Calibri" w:cs="Times New Roman"/>
                <w:color w:val="000000"/>
                <w:szCs w:val="24"/>
                <w:lang w:eastAsia="pl-PL"/>
              </w:rPr>
              <w:br/>
              <w:t>(6) powstanie nowych terenów zielonych i zielonej infrastruktury</w:t>
            </w:r>
          </w:p>
        </w:tc>
        <w:tc>
          <w:tcPr>
            <w:tcW w:w="1504" w:type="pct"/>
            <w:tcBorders>
              <w:top w:val="nil"/>
              <w:left w:val="nil"/>
              <w:bottom w:val="single" w:sz="4" w:space="0" w:color="auto"/>
              <w:right w:val="single" w:sz="4" w:space="0" w:color="auto"/>
            </w:tcBorders>
            <w:shd w:val="clear" w:color="000000" w:fill="FFFFFF"/>
            <w:hideMark/>
          </w:tcPr>
          <w:p w14:paraId="19D3378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70715A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10E684B"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BF81D4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7888BF7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126A7A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nadmierny hałas i wibracje w trakcie budowy inwestycji; </w:t>
            </w:r>
          </w:p>
          <w:p w14:paraId="32F98C2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(2) zanieczyszczenie oświetleniem w trakcie budowy inwestycji; </w:t>
            </w:r>
          </w:p>
          <w:p w14:paraId="2A8284A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(3) emisja pyłów i zanieczyszczeń</w:t>
            </w:r>
          </w:p>
        </w:tc>
        <w:tc>
          <w:tcPr>
            <w:tcW w:w="1818" w:type="pct"/>
            <w:tcBorders>
              <w:top w:val="nil"/>
              <w:left w:val="nil"/>
              <w:bottom w:val="single" w:sz="4" w:space="0" w:color="auto"/>
              <w:right w:val="single" w:sz="4" w:space="0" w:color="auto"/>
            </w:tcBorders>
            <w:shd w:val="clear" w:color="000000" w:fill="FFFFFF"/>
            <w:hideMark/>
          </w:tcPr>
          <w:p w14:paraId="6C27649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Ad.1. Działania informacyjne i właściwa organizacji placów budowy; prowadzenie budowy z ograniczeniem uciążliwości dla mieszkańców (np. prowadzenie prac nie powodujących hałasu w porze nocnej, minimalizacja okresu wykonywania prac budowlanych). </w:t>
            </w:r>
          </w:p>
          <w:p w14:paraId="3E49D21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kontrolowanie maszyn i urządzeń, usuwanie usterek, usuwanie wszelkich odpadów po zakończeniu prac budowlanych.</w:t>
            </w:r>
          </w:p>
        </w:tc>
      </w:tr>
      <w:tr w:rsidR="001563AE" w:rsidRPr="00020C09" w14:paraId="094D8EF5"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0C3E33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5F0398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(1) zwiększenie świadomości ekologicznej społeczeństwa; </w:t>
            </w:r>
          </w:p>
        </w:tc>
        <w:tc>
          <w:tcPr>
            <w:tcW w:w="1504" w:type="pct"/>
            <w:tcBorders>
              <w:top w:val="nil"/>
              <w:left w:val="nil"/>
              <w:bottom w:val="single" w:sz="4" w:space="0" w:color="auto"/>
              <w:right w:val="single" w:sz="4" w:space="0" w:color="auto"/>
            </w:tcBorders>
            <w:shd w:val="clear" w:color="000000" w:fill="FFFFFF"/>
            <w:hideMark/>
          </w:tcPr>
          <w:p w14:paraId="2BDCB32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CD1022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AE2409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F72043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5418F9E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5D376AF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321000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E888881"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4D3CC3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0C4D8BF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powiększenie powierzchni biologicznie czynnej oraz zwiększanie nasadzeń zieleni wysokiej poprawi lokalny bilans wodny; (2) opóźnienie lub zmniejszenie odpływu wody ze zlewni; (3) niwelacja skutków suszy; (4) kształtowanie zasobów wodnych</w:t>
            </w:r>
          </w:p>
        </w:tc>
        <w:tc>
          <w:tcPr>
            <w:tcW w:w="1504" w:type="pct"/>
            <w:tcBorders>
              <w:top w:val="nil"/>
              <w:left w:val="nil"/>
              <w:bottom w:val="single" w:sz="4" w:space="0" w:color="auto"/>
              <w:right w:val="single" w:sz="4" w:space="0" w:color="auto"/>
            </w:tcBorders>
            <w:shd w:val="clear" w:color="auto" w:fill="auto"/>
            <w:hideMark/>
          </w:tcPr>
          <w:p w14:paraId="15FFF2A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170CBB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C19D05B"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6E9A09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000000" w:fill="FFFFFF"/>
            <w:hideMark/>
          </w:tcPr>
          <w:p w14:paraId="3BC2B7F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8195DC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402F27E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851D9B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55B294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54C145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zwiększenie świadomości społecznej i uwrażliwienie mieszkańców regionu na aspekty związane z bioróżnorodnością i wpływem prowadzonych przez mieszkańców działań na wszystkie komponenty środowiska przyczyni się do lepszego gospodarowania zasobami, obniżenia energochłonności i zużycia surowców, co pośrednio przełoży się również na obniżenie emisji wywołanych działalnością człowieka</w:t>
            </w:r>
          </w:p>
        </w:tc>
        <w:tc>
          <w:tcPr>
            <w:tcW w:w="1504" w:type="pct"/>
            <w:tcBorders>
              <w:top w:val="nil"/>
              <w:left w:val="nil"/>
              <w:bottom w:val="single" w:sz="4" w:space="0" w:color="auto"/>
              <w:right w:val="single" w:sz="4" w:space="0" w:color="auto"/>
            </w:tcBorders>
            <w:shd w:val="clear" w:color="000000" w:fill="FFFFFF"/>
            <w:hideMark/>
          </w:tcPr>
          <w:p w14:paraId="52B5FFC3" w14:textId="112990B6"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bezpośrednie, chwilowe o charakterze lokalnym na etapie realizacji inwestycji związanych z rozbudową zaplecza technicznego szlaków turystycznych, i zaplecza turystycznego oraz miejsc widokowych na szlakach:</w:t>
            </w:r>
            <w:r w:rsidRPr="00020C09">
              <w:rPr>
                <w:rFonts w:ascii="Calibri" w:eastAsia="Times New Roman" w:hAnsi="Calibri" w:cs="Times New Roman"/>
                <w:color w:val="000000"/>
                <w:szCs w:val="24"/>
                <w:lang w:eastAsia="pl-PL"/>
              </w:rPr>
              <w:br/>
              <w:t>(1) emisja zanieczyszczeń pyłowych</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w</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trakcie prac remontowo-budowlanych;</w:t>
            </w:r>
            <w:r w:rsidRPr="00020C09">
              <w:rPr>
                <w:rFonts w:ascii="Calibri" w:eastAsia="Times New Roman" w:hAnsi="Calibri" w:cs="Times New Roman"/>
                <w:color w:val="000000"/>
                <w:szCs w:val="24"/>
                <w:lang w:eastAsia="pl-PL"/>
              </w:rPr>
              <w:br/>
              <w:t>(2) emisja zanieczyszczeń gazowych związanych z pracą urządzeń i pojazdów spalinowych w trakcie wykonywanych prac remontowo-budowlanych</w:t>
            </w:r>
          </w:p>
        </w:tc>
        <w:tc>
          <w:tcPr>
            <w:tcW w:w="1818" w:type="pct"/>
            <w:tcBorders>
              <w:top w:val="nil"/>
              <w:left w:val="nil"/>
              <w:bottom w:val="single" w:sz="4" w:space="0" w:color="auto"/>
              <w:right w:val="single" w:sz="4" w:space="0" w:color="auto"/>
            </w:tcBorders>
            <w:shd w:val="clear" w:color="000000" w:fill="FFFFFF"/>
            <w:hideMark/>
          </w:tcPr>
          <w:p w14:paraId="2B21BCB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Wyłączanie silników maszyn i urządzeń (w tym pojazdów samochodowych) w trakcie postoju;</w:t>
            </w:r>
            <w:r w:rsidRPr="00020C09">
              <w:rPr>
                <w:rFonts w:ascii="Calibri" w:eastAsia="Times New Roman" w:hAnsi="Calibri" w:cs="Times New Roman"/>
                <w:color w:val="000000"/>
                <w:szCs w:val="24"/>
                <w:lang w:eastAsia="pl-PL"/>
              </w:rPr>
              <w:br/>
              <w:t>Ad.2. Wyłączanie urządzeń i pojazdów spalinowych w trakcie postoju w pracach budowlano- modernizacyjnych;</w:t>
            </w:r>
          </w:p>
        </w:tc>
      </w:tr>
      <w:tr w:rsidR="001563AE" w:rsidRPr="00020C09" w14:paraId="02BFB4C3"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71A8A3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20352B1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ochrona zasobów gleb </w:t>
            </w:r>
          </w:p>
        </w:tc>
        <w:tc>
          <w:tcPr>
            <w:tcW w:w="1504" w:type="pct"/>
            <w:tcBorders>
              <w:top w:val="nil"/>
              <w:left w:val="nil"/>
              <w:bottom w:val="single" w:sz="4" w:space="0" w:color="auto"/>
              <w:right w:val="single" w:sz="4" w:space="0" w:color="auto"/>
            </w:tcBorders>
            <w:shd w:val="clear" w:color="000000" w:fill="FFFFFF"/>
            <w:hideMark/>
          </w:tcPr>
          <w:p w14:paraId="32C1B87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4CCD804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F4377C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F86457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D2337D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kształtowane będą prośrodowiskowe postawy społeczne</w:t>
            </w:r>
          </w:p>
        </w:tc>
        <w:tc>
          <w:tcPr>
            <w:tcW w:w="1504" w:type="pct"/>
            <w:tcBorders>
              <w:top w:val="nil"/>
              <w:left w:val="nil"/>
              <w:bottom w:val="single" w:sz="4" w:space="0" w:color="auto"/>
              <w:right w:val="single" w:sz="4" w:space="0" w:color="auto"/>
            </w:tcBorders>
            <w:shd w:val="clear" w:color="000000" w:fill="FFFFFF"/>
            <w:hideMark/>
          </w:tcPr>
          <w:p w14:paraId="3B22865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3688201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E329C94"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A5614C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5369200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2FF0D8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chaos przestrzenny</w:t>
            </w:r>
          </w:p>
        </w:tc>
        <w:tc>
          <w:tcPr>
            <w:tcW w:w="1818" w:type="pct"/>
            <w:tcBorders>
              <w:top w:val="nil"/>
              <w:left w:val="nil"/>
              <w:bottom w:val="single" w:sz="4" w:space="0" w:color="auto"/>
              <w:right w:val="single" w:sz="4" w:space="0" w:color="auto"/>
            </w:tcBorders>
            <w:shd w:val="clear" w:color="000000" w:fill="FFFFFF"/>
            <w:noWrap/>
            <w:hideMark/>
          </w:tcPr>
          <w:p w14:paraId="0DB7C5F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Utrzymywanie porządku podczas prac budowlanych</w:t>
            </w:r>
          </w:p>
        </w:tc>
      </w:tr>
      <w:tr w:rsidR="001563AE" w:rsidRPr="00020C09" w14:paraId="6CA24901"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6ADB04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05198A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renaturyzacja przestrzeni</w:t>
            </w:r>
          </w:p>
        </w:tc>
        <w:tc>
          <w:tcPr>
            <w:tcW w:w="1504" w:type="pct"/>
            <w:tcBorders>
              <w:top w:val="nil"/>
              <w:left w:val="nil"/>
              <w:bottom w:val="single" w:sz="4" w:space="0" w:color="auto"/>
              <w:right w:val="single" w:sz="4" w:space="0" w:color="auto"/>
            </w:tcBorders>
            <w:shd w:val="clear" w:color="000000" w:fill="FFFFFF"/>
            <w:hideMark/>
          </w:tcPr>
          <w:p w14:paraId="355ACD6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77860CB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2A7D1C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8D78FB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000000" w:fill="FFFFFF"/>
            <w:hideMark/>
          </w:tcPr>
          <w:p w14:paraId="70B05B8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8B44F4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7851BC0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5F576AD"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B26B85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77B031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zwiększenie świadomości społecznej i uwrażliwienie mieszkańców regionu na aspekty związane z bioróżnorodnością i wpływem prowadzonych przez mieszkańców działań na wszystkie komponenty środowiska przyczyni się do lepszego gospodarowania zasobami, obniżenia energochłonności i zużycia surowców, co pośrednio przełoży się również na obniżenie emisji wywołanych działalnością człowieka</w:t>
            </w:r>
          </w:p>
        </w:tc>
        <w:tc>
          <w:tcPr>
            <w:tcW w:w="1504" w:type="pct"/>
            <w:tcBorders>
              <w:top w:val="nil"/>
              <w:left w:val="nil"/>
              <w:bottom w:val="single" w:sz="4" w:space="0" w:color="auto"/>
              <w:right w:val="single" w:sz="4" w:space="0" w:color="auto"/>
            </w:tcBorders>
            <w:shd w:val="clear" w:color="000000" w:fill="FFFFFF"/>
            <w:hideMark/>
          </w:tcPr>
          <w:p w14:paraId="1531DA7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349652D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3EEFDD9"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4D6798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2301101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popularyzacja błękitno-zielonej infrastruktury </w:t>
            </w:r>
          </w:p>
        </w:tc>
        <w:tc>
          <w:tcPr>
            <w:tcW w:w="1504" w:type="pct"/>
            <w:tcBorders>
              <w:top w:val="nil"/>
              <w:left w:val="nil"/>
              <w:bottom w:val="single" w:sz="4" w:space="0" w:color="auto"/>
              <w:right w:val="single" w:sz="4" w:space="0" w:color="auto"/>
            </w:tcBorders>
            <w:shd w:val="clear" w:color="000000" w:fill="FFFFFF"/>
            <w:hideMark/>
          </w:tcPr>
          <w:p w14:paraId="7AD38A0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materiały budowlane na etapie budowy, tym samym do zubożenie ilości kruszyw naturalnych</w:t>
            </w:r>
          </w:p>
        </w:tc>
        <w:tc>
          <w:tcPr>
            <w:tcW w:w="1818" w:type="pct"/>
            <w:tcBorders>
              <w:top w:val="nil"/>
              <w:left w:val="nil"/>
              <w:bottom w:val="single" w:sz="4" w:space="0" w:color="auto"/>
              <w:right w:val="single" w:sz="4" w:space="0" w:color="auto"/>
            </w:tcBorders>
            <w:shd w:val="clear" w:color="000000" w:fill="FFFFFF"/>
            <w:hideMark/>
          </w:tcPr>
          <w:p w14:paraId="20637E3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Racjonalna gospodarka materiałami, w tym surowcami naturalnymi podczas prac budowlanych</w:t>
            </w:r>
          </w:p>
        </w:tc>
      </w:tr>
      <w:tr w:rsidR="001563AE" w:rsidRPr="00020C09" w14:paraId="05B92CC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28D21D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B57C47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zwiększenie zasobów wód powierzchniowych na terenach zurbanizowanych</w:t>
            </w:r>
          </w:p>
        </w:tc>
        <w:tc>
          <w:tcPr>
            <w:tcW w:w="1504" w:type="pct"/>
            <w:tcBorders>
              <w:top w:val="nil"/>
              <w:left w:val="nil"/>
              <w:bottom w:val="single" w:sz="4" w:space="0" w:color="auto"/>
              <w:right w:val="single" w:sz="4" w:space="0" w:color="auto"/>
            </w:tcBorders>
            <w:shd w:val="clear" w:color="000000" w:fill="FFFFFF"/>
            <w:hideMark/>
          </w:tcPr>
          <w:p w14:paraId="1118EC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0427CB9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4761794"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2BF7A37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5647BA0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18B9045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0CE8A7B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79A17CD"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5173604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24189F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poprawa jakości powietrza w regionie, spowolnienie postępującej degradacji obiektów zabytkowych</w:t>
            </w:r>
          </w:p>
        </w:tc>
        <w:tc>
          <w:tcPr>
            <w:tcW w:w="1504" w:type="pct"/>
            <w:tcBorders>
              <w:top w:val="nil"/>
              <w:left w:val="nil"/>
              <w:bottom w:val="single" w:sz="4" w:space="0" w:color="auto"/>
              <w:right w:val="single" w:sz="4" w:space="0" w:color="auto"/>
            </w:tcBorders>
            <w:shd w:val="clear" w:color="000000" w:fill="FFFFFF"/>
            <w:hideMark/>
          </w:tcPr>
          <w:p w14:paraId="375794F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5FA8A5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37395498"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549E39"/>
            <w:hideMark/>
          </w:tcPr>
          <w:p w14:paraId="1D8FF867" w14:textId="77777777" w:rsidR="001E762B" w:rsidRPr="00020C09" w:rsidRDefault="001E762B" w:rsidP="00B83214">
            <w:pPr>
              <w:spacing w:after="0" w:line="240" w:lineRule="auto"/>
              <w:rPr>
                <w:rFonts w:ascii="Calibri" w:eastAsia="Times New Roman" w:hAnsi="Calibri" w:cs="Times New Roman"/>
                <w:b/>
                <w:bCs/>
                <w:color w:val="FFFFFF"/>
                <w:szCs w:val="24"/>
                <w:lang w:eastAsia="pl-PL"/>
              </w:rPr>
            </w:pPr>
            <w:r w:rsidRPr="00020C09">
              <w:rPr>
                <w:rFonts w:ascii="Calibri" w:eastAsia="Times New Roman" w:hAnsi="Calibri" w:cs="Times New Roman"/>
                <w:b/>
                <w:bCs/>
                <w:color w:val="FFFFFF"/>
                <w:szCs w:val="24"/>
                <w:lang w:eastAsia="pl-PL"/>
              </w:rPr>
              <w:t>Priorytet 3. Fundusze Europejskie na rzecz mobilnego Pomorza Zachodniego</w:t>
            </w:r>
          </w:p>
        </w:tc>
      </w:tr>
      <w:tr w:rsidR="001E762B" w:rsidRPr="00020C09" w14:paraId="1C71BC2D"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F2F2F2"/>
            <w:hideMark/>
          </w:tcPr>
          <w:p w14:paraId="2D6F2882" w14:textId="01E72E81"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Cel polityki CP 2.</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Bardziej przyjazna dla środowiska, niskoemisyjna i przechodząca w kierunku gospodarki zeroemisyjnej oraz odporna Europa, dzięki promowaniu czystej i sprawiedliwej</w:t>
            </w:r>
            <w:r w:rsidRPr="00020C09">
              <w:rPr>
                <w:rFonts w:ascii="Calibri" w:eastAsia="Times New Roman" w:hAnsi="Calibri" w:cs="Times New Roman"/>
                <w:color w:val="000000"/>
                <w:szCs w:val="24"/>
                <w:lang w:eastAsia="pl-PL"/>
              </w:rPr>
              <w:br/>
              <w:t>transformacji energetycznej, zielonych i niebieskich inwestycji, gospodarki w obiegu zamkniętym, łagodzenia zmian klimatu i przystosowania się do nich, zapobiegania ryzyku i zarządzania ryzykiem, oraz zrównoważonej mobilności miejskiej.</w:t>
            </w:r>
          </w:p>
        </w:tc>
      </w:tr>
      <w:tr w:rsidR="001E762B" w:rsidRPr="00020C09" w14:paraId="65601638"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524CBF9F"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(viii): Wspieranie zrównoważonej multimodalnej mobilności miejskiej jako elementu transformacji w kierunku gospodarki zeroemisyjnej</w:t>
            </w:r>
          </w:p>
        </w:tc>
      </w:tr>
      <w:tr w:rsidR="001563AE" w:rsidRPr="00020C09" w14:paraId="5C1E058E"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32414BE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0E0A4D97"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3C4F5DD1"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4BCEEB19"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0E475B7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6C812DF"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4488B94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C38781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r w:rsidRPr="00020C09">
              <w:rPr>
                <w:rFonts w:ascii="Calibri" w:eastAsia="Times New Roman" w:hAnsi="Calibri" w:cs="Times New Roman"/>
                <w:color w:val="000000"/>
                <w:szCs w:val="24"/>
                <w:lang w:eastAsia="pl-PL"/>
              </w:rPr>
              <w:b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2D64C78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5DE445C0"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28C9A67"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70C47C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poprawa jakości środowiska, w tym zasobów przyrodniczych, w kontekście redukcji hałasu i emisji zanieczyszczeń do wód, gleby i powietrza </w:t>
            </w:r>
          </w:p>
        </w:tc>
        <w:tc>
          <w:tcPr>
            <w:tcW w:w="1504" w:type="pct"/>
            <w:tcBorders>
              <w:top w:val="nil"/>
              <w:left w:val="nil"/>
              <w:bottom w:val="single" w:sz="4" w:space="0" w:color="auto"/>
              <w:right w:val="single" w:sz="4" w:space="0" w:color="auto"/>
            </w:tcBorders>
            <w:shd w:val="clear" w:color="000000" w:fill="FFFFFF"/>
            <w:hideMark/>
          </w:tcPr>
          <w:p w14:paraId="3D2A2F0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zajęcie areału pod inwestycję, zniszczenie/przeobrażenia siedlisk przyrodniczych</w:t>
            </w:r>
          </w:p>
        </w:tc>
        <w:tc>
          <w:tcPr>
            <w:tcW w:w="1818" w:type="pct"/>
            <w:tcBorders>
              <w:top w:val="nil"/>
              <w:left w:val="nil"/>
              <w:bottom w:val="single" w:sz="4" w:space="0" w:color="auto"/>
              <w:right w:val="single" w:sz="4" w:space="0" w:color="auto"/>
            </w:tcBorders>
            <w:shd w:val="clear" w:color="000000" w:fill="FFFFFF"/>
            <w:hideMark/>
          </w:tcPr>
          <w:p w14:paraId="165BE17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Ad.1. Ograniczenie zajęcia terenu pod inwestycję, stosowanie dobrych praktyk w zakresie ochrony środowiska podczas </w:t>
            </w:r>
            <w:r w:rsidRPr="00020C09">
              <w:rPr>
                <w:rFonts w:ascii="Calibri" w:eastAsia="Times New Roman" w:hAnsi="Calibri" w:cs="Times New Roman"/>
                <w:color w:val="000000" w:themeColor="text1"/>
                <w:szCs w:val="24"/>
                <w:lang w:eastAsia="pl-PL"/>
              </w:rPr>
              <w:t>realizacji inwestycji, unikanie kolizji z obszarami przyrodniczo cennymi, inwentaryzacja przyrodnicza przeprowadzona w okresie umożliwiającym identyfikację występujących na terenie gatunków roślin i zwierząt oraz wystarczającym do oceny znaczenia tego obszaru dla bioróżnorodności i chronionych gatunków</w:t>
            </w:r>
          </w:p>
        </w:tc>
      </w:tr>
      <w:tr w:rsidR="001563AE" w:rsidRPr="00020C09" w14:paraId="7D61D5BE"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954BC3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62C4EE7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7FDCB7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nadmierny hałas i wibracje w trakcie budowy inwestycji; </w:t>
            </w:r>
          </w:p>
          <w:p w14:paraId="1E7435F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(2) zanieczyszczenie oświetleniem w trakcie budowy inwestycji; </w:t>
            </w:r>
          </w:p>
          <w:p w14:paraId="6B47A12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(3) emisja pyłów i zanieczyszczeń</w:t>
            </w:r>
          </w:p>
        </w:tc>
        <w:tc>
          <w:tcPr>
            <w:tcW w:w="1818" w:type="pct"/>
            <w:tcBorders>
              <w:top w:val="nil"/>
              <w:left w:val="nil"/>
              <w:bottom w:val="single" w:sz="4" w:space="0" w:color="auto"/>
              <w:right w:val="single" w:sz="4" w:space="0" w:color="auto"/>
            </w:tcBorders>
            <w:shd w:val="clear" w:color="000000" w:fill="FFFFFF"/>
            <w:hideMark/>
          </w:tcPr>
          <w:p w14:paraId="35FED74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Działania informacyjne i właściwa organizacji placów budowy; prowadzenie budowy z ograniczeniem uciążliwości dla mieszkańców (np. prowadzenie prac nie powodujących hałasu w porze nocnej, minimalizacja okresu wykonywania prac budowlanych).</w:t>
            </w:r>
          </w:p>
          <w:p w14:paraId="0C964F0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 2. Kontrolowanie maszyn i urządzeń, usuwanie usterek, usuwanie wszelkich odpadów po zakończeniu prac budowlanych.</w:t>
            </w:r>
          </w:p>
        </w:tc>
      </w:tr>
      <w:tr w:rsidR="001563AE" w:rsidRPr="00020C09" w14:paraId="1533D83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D51C7F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570546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zwiększenie multimobilności miejskiej; (2) ułatwienie dostępu do transportu publicznego; (3) poprawa bezpieczeństwa</w:t>
            </w:r>
          </w:p>
        </w:tc>
        <w:tc>
          <w:tcPr>
            <w:tcW w:w="1504" w:type="pct"/>
            <w:tcBorders>
              <w:top w:val="nil"/>
              <w:left w:val="nil"/>
              <w:bottom w:val="single" w:sz="4" w:space="0" w:color="auto"/>
              <w:right w:val="single" w:sz="4" w:space="0" w:color="auto"/>
            </w:tcBorders>
            <w:shd w:val="clear" w:color="000000" w:fill="FFFFFF"/>
            <w:hideMark/>
          </w:tcPr>
          <w:p w14:paraId="3161A8F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A9BC72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B3D90F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0FAA6E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2AE1952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2B22E91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 etapie budowy/przebudowy infrastruktury może dojść do emisji hałasu, spalin w związku z pracą maszyn budowlanych; (2) potencjalne ryzyko skażenia wód na skutek awarii (wycieki, przecieki) na etapie budowy, przebudowy, modernizacji</w:t>
            </w:r>
          </w:p>
        </w:tc>
        <w:tc>
          <w:tcPr>
            <w:tcW w:w="1818" w:type="pct"/>
            <w:tcBorders>
              <w:top w:val="nil"/>
              <w:left w:val="nil"/>
              <w:bottom w:val="single" w:sz="4" w:space="0" w:color="auto"/>
              <w:right w:val="single" w:sz="4" w:space="0" w:color="auto"/>
            </w:tcBorders>
            <w:shd w:val="clear" w:color="auto" w:fill="auto"/>
            <w:hideMark/>
          </w:tcPr>
          <w:p w14:paraId="7554A4A7" w14:textId="3593CAB3"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Ad.1.-Ad.2. Stosowanie urządzeń podczyszczających lub zabezpieczających potencjalne przedostawanie się zanieczyszczeń na etapie budowy; zabezpieczenie budowy przed potencjalnym spływem zanieczyszczeń do wód powierzchniowych (plac budowy lub miejsce postoju maszyn oddalone od koryt cieków); przekazywanie ścieków wytworzonych na etapie realizacji podmiotom posiadającym uprawnienia do unieszkodliwiania;</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tankowanie maszyn w miejscach do tego wyznaczonych; stosowanie sprawnego technicznie sprzętu; stosowanie urządzeń podczyszczających (separatory, osadniki) do oczyszczania wód opadowych lub roztopowych pochodzących z powierzchni szczelnych (dróg) w przypadkach wskazanych obowiązującymi przepisami oraz innych technicznych metod ograniczających ryzyko przedostawania się substancji szczególnie niebezpiecznych (węglowodory ropopochodne, oleje, paliwa)</w:t>
            </w:r>
          </w:p>
        </w:tc>
      </w:tr>
      <w:tr w:rsidR="001563AE" w:rsidRPr="00020C09" w14:paraId="36B5BB6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3EE4FE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387D4A4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redukcja emisji gazów cieplarnianych i zanieczyszczeń pyłowych, a tym samym ograniczenie przedostawania się tego typu zanieczyszczeń do ekosystemów wodnych oraz do atmosfery, gdzie w bezpośrednio w postaci kwaśnych deszczy lub pośrednio w wyniku spływu powierzchniowego wprowadzane są do wód; (2) poprawa efektywności energetycznej; (3) zmniejszenie zużycia paliw; (4) optymalizacja i upłynnienie ruchu, co może przyczynić się to zmniejszenia liczby wypadków i związaną z tym potencjalną emisją zanieczyszczeń ciekłych przedostających się do wód gruntowych; (5) ograniczenie ilości zanieczyszczeń emitowanych do środowiska, takich jak np. dwutlenek siarki, tlenki azotu, dwutlenek węgla oraz różnego rodzaju pyły, które pośrednio mogłyby przedostawać się do wód w wyniku depozycji suchej (pyły) lub mokrej (opady); (6) zmniejszenie ryzyka wypadów</w:t>
            </w:r>
          </w:p>
        </w:tc>
        <w:tc>
          <w:tcPr>
            <w:tcW w:w="1504" w:type="pct"/>
            <w:tcBorders>
              <w:top w:val="nil"/>
              <w:left w:val="nil"/>
              <w:bottom w:val="single" w:sz="4" w:space="0" w:color="auto"/>
              <w:right w:val="single" w:sz="4" w:space="0" w:color="auto"/>
            </w:tcBorders>
            <w:shd w:val="clear" w:color="auto" w:fill="auto"/>
            <w:hideMark/>
          </w:tcPr>
          <w:p w14:paraId="399695E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hideMark/>
          </w:tcPr>
          <w:p w14:paraId="610277A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22298A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4E347E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000000" w:fill="FFFFFF"/>
            <w:hideMark/>
          </w:tcPr>
          <w:p w14:paraId="4E4AD29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277EE5EB" w14:textId="69048182"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bezpośrednie, chwilowe o charakterze lokalnym na etapie realizacji inwestycji związanych z budową, rozbudową i przebudową infrastruktury miejskiej (szlaki rowerowe, ciągi pieszych, przystanki, zaplecze techniczne, etc.):</w:t>
            </w:r>
            <w:r w:rsidRPr="00020C09">
              <w:rPr>
                <w:rFonts w:ascii="Calibri" w:eastAsia="Times New Roman" w:hAnsi="Calibri" w:cs="Times New Roman"/>
                <w:color w:val="000000"/>
                <w:szCs w:val="24"/>
                <w:lang w:eastAsia="pl-PL"/>
              </w:rPr>
              <w:br/>
              <w:t>(1) emisja zanieczyszczeń pyłowych</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w</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trakcie prac remontowo-budowlanych;</w:t>
            </w:r>
            <w:r w:rsidRPr="00020C09">
              <w:rPr>
                <w:rFonts w:ascii="Calibri" w:eastAsia="Times New Roman" w:hAnsi="Calibri" w:cs="Times New Roman"/>
                <w:color w:val="000000"/>
                <w:szCs w:val="24"/>
                <w:lang w:eastAsia="pl-PL"/>
              </w:rPr>
              <w:br/>
              <w:t>(2) emisja zanieczyszczeń gazowych związanych z pracą urządzeń i pojazdów spalinowych w trakcie wykonywanych prac remontowo-budowlanych</w:t>
            </w:r>
          </w:p>
        </w:tc>
        <w:tc>
          <w:tcPr>
            <w:tcW w:w="1818" w:type="pct"/>
            <w:tcBorders>
              <w:top w:val="nil"/>
              <w:left w:val="nil"/>
              <w:bottom w:val="single" w:sz="4" w:space="0" w:color="auto"/>
              <w:right w:val="single" w:sz="4" w:space="0" w:color="auto"/>
            </w:tcBorders>
            <w:shd w:val="clear" w:color="000000" w:fill="FFFFFF"/>
            <w:hideMark/>
          </w:tcPr>
          <w:p w14:paraId="4A473F2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Zamiatanie drogi dojazdowej do miejsca / placu budowy na mokro, mycie i spłukiwanie drogi;</w:t>
            </w:r>
          </w:p>
          <w:p w14:paraId="2A4E0898" w14:textId="77777777" w:rsidR="001E762B" w:rsidRPr="00020C09" w:rsidRDefault="001E762B" w:rsidP="00622DC9">
            <w:pPr>
              <w:pStyle w:val="Akapitzlist"/>
              <w:numPr>
                <w:ilvl w:val="0"/>
                <w:numId w:val="40"/>
              </w:numPr>
              <w:spacing w:before="0" w:after="0" w:line="240" w:lineRule="auto"/>
              <w:ind w:left="355" w:hanging="283"/>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mycie kół pojazdu przy wyjeździe z terenu budowy;</w:t>
            </w:r>
          </w:p>
          <w:p w14:paraId="0EAC71C2" w14:textId="77777777" w:rsidR="001E762B" w:rsidRPr="00020C09" w:rsidRDefault="001E762B" w:rsidP="00622DC9">
            <w:pPr>
              <w:pStyle w:val="Akapitzlist"/>
              <w:numPr>
                <w:ilvl w:val="0"/>
                <w:numId w:val="40"/>
              </w:numPr>
              <w:spacing w:before="0" w:after="0" w:line="240" w:lineRule="auto"/>
              <w:ind w:left="355" w:hanging="283"/>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stosowanie kołnierzy i ekranów przeciwkurzowych (przeciwpyłowych) przy pracach demontażowych i rozbiórkowych;</w:t>
            </w:r>
          </w:p>
          <w:p w14:paraId="0894DE58" w14:textId="4C5483C4"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Wyłączanie silników maszyn i urządzeń (w tym pojazdów samochodowych)</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w trakcie postoju</w:t>
            </w:r>
          </w:p>
        </w:tc>
      </w:tr>
      <w:tr w:rsidR="001563AE" w:rsidRPr="00020C09" w14:paraId="0AD7F98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44731D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A4F993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bezpośrednie długoterminowe: wdrożenie rozwiązań z obszaru zrównoważonej, zeroemisyjnej multimodalnej mobilności miejskiej przyczyni się do długoterminowego obniżenia ilości zanieczyszczeń pyłowych i gazowych emitowanych do powietrza atmosferycznego (obniżenie natężenia ruchu pojazdów spalinowych w miastach)</w:t>
            </w:r>
          </w:p>
        </w:tc>
        <w:tc>
          <w:tcPr>
            <w:tcW w:w="1504" w:type="pct"/>
            <w:tcBorders>
              <w:top w:val="nil"/>
              <w:left w:val="nil"/>
              <w:bottom w:val="single" w:sz="4" w:space="0" w:color="auto"/>
              <w:right w:val="single" w:sz="4" w:space="0" w:color="auto"/>
            </w:tcBorders>
            <w:shd w:val="clear" w:color="000000" w:fill="FFFFFF"/>
            <w:hideMark/>
          </w:tcPr>
          <w:p w14:paraId="2AB493F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brak</w:t>
            </w:r>
          </w:p>
        </w:tc>
        <w:tc>
          <w:tcPr>
            <w:tcW w:w="1818" w:type="pct"/>
            <w:tcBorders>
              <w:top w:val="nil"/>
              <w:left w:val="nil"/>
              <w:bottom w:val="single" w:sz="4" w:space="0" w:color="auto"/>
              <w:right w:val="single" w:sz="4" w:space="0" w:color="auto"/>
            </w:tcBorders>
            <w:shd w:val="clear" w:color="000000" w:fill="FFFFFF"/>
            <w:noWrap/>
            <w:hideMark/>
          </w:tcPr>
          <w:p w14:paraId="6C9E2AA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E2F14D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A8D73D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3FA0A10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w:t>
            </w:r>
          </w:p>
        </w:tc>
        <w:tc>
          <w:tcPr>
            <w:tcW w:w="1504" w:type="pct"/>
            <w:tcBorders>
              <w:top w:val="nil"/>
              <w:left w:val="nil"/>
              <w:bottom w:val="single" w:sz="4" w:space="0" w:color="auto"/>
              <w:right w:val="single" w:sz="4" w:space="0" w:color="auto"/>
            </w:tcBorders>
            <w:shd w:val="clear" w:color="000000" w:fill="FFFFFF"/>
            <w:hideMark/>
          </w:tcPr>
          <w:p w14:paraId="104E07F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(1)naruszenie powierzchni ziemi, powstawanie odkładów ziemnych na etapie budowy,</w:t>
            </w:r>
            <w:r w:rsidRPr="00020C09">
              <w:rPr>
                <w:rFonts w:ascii="Calibri" w:eastAsia="Times New Roman" w:hAnsi="Calibri" w:cs="Times New Roman"/>
                <w:color w:val="000000"/>
                <w:szCs w:val="24"/>
                <w:lang w:eastAsia="pl-PL"/>
              </w:rPr>
              <w:br/>
              <w:t>(2) emisja zanieczyszczeń do gleby na etapie budowy.</w:t>
            </w:r>
          </w:p>
        </w:tc>
        <w:tc>
          <w:tcPr>
            <w:tcW w:w="1818" w:type="pct"/>
            <w:tcBorders>
              <w:top w:val="nil"/>
              <w:left w:val="nil"/>
              <w:bottom w:val="single" w:sz="4" w:space="0" w:color="auto"/>
              <w:right w:val="single" w:sz="4" w:space="0" w:color="auto"/>
            </w:tcBorders>
            <w:shd w:val="clear" w:color="000000" w:fill="FFFFFF"/>
            <w:hideMark/>
          </w:tcPr>
          <w:p w14:paraId="1C94960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Ad.1.-Ad.2. Kontrolowanie maszyn i urządzeń, usuwanie usterek, w celu zapobiegania niekontrolowanym wyciekom substancji zanieczyszczających :</w:t>
            </w:r>
          </w:p>
          <w:p w14:paraId="0B4D4C37" w14:textId="77777777" w:rsidR="001E762B" w:rsidRPr="00020C09" w:rsidRDefault="001E762B" w:rsidP="00622DC9">
            <w:pPr>
              <w:pStyle w:val="Akapitzlist"/>
              <w:numPr>
                <w:ilvl w:val="0"/>
                <w:numId w:val="41"/>
              </w:numPr>
              <w:spacing w:before="0" w:after="0" w:line="240" w:lineRule="auto"/>
              <w:ind w:left="355" w:hanging="283"/>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usuwanie wszelkich odpadów po zakończeniu prac budowlanych.</w:t>
            </w:r>
          </w:p>
          <w:p w14:paraId="2F718524" w14:textId="77777777" w:rsidR="001E762B" w:rsidRPr="00020C09" w:rsidRDefault="001E762B" w:rsidP="00622DC9">
            <w:pPr>
              <w:pStyle w:val="Akapitzlist"/>
              <w:numPr>
                <w:ilvl w:val="0"/>
                <w:numId w:val="41"/>
              </w:numPr>
              <w:spacing w:before="0" w:after="0" w:line="240" w:lineRule="auto"/>
              <w:ind w:left="355" w:hanging="283"/>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ponowne wykorzystanie materiału wydobywanego w miejscu inwestycji; rozściełanie warstwy próchniczej na powierzchni terenu.</w:t>
            </w:r>
          </w:p>
          <w:p w14:paraId="310D8188" w14:textId="77777777" w:rsidR="001E762B" w:rsidRPr="00020C09" w:rsidRDefault="001E762B" w:rsidP="00622DC9">
            <w:pPr>
              <w:pStyle w:val="Akapitzlist"/>
              <w:numPr>
                <w:ilvl w:val="0"/>
                <w:numId w:val="41"/>
              </w:numPr>
              <w:spacing w:before="0" w:after="0" w:line="240" w:lineRule="auto"/>
              <w:ind w:left="355" w:hanging="283"/>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zachowanie szybkiego tempa prac budowlanych i planowego wykonania wykopów z zachowaniem zabezpieczeń przed uplastycznieniem gruntów spoistych, jak i optymalnych warunków do prowadzenia zagęszczeń nasypów.</w:t>
            </w:r>
          </w:p>
        </w:tc>
      </w:tr>
      <w:tr w:rsidR="001563AE" w:rsidRPr="00020C09" w14:paraId="37E838B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F40A06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D557C5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238FB39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emisja zanieczyszczeń do gleby, w tym wskutek stosowania herbicydów do usuwania roślinności inwazyjnej wzdłuż torowiska, pasa ruchu drogowego</w:t>
            </w:r>
          </w:p>
        </w:tc>
        <w:tc>
          <w:tcPr>
            <w:tcW w:w="1818" w:type="pct"/>
            <w:tcBorders>
              <w:top w:val="nil"/>
              <w:left w:val="nil"/>
              <w:bottom w:val="single" w:sz="4" w:space="0" w:color="auto"/>
              <w:right w:val="single" w:sz="4" w:space="0" w:color="auto"/>
            </w:tcBorders>
            <w:shd w:val="clear" w:color="000000" w:fill="FFFFFF"/>
            <w:hideMark/>
          </w:tcPr>
          <w:p w14:paraId="5AE9016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Wykorzystywanie różnych form zielonej infrastruktury</w:t>
            </w:r>
          </w:p>
        </w:tc>
      </w:tr>
      <w:tr w:rsidR="001563AE" w:rsidRPr="00020C09" w14:paraId="64B64A3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2D5A6D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396D78F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37C5874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2FE44EF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FC7D8E9"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04952A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7F4BF7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362EAA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chaos przestrzenny</w:t>
            </w:r>
          </w:p>
        </w:tc>
        <w:tc>
          <w:tcPr>
            <w:tcW w:w="1818" w:type="pct"/>
            <w:tcBorders>
              <w:top w:val="nil"/>
              <w:left w:val="nil"/>
              <w:bottom w:val="single" w:sz="4" w:space="0" w:color="auto"/>
              <w:right w:val="single" w:sz="4" w:space="0" w:color="auto"/>
            </w:tcBorders>
            <w:shd w:val="clear" w:color="000000" w:fill="FFFFFF"/>
            <w:hideMark/>
          </w:tcPr>
          <w:p w14:paraId="64D2385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Utrzymywanie porządku podczas prac budowlanych</w:t>
            </w:r>
          </w:p>
        </w:tc>
      </w:tr>
      <w:tr w:rsidR="001563AE" w:rsidRPr="00020C09" w14:paraId="5CE157C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0D9602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0E4A753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9805A0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K:bezpośrednie, chwilowe o charakterze lokalnym na etapie realizacji inwestycji związanych z budową, rozbudową i przebudową infrastruktury miejskiej (szlaki rowerowe, ciągi pieszych, przystanki, zaplecze techniczne, etc.):</w:t>
            </w:r>
            <w:r w:rsidRPr="00020C09">
              <w:rPr>
                <w:rFonts w:ascii="Calibri" w:eastAsia="Times New Roman" w:hAnsi="Calibri" w:cs="Times New Roman"/>
                <w:color w:val="000000"/>
                <w:szCs w:val="24"/>
                <w:lang w:eastAsia="pl-PL"/>
              </w:rPr>
              <w:br/>
              <w:t>(1) emisja zanieczyszczeń gazowych (w tym gazów cieplarnianych) związanych z pracą urządzeń i pojazdów spalinowych w trakcie wykonywanych prac remontowo-budowlanych</w:t>
            </w:r>
          </w:p>
        </w:tc>
        <w:tc>
          <w:tcPr>
            <w:tcW w:w="1818" w:type="pct"/>
            <w:tcBorders>
              <w:top w:val="nil"/>
              <w:left w:val="nil"/>
              <w:bottom w:val="single" w:sz="4" w:space="0" w:color="auto"/>
              <w:right w:val="single" w:sz="4" w:space="0" w:color="auto"/>
            </w:tcBorders>
            <w:shd w:val="clear" w:color="000000" w:fill="FFFFFF"/>
            <w:hideMark/>
          </w:tcPr>
          <w:p w14:paraId="2C0BD46E" w14:textId="4E09C660"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Wyłączanie silników maszyn i urządzeń (w tym pojazdów samochodowych)</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w trakcie postoju</w:t>
            </w:r>
          </w:p>
        </w:tc>
      </w:tr>
      <w:tr w:rsidR="001563AE" w:rsidRPr="00020C09" w14:paraId="4B7BA0DB"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BF142A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1963CC9" w14:textId="17804041"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bezpośrednie długoterminowe: wdrożenie rozwiązań z obszaru zrównoważonej, zeroemisyjnej multimodalnej mobilności miejskiej przyczyni się do długoterminowego obniżenia ilości zanieczyszczeń</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gazowych (ze szczególnym uwzględnieniem gazów cieplarnianych)</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emitowanych do powietrza atmosferycznego (obniżenie natężenia ruchu pojazdów spalinowych w miastach)</w:t>
            </w:r>
          </w:p>
        </w:tc>
        <w:tc>
          <w:tcPr>
            <w:tcW w:w="1504" w:type="pct"/>
            <w:tcBorders>
              <w:top w:val="nil"/>
              <w:left w:val="nil"/>
              <w:bottom w:val="single" w:sz="4" w:space="0" w:color="auto"/>
              <w:right w:val="single" w:sz="4" w:space="0" w:color="auto"/>
            </w:tcBorders>
            <w:shd w:val="clear" w:color="000000" w:fill="FFFFFF"/>
            <w:hideMark/>
          </w:tcPr>
          <w:p w14:paraId="7BA6AF2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brak</w:t>
            </w:r>
          </w:p>
        </w:tc>
        <w:tc>
          <w:tcPr>
            <w:tcW w:w="1818" w:type="pct"/>
            <w:tcBorders>
              <w:top w:val="single" w:sz="4" w:space="0" w:color="auto"/>
              <w:left w:val="nil"/>
              <w:bottom w:val="single" w:sz="4" w:space="0" w:color="auto"/>
              <w:right w:val="single" w:sz="4" w:space="0" w:color="auto"/>
            </w:tcBorders>
            <w:shd w:val="clear" w:color="auto" w:fill="auto"/>
            <w:noWrap/>
            <w:hideMark/>
          </w:tcPr>
          <w:p w14:paraId="4499631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520936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0D6C52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2A57447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0EA390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materiały budowlane na etapie budowy, tym samym do zubożenie ilości kruszyw naturalnych</w:t>
            </w:r>
          </w:p>
        </w:tc>
        <w:tc>
          <w:tcPr>
            <w:tcW w:w="1818" w:type="pct"/>
            <w:tcBorders>
              <w:top w:val="single" w:sz="4" w:space="0" w:color="auto"/>
              <w:left w:val="nil"/>
              <w:bottom w:val="single" w:sz="4" w:space="0" w:color="auto"/>
              <w:right w:val="single" w:sz="4" w:space="0" w:color="auto"/>
            </w:tcBorders>
            <w:shd w:val="clear" w:color="000000" w:fill="FFFFFF"/>
            <w:hideMark/>
          </w:tcPr>
          <w:p w14:paraId="649AE3C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Racjonalna gospodarka materiałami, w tym surowcami naturalnymi podczas prac budowlanych</w:t>
            </w:r>
          </w:p>
        </w:tc>
      </w:tr>
      <w:tr w:rsidR="001563AE" w:rsidRPr="00020C09" w14:paraId="160F96D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DC4591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099E24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zmiana zachowań konsumenckich na korzyść publicznego transportu publicznego i wzrost świadomości ekologicznej mieszkańców</w:t>
            </w:r>
          </w:p>
        </w:tc>
        <w:tc>
          <w:tcPr>
            <w:tcW w:w="1504" w:type="pct"/>
            <w:tcBorders>
              <w:top w:val="nil"/>
              <w:left w:val="nil"/>
              <w:bottom w:val="single" w:sz="4" w:space="0" w:color="auto"/>
              <w:right w:val="single" w:sz="4" w:space="0" w:color="auto"/>
            </w:tcBorders>
            <w:shd w:val="clear" w:color="000000" w:fill="FFFFFF"/>
            <w:hideMark/>
          </w:tcPr>
          <w:p w14:paraId="4A8A966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1B9F59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C6536D1"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6F19BE8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49AED20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2BD1F8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hałas, pylenie i wibracje w trakcie budowy inwestycji</w:t>
            </w:r>
          </w:p>
        </w:tc>
        <w:tc>
          <w:tcPr>
            <w:tcW w:w="1818" w:type="pct"/>
            <w:tcBorders>
              <w:top w:val="nil"/>
              <w:left w:val="nil"/>
              <w:bottom w:val="single" w:sz="4" w:space="0" w:color="auto"/>
              <w:right w:val="single" w:sz="4" w:space="0" w:color="auto"/>
            </w:tcBorders>
            <w:shd w:val="clear" w:color="auto" w:fill="auto"/>
            <w:noWrap/>
            <w:hideMark/>
          </w:tcPr>
          <w:p w14:paraId="3C70547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zgodnie z zaleceniami wojewódzkiego konserwatora zabytków</w:t>
            </w:r>
          </w:p>
        </w:tc>
      </w:tr>
      <w:tr w:rsidR="001563AE" w:rsidRPr="00020C09" w14:paraId="04C845BC"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11F4C4B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62C9E8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Promowanie ekologicznego transportu publicznego, zwiększenie dostępności do dóbr materialnych</w:t>
            </w:r>
          </w:p>
        </w:tc>
        <w:tc>
          <w:tcPr>
            <w:tcW w:w="1504" w:type="pct"/>
            <w:tcBorders>
              <w:top w:val="nil"/>
              <w:left w:val="nil"/>
              <w:bottom w:val="single" w:sz="4" w:space="0" w:color="auto"/>
              <w:right w:val="single" w:sz="4" w:space="0" w:color="auto"/>
            </w:tcBorders>
            <w:shd w:val="clear" w:color="000000" w:fill="FFFFFF"/>
            <w:hideMark/>
          </w:tcPr>
          <w:p w14:paraId="28CAF51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0D294EF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23A85272"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549E39"/>
            <w:hideMark/>
          </w:tcPr>
          <w:p w14:paraId="12280083" w14:textId="77777777" w:rsidR="001E762B" w:rsidRPr="00020C09" w:rsidRDefault="001E762B" w:rsidP="00B83214">
            <w:pPr>
              <w:spacing w:after="0" w:line="240" w:lineRule="auto"/>
              <w:rPr>
                <w:rFonts w:ascii="Calibri" w:eastAsia="Times New Roman" w:hAnsi="Calibri" w:cs="Times New Roman"/>
                <w:b/>
                <w:bCs/>
                <w:color w:val="FFFFFF"/>
                <w:szCs w:val="24"/>
                <w:lang w:eastAsia="pl-PL"/>
              </w:rPr>
            </w:pPr>
            <w:r w:rsidRPr="00020C09">
              <w:rPr>
                <w:rFonts w:ascii="Calibri" w:eastAsia="Times New Roman" w:hAnsi="Calibri" w:cs="Times New Roman"/>
                <w:b/>
                <w:bCs/>
                <w:color w:val="FFFFFF"/>
                <w:szCs w:val="24"/>
                <w:lang w:eastAsia="pl-PL"/>
              </w:rPr>
              <w:t>Priorytet 4. Fundusze Europejskie na rzecz połączonego Pomorza Zachodniego</w:t>
            </w:r>
          </w:p>
        </w:tc>
      </w:tr>
      <w:tr w:rsidR="001E762B" w:rsidRPr="00020C09" w14:paraId="54DB6A0C"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F2F2F2"/>
            <w:hideMark/>
          </w:tcPr>
          <w:p w14:paraId="0B6FA36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Cel polityki CP 3. Lepiej połączona Europa dzięki zwiększeniu mobilności</w:t>
            </w:r>
          </w:p>
        </w:tc>
      </w:tr>
      <w:tr w:rsidR="001E762B" w:rsidRPr="00020C09" w14:paraId="519E26A9"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008035D7"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(ii): Rozwój i udoskonalanie zrównoważonej, odpornej na zmiany klimatu, inteligentnej i intermodalnej mobilności na poziomie krajowym, regionalnym i lokalnym, w tym poprawę dostępu do TEN-T oraz mobilności transgranicznej</w:t>
            </w:r>
          </w:p>
        </w:tc>
      </w:tr>
      <w:tr w:rsidR="001563AE" w:rsidRPr="00020C09" w14:paraId="58DBF05C"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3B3E0C05"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565FECF6"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39128EB5"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17F97A77"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6CF9E28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8A0DE0E"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1E73706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DAB73B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zajęcie areału siedliska pod inwestycję i związana z tym wycinka drzew i krzewów, przemieszczanie dużych ilości mas ziemnych, wykopy, składowanie materiałów budowlanych, zwiększona emisja zanieczyszczeń, hałasu, zanieczyszczenie światłem, płoszenie zwierząt i ich wzmożona śmiertelność</w:t>
            </w:r>
          </w:p>
        </w:tc>
        <w:tc>
          <w:tcPr>
            <w:tcW w:w="1818" w:type="pct"/>
            <w:tcBorders>
              <w:top w:val="nil"/>
              <w:left w:val="nil"/>
              <w:bottom w:val="single" w:sz="4" w:space="0" w:color="auto"/>
              <w:right w:val="single" w:sz="4" w:space="0" w:color="auto"/>
            </w:tcBorders>
            <w:shd w:val="clear" w:color="000000" w:fill="FFFFFF"/>
            <w:hideMark/>
          </w:tcPr>
          <w:p w14:paraId="4583D11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stosowanie odpowiednich rozwiązań techniczno-organizacyjnych i zabezpieczeń, wykonywanie określonych prac budowlanych w odpowiednich terminach np. poza okresem lęgowym, unikanie zagęszczenia urządzeń pracujących równocześnie na małym obszarze; ograniczenie negatywnego wpływu prac budowlanych na cenne gatunki roślin i zwierząt</w:t>
            </w:r>
            <w:r w:rsidRPr="00020C09">
              <w:rPr>
                <w:rFonts w:ascii="Calibri" w:eastAsia="Times New Roman" w:hAnsi="Calibri" w:cs="Times New Roman"/>
                <w:color w:val="000000"/>
                <w:szCs w:val="24"/>
                <w:lang w:eastAsia="pl-PL"/>
              </w:rPr>
              <w:br/>
              <w:t>Ad. 2. Ograniczenie wycinki drzew i krzewów w obrębie prowadzonych prac budowlanych do niezbędnego minimum, stosowanie dobrych praktyk w zakresie ochrony środowiska, w szczególności standardów ochrony drzew</w:t>
            </w:r>
          </w:p>
        </w:tc>
      </w:tr>
      <w:tr w:rsidR="001563AE" w:rsidRPr="00020C09" w14:paraId="0571E94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974608F"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0A9302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Poprawa jakości środowiska w tym zasobów przyrodniczych w kontekście redukcji hałasu i emisji zanieczyszczeń do wód, gleby i powietrza</w:t>
            </w:r>
          </w:p>
        </w:tc>
        <w:tc>
          <w:tcPr>
            <w:tcW w:w="1504" w:type="pct"/>
            <w:tcBorders>
              <w:top w:val="nil"/>
              <w:left w:val="nil"/>
              <w:bottom w:val="single" w:sz="4" w:space="0" w:color="auto"/>
              <w:right w:val="single" w:sz="4" w:space="0" w:color="auto"/>
            </w:tcBorders>
            <w:shd w:val="clear" w:color="000000" w:fill="FFFFFF"/>
            <w:hideMark/>
          </w:tcPr>
          <w:p w14:paraId="45AA339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ryzyko wystąpienia efektu barierowego - fragmentacji siedlisk, utrudnienia w przemieszczaniu się gatunków, ograniczenia ciągłości korytarzy migracyjnych; ryzyko kolizji ze zwierzętami; zniszczenie/zubożenie siedlisk przyrodniczych; 2) potencjalny negatywny wpływ na funkcjonalne powiązania obszarów chronionych, w tym obszarów Natura 2000; 3) linie komunikacyjne mogą stanowić dogodną drogę dla rozprzestrzeniania się gatunków obcych, w tym inwazyjnych</w:t>
            </w:r>
          </w:p>
        </w:tc>
        <w:tc>
          <w:tcPr>
            <w:tcW w:w="1818" w:type="pct"/>
            <w:tcBorders>
              <w:top w:val="nil"/>
              <w:left w:val="nil"/>
              <w:bottom w:val="single" w:sz="4" w:space="0" w:color="auto"/>
              <w:right w:val="single" w:sz="4" w:space="0" w:color="auto"/>
            </w:tcBorders>
            <w:shd w:val="clear" w:color="000000" w:fill="FFFFFF"/>
            <w:hideMark/>
          </w:tcPr>
          <w:p w14:paraId="2D89403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themeColor="text1"/>
                <w:szCs w:val="24"/>
                <w:lang w:eastAsia="pl-PL"/>
              </w:rPr>
              <w:t>Ad.1.-Ad.2. Unikanie, w sytuacji gdy jest to możliwe, kolizji z obszarami przyrodniczo cennymi w procesie planowania i projektowania inwestycji; tworzenie przejść (o odpowiednim zagęszczeniu) dla zwierząt; tworzenie korytarzy siedliskowych prowadzących w kierunku przejść oraz szlaków naprowadzających; inwentaryzacja przyrodnicza przeprowadzona w okresie umożliwiającym identyfikację występujących na terenie gatunków roślin i zwierząt oraz wystarczającym do oceny znaczenia tego obszaru dla bioróżnorodności i chronionych gatunków Ad. 3) Prowadzenie prac pielęgnacyjnych roślinności wzdłuż ciągów komunikacyjnych</w:t>
            </w:r>
          </w:p>
        </w:tc>
      </w:tr>
      <w:tr w:rsidR="001563AE" w:rsidRPr="00020C09" w14:paraId="726A9799"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E0E49F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0537688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9B21C6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nadmierny hałas, wibracje, pylenie, zanieczyszczenie oświetleniem w trakcie budowy inwestycji</w:t>
            </w:r>
          </w:p>
        </w:tc>
        <w:tc>
          <w:tcPr>
            <w:tcW w:w="1818" w:type="pct"/>
            <w:tcBorders>
              <w:top w:val="nil"/>
              <w:left w:val="nil"/>
              <w:bottom w:val="single" w:sz="4" w:space="0" w:color="auto"/>
              <w:right w:val="single" w:sz="4" w:space="0" w:color="auto"/>
            </w:tcBorders>
            <w:shd w:val="clear" w:color="000000" w:fill="FFFFFF"/>
            <w:hideMark/>
          </w:tcPr>
          <w:p w14:paraId="00F92E1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Działania informacyjne i właściwa organizacji placów budowy; prowadzenie budowy z ograniczeniem uciążliwości dla mieszkańców (np. prowadzenie prac nie powodujących hałasu w porze nocnej, minimalizacja okresu wykonywania prac budowlanych); ograniczenie oświetlenia placu budowy w godzinach nocnych.</w:t>
            </w:r>
          </w:p>
        </w:tc>
      </w:tr>
      <w:tr w:rsidR="001563AE" w:rsidRPr="00020C09" w14:paraId="29CF61B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E46C7F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C7205A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Podniesienie komfortu życia mieszkańców, a także rozwoju gospodarczego regionu w kontekście zwiększenia dostępności transportowej i komunikacyjnej (w tym infrastruktury transportu zbiorowego)</w:t>
            </w:r>
          </w:p>
        </w:tc>
        <w:tc>
          <w:tcPr>
            <w:tcW w:w="1504" w:type="pct"/>
            <w:tcBorders>
              <w:top w:val="nil"/>
              <w:left w:val="nil"/>
              <w:bottom w:val="single" w:sz="4" w:space="0" w:color="auto"/>
              <w:right w:val="single" w:sz="4" w:space="0" w:color="auto"/>
            </w:tcBorders>
            <w:shd w:val="clear" w:color="000000" w:fill="FFFFFF"/>
            <w:hideMark/>
          </w:tcPr>
          <w:p w14:paraId="3D4FB70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Hałas i emisja zanieczyszczeń w związku z bliskością dróg</w:t>
            </w:r>
          </w:p>
        </w:tc>
        <w:tc>
          <w:tcPr>
            <w:tcW w:w="1818" w:type="pct"/>
            <w:tcBorders>
              <w:top w:val="nil"/>
              <w:left w:val="nil"/>
              <w:bottom w:val="single" w:sz="4" w:space="0" w:color="auto"/>
              <w:right w:val="single" w:sz="4" w:space="0" w:color="auto"/>
            </w:tcBorders>
            <w:shd w:val="clear" w:color="000000" w:fill="FFFFFF"/>
            <w:hideMark/>
          </w:tcPr>
          <w:p w14:paraId="362E506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 1. Stosowanie rozwiązań techniczno-technologicznych w zakresie redukcji hałasu i zanieczyszczeń w związku z użytkowaniem infrastruktury drogowej</w:t>
            </w:r>
          </w:p>
        </w:tc>
      </w:tr>
      <w:tr w:rsidR="001563AE" w:rsidRPr="00020C09" w14:paraId="39DD9789"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3E4DC0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4DDA195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430AF0C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potencjalne ryzyko skażenia wód na skutek awarii (wycieki, przecieki) na etapie budowy, przebudowy, rozbudowy; (2) odwodnienia terenu (rowy melioracyjne, wykopy) na etapie prac budowlanych; (3) potencjalny wzrost ryzyka katastrof drogowych wskutek zwiększonej ilości infrastruktury komunikacyjnej na etapie eksploatacji; (4) zwiększony odpływ wód opadowych lub roztopowych z terenów uszczelnionych</w:t>
            </w:r>
          </w:p>
        </w:tc>
        <w:tc>
          <w:tcPr>
            <w:tcW w:w="1818" w:type="pct"/>
            <w:tcBorders>
              <w:top w:val="nil"/>
              <w:left w:val="nil"/>
              <w:bottom w:val="single" w:sz="4" w:space="0" w:color="auto"/>
              <w:right w:val="single" w:sz="4" w:space="0" w:color="auto"/>
            </w:tcBorders>
            <w:shd w:val="clear" w:color="auto" w:fill="auto"/>
            <w:hideMark/>
          </w:tcPr>
          <w:p w14:paraId="15C4CC4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Ad.1.-Ad.4. Stosowanie urządzeń podczyszczających lub zabezpieczających potencjalne przedostawanie się zanieczyszczeń na etapie budowy; zabezpieczenie budowy przed potencjalnym spływem zanieczyszczeń do wód powierzchniowych (plac budowy lub miejsce postoju maszyn oddalone od koryt cieków); przekazywanie ścieków wytworzonych na etapie realizacji podmiotom posiadającym uprawnienia do unieszkodliwiania; tankowanie maszyn w miejscach do tego wyznaczonych; stosowanie sprawnego technicznie sprzętu; stosowanie urządzeń podczyszczających (separatory, osadniki) do oczyszczania wód opadowych lub roztopowych pochodzących z powierzchni szczelnych (dróg) w przypadkach wskazanych obowiązującymi przepisami oraz innych technicznych metod ograniczających ryzyko przedostawania się substancji szczególnie niebezpiecznych (węglowodory ropopochodne, oleje, paliwa)</w:t>
            </w:r>
          </w:p>
        </w:tc>
      </w:tr>
      <w:tr w:rsidR="001563AE" w:rsidRPr="00020C09" w14:paraId="4F42D6AD"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50B312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1969322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ograniczenie oddziaływania na wody powierzchniowe i podziemne wskutek zmniejszenia ryzyka potencjalnego wystąpienia wypadków; (2) zmniejszenie ryzyka przedostawania się zanieczyszczeń (oleje, smary, paliwa i inne węglowodory ropopochodne) do wód lub do gleby wskutek wystąpienia awarii; (3) redukcja emisji gazów cieplarnianych, zanieczyszczeń pyłowych; (4) poprawa efektywności energetycznej; (5) zmniejszenie zużycia paliw</w:t>
            </w:r>
          </w:p>
        </w:tc>
        <w:tc>
          <w:tcPr>
            <w:tcW w:w="1504" w:type="pct"/>
            <w:tcBorders>
              <w:top w:val="nil"/>
              <w:left w:val="nil"/>
              <w:bottom w:val="single" w:sz="4" w:space="0" w:color="auto"/>
              <w:right w:val="single" w:sz="4" w:space="0" w:color="auto"/>
            </w:tcBorders>
            <w:shd w:val="clear" w:color="auto" w:fill="auto"/>
            <w:hideMark/>
          </w:tcPr>
          <w:p w14:paraId="73B5061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hideMark/>
          </w:tcPr>
          <w:p w14:paraId="02B75BA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C7DD995"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232849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000000" w:fill="FFFFFF"/>
            <w:hideMark/>
          </w:tcPr>
          <w:p w14:paraId="77165CB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2FF0B978" w14:textId="012AF74F"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bezpośrednie, chwilowe o charakterze lokalnym na etapie realizacji inwestycji związanych z budową, rozbudową sieci dróg i obwodnic:</w:t>
            </w:r>
            <w:r w:rsidRPr="00020C09">
              <w:rPr>
                <w:rFonts w:ascii="Calibri" w:eastAsia="Times New Roman" w:hAnsi="Calibri" w:cs="Times New Roman"/>
                <w:color w:val="000000"/>
                <w:szCs w:val="24"/>
                <w:lang w:eastAsia="pl-PL"/>
              </w:rPr>
              <w:br/>
              <w:t>(1) emisja zanieczyszczeń pyłowych</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w</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trakcie prac remontowo-budowlanych;</w:t>
            </w:r>
            <w:r w:rsidRPr="00020C09">
              <w:rPr>
                <w:rFonts w:ascii="Calibri" w:eastAsia="Times New Roman" w:hAnsi="Calibri" w:cs="Times New Roman"/>
                <w:color w:val="000000"/>
                <w:szCs w:val="24"/>
                <w:lang w:eastAsia="pl-PL"/>
              </w:rPr>
              <w:br/>
              <w:t>(2) emisja zanieczyszczeń gazowych związanych z pracą urządzeń i pojazdów spalinowych w trakcie wykonywanych prac remontowo-budowlanych</w:t>
            </w:r>
          </w:p>
        </w:tc>
        <w:tc>
          <w:tcPr>
            <w:tcW w:w="1818" w:type="pct"/>
            <w:tcBorders>
              <w:top w:val="nil"/>
              <w:left w:val="nil"/>
              <w:bottom w:val="single" w:sz="4" w:space="0" w:color="auto"/>
              <w:right w:val="single" w:sz="4" w:space="0" w:color="auto"/>
            </w:tcBorders>
            <w:shd w:val="clear" w:color="000000" w:fill="FFFFFF"/>
            <w:hideMark/>
          </w:tcPr>
          <w:p w14:paraId="4107FF5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Zamiatanie drogi dojazdowej do miejsca / placu budowy na mokro, mycie i spłukiwanie drogi;</w:t>
            </w:r>
          </w:p>
          <w:p w14:paraId="6ADBA922" w14:textId="77777777" w:rsidR="001E762B" w:rsidRPr="00020C09" w:rsidRDefault="001E762B" w:rsidP="00622DC9">
            <w:pPr>
              <w:pStyle w:val="Akapitzlist"/>
              <w:numPr>
                <w:ilvl w:val="0"/>
                <w:numId w:val="42"/>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mycie kół pojazdu przy wyjeździe z terenu budowy;</w:t>
            </w:r>
          </w:p>
          <w:p w14:paraId="07F47936" w14:textId="77777777" w:rsidR="001E762B" w:rsidRPr="00020C09" w:rsidRDefault="001E762B" w:rsidP="00622DC9">
            <w:pPr>
              <w:pStyle w:val="Akapitzlist"/>
              <w:numPr>
                <w:ilvl w:val="0"/>
                <w:numId w:val="42"/>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stosowanie kołnierzy i ekranów przeciwkurzowych (przeciwpyłowych) przy pracach demontażowych i rozbiórkowych;</w:t>
            </w:r>
          </w:p>
          <w:p w14:paraId="48DAC9D5" w14:textId="018E182D"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Wyłączanie silników maszyn i urządzeń (w tym pojazdów samochodowych)</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w trakcie postoju</w:t>
            </w:r>
          </w:p>
        </w:tc>
      </w:tr>
      <w:tr w:rsidR="001563AE" w:rsidRPr="00020C09" w14:paraId="7244DEA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310DD8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90E766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D:bezpośrednie długoterminowe: wdrożenie rozwiązań w obszarze intermodalnej mobilności na poziomie krajowym, regionalnym i lokalnym przyczyni się do długoterminowego obniżenia ilości zanieczyszczeń pyłowych i gazowych emitowanych do powietrza atmosferycznego (modernizacja taboru na niskoemisyjny przyczyni się do redukcji gazów i zanieczyszczeń emitowanych z pojazdów spalinowych); </w:t>
            </w:r>
          </w:p>
        </w:tc>
        <w:tc>
          <w:tcPr>
            <w:tcW w:w="1504" w:type="pct"/>
            <w:tcBorders>
              <w:top w:val="nil"/>
              <w:left w:val="nil"/>
              <w:bottom w:val="single" w:sz="4" w:space="0" w:color="auto"/>
              <w:right w:val="single" w:sz="4" w:space="0" w:color="auto"/>
            </w:tcBorders>
            <w:shd w:val="clear" w:color="000000" w:fill="FFFFFF"/>
            <w:hideMark/>
          </w:tcPr>
          <w:p w14:paraId="4AE2284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12F650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427A5F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71F276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61368562" w14:textId="59827566"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nie zidentyfikowano</w:t>
            </w:r>
          </w:p>
        </w:tc>
        <w:tc>
          <w:tcPr>
            <w:tcW w:w="1504" w:type="pct"/>
            <w:tcBorders>
              <w:top w:val="nil"/>
              <w:left w:val="nil"/>
              <w:bottom w:val="single" w:sz="4" w:space="0" w:color="auto"/>
              <w:right w:val="single" w:sz="4" w:space="0" w:color="auto"/>
            </w:tcBorders>
            <w:shd w:val="clear" w:color="000000" w:fill="FFFFFF"/>
            <w:hideMark/>
          </w:tcPr>
          <w:p w14:paraId="03A7F5F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naruszenie powierzchni ziemi, powstawanie odkładów ziemnych na etapie budowy,</w:t>
            </w:r>
            <w:r w:rsidRPr="00020C09">
              <w:rPr>
                <w:rFonts w:ascii="Calibri" w:eastAsia="Times New Roman" w:hAnsi="Calibri" w:cs="Times New Roman"/>
                <w:color w:val="000000"/>
                <w:szCs w:val="24"/>
                <w:lang w:eastAsia="pl-PL"/>
              </w:rPr>
              <w:br/>
              <w:t>(2) emisja zanieczyszczeń do gleby na etapie budowy.</w:t>
            </w:r>
          </w:p>
        </w:tc>
        <w:tc>
          <w:tcPr>
            <w:tcW w:w="1818" w:type="pct"/>
            <w:tcBorders>
              <w:top w:val="nil"/>
              <w:left w:val="nil"/>
              <w:bottom w:val="single" w:sz="4" w:space="0" w:color="auto"/>
              <w:right w:val="single" w:sz="4" w:space="0" w:color="auto"/>
            </w:tcBorders>
            <w:shd w:val="clear" w:color="000000" w:fill="FFFFFF"/>
            <w:hideMark/>
          </w:tcPr>
          <w:p w14:paraId="5D92E34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 1.-Ad.2. Kontrolowanie maszyn i urządzeń, usuwanie usterek, w celu zapobiegania niekontrolowanym wyciekom substancji zanieczyszczających:</w:t>
            </w:r>
          </w:p>
          <w:p w14:paraId="67254A78" w14:textId="77777777" w:rsidR="001E762B" w:rsidRPr="00020C09" w:rsidRDefault="001E762B" w:rsidP="00622DC9">
            <w:pPr>
              <w:pStyle w:val="Akapitzlist"/>
              <w:numPr>
                <w:ilvl w:val="0"/>
                <w:numId w:val="43"/>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usuwanie wszelkich odpadów po zakończeniu prac budowlanych.</w:t>
            </w:r>
          </w:p>
          <w:p w14:paraId="1CA6C23A" w14:textId="77777777" w:rsidR="001E762B" w:rsidRPr="00020C09" w:rsidRDefault="001E762B" w:rsidP="00622DC9">
            <w:pPr>
              <w:pStyle w:val="Akapitzlist"/>
              <w:numPr>
                <w:ilvl w:val="0"/>
                <w:numId w:val="43"/>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ponowne wykorzystanie materiału wydobywanego w miejscu inwestycji; rozściełanie warstwy próchniczej na powierzchni terenu.</w:t>
            </w:r>
          </w:p>
          <w:p w14:paraId="4475DC60" w14:textId="77777777" w:rsidR="001E762B" w:rsidRPr="00020C09" w:rsidRDefault="001E762B" w:rsidP="00622DC9">
            <w:pPr>
              <w:pStyle w:val="Akapitzlist"/>
              <w:numPr>
                <w:ilvl w:val="0"/>
                <w:numId w:val="43"/>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prowadzenie prac odtworzeniowych rzędnych terenu i jego ukształtowania.</w:t>
            </w:r>
          </w:p>
          <w:p w14:paraId="78941647" w14:textId="77777777" w:rsidR="001E762B" w:rsidRPr="00020C09" w:rsidRDefault="001E762B" w:rsidP="00622DC9">
            <w:pPr>
              <w:pStyle w:val="Akapitzlist"/>
              <w:numPr>
                <w:ilvl w:val="0"/>
                <w:numId w:val="43"/>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zachowanie szybkiego tempa prac budowlanych i planowego wykonania wykopów z zachowaniem zabezpieczeń przed uplastycznieniem gruntów spoistych, jak i optymalnych warunków do prowadzenia zagęszczeń nasypów.</w:t>
            </w:r>
          </w:p>
        </w:tc>
      </w:tr>
      <w:tr w:rsidR="001563AE" w:rsidRPr="00020C09" w14:paraId="0017D257"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016DE7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860ED4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97C385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emisja zanieczyszczeń do gleby, w tym wskutek stosowania herbicydów do usuwania roślinności inwazyjnej wzdłuż szlaków komunikacyjnych</w:t>
            </w:r>
          </w:p>
        </w:tc>
        <w:tc>
          <w:tcPr>
            <w:tcW w:w="1818" w:type="pct"/>
            <w:tcBorders>
              <w:top w:val="nil"/>
              <w:left w:val="nil"/>
              <w:bottom w:val="single" w:sz="4" w:space="0" w:color="auto"/>
              <w:right w:val="single" w:sz="4" w:space="0" w:color="auto"/>
            </w:tcBorders>
            <w:shd w:val="clear" w:color="000000" w:fill="FFFFFF"/>
            <w:hideMark/>
          </w:tcPr>
          <w:p w14:paraId="5D89BF7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Wykorzystywania różnych form zielonej infrastruktury</w:t>
            </w:r>
          </w:p>
          <w:p w14:paraId="08820C20" w14:textId="77777777" w:rsidR="001E762B" w:rsidRPr="00020C09" w:rsidRDefault="001E762B" w:rsidP="00622DC9">
            <w:pPr>
              <w:pStyle w:val="Akapitzlist"/>
              <w:numPr>
                <w:ilvl w:val="0"/>
                <w:numId w:val="44"/>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ograniczyć stosowanie herbicydów na rzecz np. koszenia lub ręcznego usuwania roślinności</w:t>
            </w:r>
          </w:p>
        </w:tc>
      </w:tr>
      <w:tr w:rsidR="001563AE" w:rsidRPr="00020C09" w14:paraId="46320A6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CECF54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1989611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65E390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zmiany w krajobrazie na etapie budowy, przebudowy dróg</w:t>
            </w:r>
          </w:p>
        </w:tc>
        <w:tc>
          <w:tcPr>
            <w:tcW w:w="1818" w:type="pct"/>
            <w:tcBorders>
              <w:top w:val="nil"/>
              <w:left w:val="nil"/>
              <w:bottom w:val="single" w:sz="4" w:space="0" w:color="auto"/>
              <w:right w:val="single" w:sz="4" w:space="0" w:color="auto"/>
            </w:tcBorders>
            <w:shd w:val="clear" w:color="000000" w:fill="FFFFFF"/>
            <w:hideMark/>
          </w:tcPr>
          <w:p w14:paraId="27BE5F3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Właściwa organizacji placów budowy:</w:t>
            </w:r>
          </w:p>
          <w:p w14:paraId="4D57981F" w14:textId="77777777" w:rsidR="001E762B" w:rsidRPr="00020C09" w:rsidRDefault="001E762B" w:rsidP="00622DC9">
            <w:pPr>
              <w:pStyle w:val="Akapitzlist"/>
              <w:numPr>
                <w:ilvl w:val="0"/>
                <w:numId w:val="44"/>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minimalizacja okresu wykonywania prac budowlanych,</w:t>
            </w:r>
          </w:p>
          <w:p w14:paraId="3473C09E" w14:textId="77777777" w:rsidR="001E762B" w:rsidRPr="00020C09" w:rsidRDefault="001E762B" w:rsidP="00622DC9">
            <w:pPr>
              <w:pStyle w:val="Akapitzlist"/>
              <w:numPr>
                <w:ilvl w:val="0"/>
                <w:numId w:val="44"/>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 miarę możliwości wytyczać drogi dojazdowe wykorzystywane w trakcie robót budowlanych, w oparciu o istniejącą sieć dróg,</w:t>
            </w:r>
          </w:p>
          <w:p w14:paraId="57B141B1" w14:textId="77777777" w:rsidR="001E762B" w:rsidRPr="00020C09" w:rsidRDefault="001E762B" w:rsidP="00622DC9">
            <w:pPr>
              <w:pStyle w:val="Akapitzlist"/>
              <w:numPr>
                <w:ilvl w:val="0"/>
                <w:numId w:val="44"/>
              </w:numPr>
              <w:spacing w:before="0" w:after="0" w:line="240" w:lineRule="auto"/>
              <w:ind w:left="214" w:hanging="214"/>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ograniczyć wycinkę drzew i krzewów do niezbędnego minimum.</w:t>
            </w:r>
          </w:p>
        </w:tc>
      </w:tr>
      <w:tr w:rsidR="001563AE" w:rsidRPr="00020C09" w14:paraId="50B601C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8C5E8D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B8318C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5F5AC13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zmiany w krajobrazie wskutek budowy, przebudowy dróg</w:t>
            </w:r>
          </w:p>
        </w:tc>
        <w:tc>
          <w:tcPr>
            <w:tcW w:w="1818" w:type="pct"/>
            <w:tcBorders>
              <w:top w:val="nil"/>
              <w:left w:val="nil"/>
              <w:bottom w:val="single" w:sz="4" w:space="0" w:color="auto"/>
              <w:right w:val="single" w:sz="4" w:space="0" w:color="auto"/>
            </w:tcBorders>
            <w:shd w:val="clear" w:color="000000" w:fill="FFFFFF"/>
            <w:hideMark/>
          </w:tcPr>
          <w:p w14:paraId="37B25D6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Stosowanie zieleni izolacyjnej, ekranów akustycznych porośniętych pnączami</w:t>
            </w:r>
          </w:p>
        </w:tc>
      </w:tr>
      <w:tr w:rsidR="001563AE" w:rsidRPr="00020C09" w14:paraId="2C943E95"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16EDC1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000000" w:fill="FFFFFF"/>
            <w:hideMark/>
          </w:tcPr>
          <w:p w14:paraId="44FE9CC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6D03A5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bezpośrednie, chwilowe o charakterze lokalnym na etapie realizacji inwestycji związanych z budową, rozbudowa infrastruktury transportu publicznego:</w:t>
            </w:r>
            <w:r w:rsidRPr="00020C09">
              <w:rPr>
                <w:rFonts w:ascii="Calibri" w:eastAsia="Times New Roman" w:hAnsi="Calibri" w:cs="Times New Roman"/>
                <w:color w:val="000000"/>
                <w:szCs w:val="24"/>
                <w:lang w:eastAsia="pl-PL"/>
              </w:rPr>
              <w:br/>
              <w:t>(1) emisja gazów cieplarnianych związana z pracą urządzeń i pojazdów spalinowych w trakcie wykonywanych prac remontowo-budowlanych;</w:t>
            </w:r>
          </w:p>
        </w:tc>
        <w:tc>
          <w:tcPr>
            <w:tcW w:w="1818" w:type="pct"/>
            <w:tcBorders>
              <w:top w:val="nil"/>
              <w:left w:val="nil"/>
              <w:bottom w:val="single" w:sz="4" w:space="0" w:color="auto"/>
              <w:right w:val="single" w:sz="4" w:space="0" w:color="auto"/>
            </w:tcBorders>
            <w:shd w:val="clear" w:color="000000" w:fill="FFFFFF"/>
            <w:hideMark/>
          </w:tcPr>
          <w:p w14:paraId="2D5B8F46" w14:textId="03D7FEA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Wyłączanie silników maszyn i urządzeń (w tym pojazdów samochodowych)</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w trakcie postoju</w:t>
            </w:r>
          </w:p>
        </w:tc>
      </w:tr>
      <w:tr w:rsidR="001563AE" w:rsidRPr="00020C09" w14:paraId="6AC49D8D"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E319EE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0AA471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bezpośrednie długoterminowe: wdrożenie rozwiązań w obszarze intermodalnej mobilności na poziomie krajowym, regionalnym i lokalnym przyczyni się do długoterminowego obniżenia ilości gazów cieplarnianych emitowanych do powietrza atmosferycznego;</w:t>
            </w:r>
          </w:p>
        </w:tc>
        <w:tc>
          <w:tcPr>
            <w:tcW w:w="1504" w:type="pct"/>
            <w:tcBorders>
              <w:top w:val="nil"/>
              <w:left w:val="nil"/>
              <w:bottom w:val="single" w:sz="4" w:space="0" w:color="auto"/>
              <w:right w:val="single" w:sz="4" w:space="0" w:color="auto"/>
            </w:tcBorders>
            <w:shd w:val="clear" w:color="000000" w:fill="FFFFFF"/>
            <w:hideMark/>
          </w:tcPr>
          <w:p w14:paraId="7F76B75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0863767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9094629"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3DD20C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253E99F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DA4F98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(1)zwiększenie zapotrzebowania na materiały budowlane na etapie budowy, tym samym do zubożenie ilości kruszyw naturalnych</w:t>
            </w:r>
          </w:p>
        </w:tc>
        <w:tc>
          <w:tcPr>
            <w:tcW w:w="1818" w:type="pct"/>
            <w:tcBorders>
              <w:top w:val="nil"/>
              <w:left w:val="nil"/>
              <w:bottom w:val="single" w:sz="4" w:space="0" w:color="auto"/>
              <w:right w:val="single" w:sz="4" w:space="0" w:color="auto"/>
            </w:tcBorders>
            <w:shd w:val="clear" w:color="000000" w:fill="FFFFFF"/>
            <w:hideMark/>
          </w:tcPr>
          <w:p w14:paraId="6D06CD9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Stosowanie obiegu cyrkularnego surowców skalnych (o ile jest zasadne i możliwe) ograniczenie powstawania odpadów i minimalizowanie zużycia naturalnych kruszyw poprzez wtórne wykorzystania starego tłucznia.</w:t>
            </w:r>
          </w:p>
        </w:tc>
      </w:tr>
      <w:tr w:rsidR="001563AE" w:rsidRPr="00020C09" w14:paraId="5900D4D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3D570E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E5A32B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0558E25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3DF0C6A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30CC719"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0FF251D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5E396F4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C6DF08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hałas, pylenie i wibracje w trakcie budowy inwestycji</w:t>
            </w:r>
          </w:p>
        </w:tc>
        <w:tc>
          <w:tcPr>
            <w:tcW w:w="1818" w:type="pct"/>
            <w:tcBorders>
              <w:top w:val="nil"/>
              <w:left w:val="nil"/>
              <w:bottom w:val="single" w:sz="4" w:space="0" w:color="auto"/>
              <w:right w:val="single" w:sz="4" w:space="0" w:color="auto"/>
            </w:tcBorders>
            <w:shd w:val="clear" w:color="auto" w:fill="auto"/>
            <w:noWrap/>
            <w:hideMark/>
          </w:tcPr>
          <w:p w14:paraId="00B10B5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zgodnie z zaleceniami wojewódzkiego konserwatora zabytków</w:t>
            </w:r>
          </w:p>
        </w:tc>
      </w:tr>
      <w:tr w:rsidR="001563AE" w:rsidRPr="00020C09" w14:paraId="6B62CDDF"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3C3ED04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0C993C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Promowanie ekologicznego transportu publicznego, zwiększenie dostępności do dóbr materialnych</w:t>
            </w:r>
          </w:p>
        </w:tc>
        <w:tc>
          <w:tcPr>
            <w:tcW w:w="1504" w:type="pct"/>
            <w:tcBorders>
              <w:top w:val="nil"/>
              <w:left w:val="nil"/>
              <w:bottom w:val="single" w:sz="4" w:space="0" w:color="auto"/>
              <w:right w:val="single" w:sz="4" w:space="0" w:color="auto"/>
            </w:tcBorders>
            <w:shd w:val="clear" w:color="000000" w:fill="FFFFFF"/>
            <w:hideMark/>
          </w:tcPr>
          <w:p w14:paraId="603799E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5019085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0F87145B"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549E39"/>
            <w:hideMark/>
          </w:tcPr>
          <w:p w14:paraId="4880C80A" w14:textId="77777777" w:rsidR="001E762B" w:rsidRPr="00020C09" w:rsidRDefault="001E762B" w:rsidP="00B83214">
            <w:pPr>
              <w:spacing w:after="0" w:line="240" w:lineRule="auto"/>
              <w:rPr>
                <w:rFonts w:ascii="Calibri" w:eastAsia="Times New Roman" w:hAnsi="Calibri" w:cs="Times New Roman"/>
                <w:b/>
                <w:bCs/>
                <w:color w:val="FFFFFF"/>
                <w:szCs w:val="24"/>
                <w:lang w:eastAsia="pl-PL"/>
              </w:rPr>
            </w:pPr>
            <w:r w:rsidRPr="00020C09">
              <w:rPr>
                <w:rFonts w:ascii="Calibri" w:eastAsia="Times New Roman" w:hAnsi="Calibri" w:cs="Times New Roman"/>
                <w:b/>
                <w:bCs/>
                <w:color w:val="FFFFFF"/>
                <w:szCs w:val="24"/>
                <w:lang w:eastAsia="pl-PL"/>
              </w:rPr>
              <w:t>Priorytet 5. Fundusze Europejskie na rzecz przyjaznego mieszkankom i mieszkańcom Pomorza Zachodniego</w:t>
            </w:r>
          </w:p>
        </w:tc>
      </w:tr>
      <w:tr w:rsidR="001E762B" w:rsidRPr="00020C09" w14:paraId="36824653"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F2F2F2"/>
            <w:hideMark/>
          </w:tcPr>
          <w:p w14:paraId="4C24B00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Cel polityki CP 4. Europa o silniejszym wymiarze społecznym, bardziej sprzyjająca włączeniu społecznemu i wdrażająca Europejski filar praw socjalnych</w:t>
            </w:r>
          </w:p>
        </w:tc>
      </w:tr>
      <w:tr w:rsidR="001E762B" w:rsidRPr="00020C09" w14:paraId="69183278"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3ED0BE10"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(ii):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w:t>
            </w:r>
          </w:p>
        </w:tc>
      </w:tr>
      <w:tr w:rsidR="001563AE" w:rsidRPr="00020C09" w14:paraId="543A2C8F"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60550A72"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397EA3FC"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4A65DBF4"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40B3FE93"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0A873FA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6CC5E03"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793F80C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143CAE3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r w:rsidRPr="00020C09">
              <w:rPr>
                <w:rFonts w:ascii="Calibri" w:eastAsia="Times New Roman" w:hAnsi="Calibri" w:cs="Times New Roman"/>
                <w:color w:val="000000"/>
                <w:szCs w:val="24"/>
                <w:lang w:eastAsia="pl-PL"/>
              </w:rPr>
              <w:b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76F4059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23DA97B5"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1A0F250"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67C8CF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4339293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2EEF28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85A305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3FAC7D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16D209E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12D1D71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nadmierny hałas, wibracje, pylenie w trakcie budowy inwestycji</w:t>
            </w:r>
          </w:p>
        </w:tc>
        <w:tc>
          <w:tcPr>
            <w:tcW w:w="1818" w:type="pct"/>
            <w:tcBorders>
              <w:top w:val="nil"/>
              <w:left w:val="nil"/>
              <w:bottom w:val="single" w:sz="4" w:space="0" w:color="auto"/>
              <w:right w:val="single" w:sz="4" w:space="0" w:color="auto"/>
            </w:tcBorders>
            <w:shd w:val="clear" w:color="000000" w:fill="FFFFFF"/>
            <w:hideMark/>
          </w:tcPr>
          <w:p w14:paraId="1735DC8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Działania informacyjne i właściwa organizacji placów budowy; prowadzenie budowy z ograniczeniem uciążliwości dla mieszkańców (np. prowadzenie prac nie powodujących hałasu w porze nocnej, minimalizacja okresu wykonywania prac budowlanych). Ad. 2. Kontrolowanie maszyn i urządzeń, usuwanie usterek, usuwanie wszelkich odpadów po zakończeniu prac budowlanych.</w:t>
            </w:r>
          </w:p>
        </w:tc>
      </w:tr>
      <w:tr w:rsidR="001563AE" w:rsidRPr="00020C09" w14:paraId="31CC2E0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6FC3DE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5DFED1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(1) zwiększenie efektywności szkolnictwa oraz dostosowanie systemów kształcenia i szkolenia do aktualnych potrzeb rynkowych </w:t>
            </w:r>
          </w:p>
        </w:tc>
        <w:tc>
          <w:tcPr>
            <w:tcW w:w="1504" w:type="pct"/>
            <w:tcBorders>
              <w:top w:val="nil"/>
              <w:left w:val="nil"/>
              <w:bottom w:val="single" w:sz="4" w:space="0" w:color="auto"/>
              <w:right w:val="single" w:sz="4" w:space="0" w:color="auto"/>
            </w:tcBorders>
            <w:shd w:val="clear" w:color="000000" w:fill="FFFFFF"/>
            <w:hideMark/>
          </w:tcPr>
          <w:p w14:paraId="4A98205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91E7DC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C447E9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10DE01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0C5A92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09AA389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6249977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BCF75D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AB86A0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7FC850D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42D2B1E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27FEFA2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C938DBE"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0E8CAD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5DBA7F2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56AE093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6DA34B7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2F43409"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3B186C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3C8BF7C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60AC65D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50CB512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DB7874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D7CF6F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0E1B365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4FFEAC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naruszenie powierzchni ziemi, powstawanie odkładów ziemnych na etapie budowy budynków, infrastruktury</w:t>
            </w:r>
            <w:r w:rsidRPr="00020C09">
              <w:rPr>
                <w:rFonts w:ascii="Calibri" w:eastAsia="Times New Roman" w:hAnsi="Calibri" w:cs="Times New Roman"/>
                <w:color w:val="000000"/>
                <w:szCs w:val="24"/>
                <w:lang w:eastAsia="pl-PL"/>
              </w:rPr>
              <w:br/>
              <w:t>(2) emisja zanieczyszczeń do gleby na etapie budowy</w:t>
            </w:r>
            <w:r w:rsidRPr="00020C09">
              <w:rPr>
                <w:rFonts w:ascii="Calibri" w:eastAsia="Times New Roman" w:hAnsi="Calibri" w:cs="Times New Roman"/>
                <w:color w:val="000000"/>
                <w:szCs w:val="24"/>
                <w:lang w:eastAsia="pl-PL"/>
              </w:rPr>
              <w:br/>
              <w:t>(3) zasklepienie gruntu</w:t>
            </w:r>
          </w:p>
        </w:tc>
        <w:tc>
          <w:tcPr>
            <w:tcW w:w="1818" w:type="pct"/>
            <w:tcBorders>
              <w:top w:val="nil"/>
              <w:left w:val="nil"/>
              <w:bottom w:val="single" w:sz="4" w:space="0" w:color="auto"/>
              <w:right w:val="single" w:sz="4" w:space="0" w:color="auto"/>
            </w:tcBorders>
            <w:shd w:val="clear" w:color="000000" w:fill="FFFFFF"/>
            <w:hideMark/>
          </w:tcPr>
          <w:p w14:paraId="28DE282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r w:rsidRPr="00020C09">
              <w:rPr>
                <w:rFonts w:ascii="Calibri" w:eastAsia="Times New Roman" w:hAnsi="Calibri" w:cs="Times New Roman"/>
                <w:color w:val="000000"/>
                <w:szCs w:val="24"/>
                <w:lang w:eastAsia="pl-PL"/>
              </w:rPr>
              <w:br/>
              <w:t>Ad.2. Kontrolowanie maszyn i urządzeń, usuwanie usterek, usuwanie wszelkich odpadów po zakończeniu prac budowlanych.</w:t>
            </w:r>
            <w:r w:rsidRPr="00020C09">
              <w:rPr>
                <w:rFonts w:ascii="Calibri" w:eastAsia="Times New Roman" w:hAnsi="Calibri" w:cs="Times New Roman"/>
                <w:color w:val="000000"/>
                <w:szCs w:val="24"/>
                <w:lang w:eastAsia="pl-PL"/>
              </w:rPr>
              <w:br/>
              <w:t>Ad.3. Zachowywanie lub tworzenie powierzchni biologicznie czynnych gleby, zdolnych do łagodzenia degradującego działania terenów zabudowanych i zanieczyszczeń środowiska</w:t>
            </w:r>
          </w:p>
        </w:tc>
      </w:tr>
      <w:tr w:rsidR="001563AE" w:rsidRPr="00020C09" w14:paraId="0515E59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4CCCB1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F9707C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5012CE9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7C8B3FA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D74058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416093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4C6BFBF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5ACFD2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chaos przestrzenny</w:t>
            </w:r>
          </w:p>
        </w:tc>
        <w:tc>
          <w:tcPr>
            <w:tcW w:w="1818" w:type="pct"/>
            <w:tcBorders>
              <w:top w:val="nil"/>
              <w:left w:val="nil"/>
              <w:bottom w:val="single" w:sz="4" w:space="0" w:color="auto"/>
              <w:right w:val="single" w:sz="4" w:space="0" w:color="auto"/>
            </w:tcBorders>
            <w:shd w:val="clear" w:color="000000" w:fill="FFFFFF"/>
            <w:hideMark/>
          </w:tcPr>
          <w:p w14:paraId="3879A32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Utrzymywanie porządku podczas prac budowlanych</w:t>
            </w:r>
          </w:p>
        </w:tc>
      </w:tr>
      <w:tr w:rsidR="001563AE" w:rsidRPr="00020C09" w14:paraId="124FABE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704CC0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E142D6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171E310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C4C330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A41E2B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58294A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4D8DE5C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57B4904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450EF7B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8772DF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CA4AD3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54965CD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27757F8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61AB01F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7791E4B"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F2BDA7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2067D60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A8A8E2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materiały budowlane na etapie budowy, tym samym do zubożenie ilości kruszyw naturalnych</w:t>
            </w:r>
          </w:p>
        </w:tc>
        <w:tc>
          <w:tcPr>
            <w:tcW w:w="1818" w:type="pct"/>
            <w:tcBorders>
              <w:top w:val="nil"/>
              <w:left w:val="nil"/>
              <w:bottom w:val="single" w:sz="4" w:space="0" w:color="auto"/>
              <w:right w:val="single" w:sz="4" w:space="0" w:color="auto"/>
            </w:tcBorders>
            <w:shd w:val="clear" w:color="000000" w:fill="FFFFFF"/>
            <w:hideMark/>
          </w:tcPr>
          <w:p w14:paraId="407B5BA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Racjonalna gospodarka materiałami, w tym surowcami naturalnymi podczas prac budowlanych</w:t>
            </w:r>
          </w:p>
        </w:tc>
      </w:tr>
      <w:tr w:rsidR="001563AE" w:rsidRPr="00020C09" w14:paraId="0DDA57AC"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C8BF54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04E14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4E667C8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4CC3C7F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E971503"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0C6223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2BEFFA5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063A1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7929AB2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9C5DE56"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150DF00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2BE118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0B2A7A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0D796E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466BA8D0"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26EF53B9"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(iii): Wspieranie włączenia społeczno-gospodarczego społeczności marginalizowanych, gospodarstw domowych o niskich dochodach oraz grup w niekorzystnej sytuacji, w tym osób o szczególnych potrzebach, dzięki zintegrowanym działaniom obejmującym usługi mieszkaniowe i usługi społeczne</w:t>
            </w:r>
          </w:p>
        </w:tc>
      </w:tr>
      <w:tr w:rsidR="001563AE" w:rsidRPr="00020C09" w14:paraId="1FFFE5A3"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2B380DC7"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20755972"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50F52F33"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692087A0"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536A0658"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37194FE5"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611AC81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B7A707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0339973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64052F0"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25824C1E"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2AEE5D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5AB3C21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D28EE0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5DF1A5A"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4CBABD9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3307519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AD21FF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nadmierny hałas, wibracje, pylenie w trakcie budowy inwestycji</w:t>
            </w:r>
          </w:p>
        </w:tc>
        <w:tc>
          <w:tcPr>
            <w:tcW w:w="1818" w:type="pct"/>
            <w:tcBorders>
              <w:top w:val="nil"/>
              <w:left w:val="nil"/>
              <w:bottom w:val="single" w:sz="4" w:space="0" w:color="auto"/>
              <w:right w:val="single" w:sz="4" w:space="0" w:color="auto"/>
            </w:tcBorders>
            <w:shd w:val="clear" w:color="000000" w:fill="FFFFFF"/>
            <w:hideMark/>
          </w:tcPr>
          <w:p w14:paraId="2A21283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Ad.1. Działania informacyjne i właściwa organizacji placów budowy; prowadzenie budowy z ograniczeniem uciążliwości dla mieszkańców (np. prowadzenie prac nie powodujących hałasu w porze nocnej, minimalizacja okresu wykonywania prac budowlanych). </w:t>
            </w:r>
          </w:p>
          <w:p w14:paraId="5510858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kontrolowanie maszyn i urządzeń, usuwanie usterek, usuwanie wszelkich odpadów po zakończeniu prac budowlanych.</w:t>
            </w:r>
          </w:p>
        </w:tc>
      </w:tr>
      <w:tr w:rsidR="001563AE" w:rsidRPr="00020C09" w14:paraId="218C6DF2"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0B02E32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8D073A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integracja społeczna, aktywizacja społeczno-zawodowa oraz aktywizacja społeczna; (2) deinstytucjonalizacja opieki osób z niepełnosprawnościami lub w podeszłym wieku; (3) dostosowanie przestrzeni publicznej na rzecz osób ze specjalnymi potrzebami</w:t>
            </w:r>
          </w:p>
        </w:tc>
        <w:tc>
          <w:tcPr>
            <w:tcW w:w="1504" w:type="pct"/>
            <w:tcBorders>
              <w:top w:val="nil"/>
              <w:left w:val="nil"/>
              <w:bottom w:val="single" w:sz="4" w:space="0" w:color="auto"/>
              <w:right w:val="single" w:sz="4" w:space="0" w:color="auto"/>
            </w:tcBorders>
            <w:shd w:val="clear" w:color="000000" w:fill="FFFFFF"/>
            <w:hideMark/>
          </w:tcPr>
          <w:p w14:paraId="3FF2BC5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E313A0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5B4EFF0"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2362AE5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1BC7EA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5F7333A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61917EA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5B5B3AB"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29659C2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3A249FC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2A1312D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38C7027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989B654"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66BA824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1C25ECB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75F6DE0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1AB1940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314432A"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232474C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48A1D6D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03BB749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4975463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CDF80FE"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2B61742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54B1EA7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K:nie zidentyfikowano</w:t>
            </w:r>
          </w:p>
        </w:tc>
        <w:tc>
          <w:tcPr>
            <w:tcW w:w="1504" w:type="pct"/>
            <w:tcBorders>
              <w:top w:val="nil"/>
              <w:left w:val="nil"/>
              <w:bottom w:val="single" w:sz="4" w:space="0" w:color="auto"/>
              <w:right w:val="single" w:sz="4" w:space="0" w:color="auto"/>
            </w:tcBorders>
            <w:shd w:val="clear" w:color="000000" w:fill="FFFFFF"/>
            <w:hideMark/>
          </w:tcPr>
          <w:p w14:paraId="487C991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naruszenie powierzchni ziemi, powstawanie odkładów ziemnych na etapie budowy budynków, infrastruktury</w:t>
            </w:r>
            <w:r w:rsidRPr="00020C09">
              <w:rPr>
                <w:rFonts w:ascii="Calibri" w:eastAsia="Times New Roman" w:hAnsi="Calibri" w:cs="Times New Roman"/>
                <w:color w:val="000000"/>
                <w:szCs w:val="24"/>
                <w:lang w:eastAsia="pl-PL"/>
              </w:rPr>
              <w:br/>
              <w:t>(2) emisja zanieczyszczeń do gleby na etapie budowy</w:t>
            </w:r>
            <w:r w:rsidRPr="00020C09">
              <w:rPr>
                <w:rFonts w:ascii="Calibri" w:eastAsia="Times New Roman" w:hAnsi="Calibri" w:cs="Times New Roman"/>
                <w:color w:val="000000"/>
                <w:szCs w:val="24"/>
                <w:lang w:eastAsia="pl-PL"/>
              </w:rPr>
              <w:br/>
              <w:t>(3) zasklepienie gruntu</w:t>
            </w:r>
          </w:p>
        </w:tc>
        <w:tc>
          <w:tcPr>
            <w:tcW w:w="1818" w:type="pct"/>
            <w:tcBorders>
              <w:top w:val="nil"/>
              <w:left w:val="nil"/>
              <w:bottom w:val="single" w:sz="4" w:space="0" w:color="auto"/>
              <w:right w:val="single" w:sz="4" w:space="0" w:color="auto"/>
            </w:tcBorders>
            <w:shd w:val="clear" w:color="000000" w:fill="FFFFFF"/>
            <w:hideMark/>
          </w:tcPr>
          <w:p w14:paraId="6F09FA9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r w:rsidRPr="00020C09">
              <w:rPr>
                <w:rFonts w:ascii="Calibri" w:eastAsia="Times New Roman" w:hAnsi="Calibri" w:cs="Times New Roman"/>
                <w:color w:val="000000"/>
                <w:szCs w:val="24"/>
                <w:lang w:eastAsia="pl-PL"/>
              </w:rPr>
              <w:br/>
              <w:t>Ad.2. Kontrolowanie maszyn i urządzeń, usuwanie usterek, usuwanie wszelkich odpadów po zakończeniu prac budowlanych.</w:t>
            </w:r>
            <w:r w:rsidRPr="00020C09">
              <w:rPr>
                <w:rFonts w:ascii="Calibri" w:eastAsia="Times New Roman" w:hAnsi="Calibri" w:cs="Times New Roman"/>
                <w:color w:val="000000"/>
                <w:szCs w:val="24"/>
                <w:lang w:eastAsia="pl-PL"/>
              </w:rPr>
              <w:br/>
              <w:t>Ad.3 Zachowywanie lub tworzenie powierzchni biologicznie czynnych gleby, zdolnych do łagodzenia degradującego działania terenów zabudowanych i zanieczyszczeń środowiska</w:t>
            </w:r>
          </w:p>
        </w:tc>
      </w:tr>
      <w:tr w:rsidR="001563AE" w:rsidRPr="00020C09" w14:paraId="6824420F"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556480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B94C64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D:nie zidentyfikowano</w:t>
            </w:r>
          </w:p>
        </w:tc>
        <w:tc>
          <w:tcPr>
            <w:tcW w:w="1504" w:type="pct"/>
            <w:tcBorders>
              <w:top w:val="nil"/>
              <w:left w:val="nil"/>
              <w:bottom w:val="single" w:sz="4" w:space="0" w:color="auto"/>
              <w:right w:val="single" w:sz="4" w:space="0" w:color="auto"/>
            </w:tcBorders>
            <w:shd w:val="clear" w:color="000000" w:fill="FFFFFF"/>
            <w:hideMark/>
          </w:tcPr>
          <w:p w14:paraId="6586C25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7DDB7BA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D34A503"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52072BD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782AA52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170E00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chaos przestrzenny</w:t>
            </w:r>
          </w:p>
        </w:tc>
        <w:tc>
          <w:tcPr>
            <w:tcW w:w="1818" w:type="pct"/>
            <w:tcBorders>
              <w:top w:val="nil"/>
              <w:left w:val="nil"/>
              <w:bottom w:val="single" w:sz="4" w:space="0" w:color="auto"/>
              <w:right w:val="single" w:sz="4" w:space="0" w:color="auto"/>
            </w:tcBorders>
            <w:shd w:val="clear" w:color="000000" w:fill="FFFFFF"/>
            <w:hideMark/>
          </w:tcPr>
          <w:p w14:paraId="0F272EA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Utrzymywanie porządku podczas prac budowlanych</w:t>
            </w:r>
          </w:p>
        </w:tc>
      </w:tr>
      <w:tr w:rsidR="001563AE" w:rsidRPr="00020C09" w14:paraId="24B3BC2D"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17AB4BB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1848D6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7531DE7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1531707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9F90211"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1E46E05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201A3DB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29BE0E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7B31363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B7E9ADD"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50D1213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01F4090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0A0C424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1356FEE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E8FAD12"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1307D38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2E4AF64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CD749F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materiały budowlane na etapie budowy, tym samym do zubożenie ilości kruszyw naturalnych</w:t>
            </w:r>
          </w:p>
        </w:tc>
        <w:tc>
          <w:tcPr>
            <w:tcW w:w="1818" w:type="pct"/>
            <w:tcBorders>
              <w:top w:val="nil"/>
              <w:left w:val="nil"/>
              <w:bottom w:val="single" w:sz="4" w:space="0" w:color="auto"/>
              <w:right w:val="single" w:sz="4" w:space="0" w:color="auto"/>
            </w:tcBorders>
            <w:shd w:val="clear" w:color="000000" w:fill="FFFFFF"/>
            <w:hideMark/>
          </w:tcPr>
          <w:p w14:paraId="3A3D591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Racjonalna gospodarka materiałami, w tym surowcami naturalnymi podczas prac budowlanych</w:t>
            </w:r>
          </w:p>
        </w:tc>
      </w:tr>
      <w:tr w:rsidR="001563AE" w:rsidRPr="00020C09" w14:paraId="74B0E947"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48EF684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38126D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2CBCE4C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65A1366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5E7E3C8"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41F23D2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052104D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EC2A53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6C49CA6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9EEC29B"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0C1A596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9E3C36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1CBB56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EFB4E1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06458666"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07ACABC0"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(iv): Wspieranie integracji społeczno-gospodarczej obywateli państw trzecich, w tym migrantów, dzięki zintegrowanym działaniom obejmującym usługi mieszkaniowe i usługi społeczne</w:t>
            </w:r>
          </w:p>
        </w:tc>
      </w:tr>
      <w:tr w:rsidR="001563AE" w:rsidRPr="00020C09" w14:paraId="29EE470B"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34419986"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53AB726F"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7351F479"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2A1CB23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2DC74C12"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35284105"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6453365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7591D3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r w:rsidRPr="00020C09">
              <w:rPr>
                <w:rFonts w:ascii="Calibri" w:eastAsia="Times New Roman" w:hAnsi="Calibri" w:cs="Times New Roman"/>
                <w:color w:val="000000"/>
                <w:szCs w:val="24"/>
                <w:lang w:eastAsia="pl-PL"/>
              </w:rPr>
              <w:b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60C2D73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33724CE4"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51BE2861"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71FE2E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D50DE0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262CD7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490CD7E"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42FC92C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6E98C9B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67F6C5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nadmierny hałas, wibracje, pylenie w trakcie budowy inwestycji</w:t>
            </w:r>
          </w:p>
        </w:tc>
        <w:tc>
          <w:tcPr>
            <w:tcW w:w="1818" w:type="pct"/>
            <w:tcBorders>
              <w:top w:val="nil"/>
              <w:left w:val="nil"/>
              <w:bottom w:val="single" w:sz="4" w:space="0" w:color="auto"/>
              <w:right w:val="single" w:sz="4" w:space="0" w:color="auto"/>
            </w:tcBorders>
            <w:shd w:val="clear" w:color="000000" w:fill="FFFFFF"/>
            <w:hideMark/>
          </w:tcPr>
          <w:p w14:paraId="116D016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Ad.1. Działania informacyjne i właściwa organizacji placów budowy; prowadzenie budowy z ograniczeniem uciążliwości dla mieszkańców (np. prowadzenie prac nie powodujących hałasu w porze nocnej, minimalizacja okresu wykonywania prac budowlanych). </w:t>
            </w:r>
          </w:p>
          <w:p w14:paraId="1DDCA4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 2. Kontrolowanie maszyn i urządzeń, usuwanie usterek, usuwanie wszelkich odpadów po zakończeniu prac budowlanych.</w:t>
            </w:r>
          </w:p>
        </w:tc>
      </w:tr>
      <w:tr w:rsidR="001563AE" w:rsidRPr="00020C09" w14:paraId="6C44EFFD"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3228364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BB679D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integracja społeczna i aktywizacja zawodowa migrantów; (2) mieszkania chronione, wspomagane, mieszkania z usługami oraz mieszkania w ramach najmu społecznego dla obywateli państw trzecich</w:t>
            </w:r>
          </w:p>
        </w:tc>
        <w:tc>
          <w:tcPr>
            <w:tcW w:w="1504" w:type="pct"/>
            <w:tcBorders>
              <w:top w:val="nil"/>
              <w:left w:val="nil"/>
              <w:bottom w:val="single" w:sz="4" w:space="0" w:color="auto"/>
              <w:right w:val="single" w:sz="4" w:space="0" w:color="auto"/>
            </w:tcBorders>
            <w:shd w:val="clear" w:color="000000" w:fill="FFFFFF"/>
            <w:hideMark/>
          </w:tcPr>
          <w:p w14:paraId="326DDEB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C06CF2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D5FCFCB"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2BB7B64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41D93EF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4651CD9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4B4912B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789085B"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6FB38C5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561CC20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284C2BE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0D3E3BC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E157D45"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4F125F9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0EE9866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2FD6353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47C4A5B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8FB4728"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7973B79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675677B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7B3C78E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59F64D2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FE18664"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3AE5AFE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18994F9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C8F093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naruszenie powierzchni ziemi, powstawanie odkładów ziemnych na etapie budowy budynków, infrastruktury</w:t>
            </w:r>
            <w:r w:rsidRPr="00020C09">
              <w:rPr>
                <w:rFonts w:ascii="Calibri" w:eastAsia="Times New Roman" w:hAnsi="Calibri" w:cs="Times New Roman"/>
                <w:color w:val="000000"/>
                <w:szCs w:val="24"/>
                <w:lang w:eastAsia="pl-PL"/>
              </w:rPr>
              <w:br/>
              <w:t>(2) emisja zanieczyszczeń do gleby na etapie budowy</w:t>
            </w:r>
            <w:r w:rsidRPr="00020C09">
              <w:rPr>
                <w:rFonts w:ascii="Calibri" w:eastAsia="Times New Roman" w:hAnsi="Calibri" w:cs="Times New Roman"/>
                <w:color w:val="000000"/>
                <w:szCs w:val="24"/>
                <w:lang w:eastAsia="pl-PL"/>
              </w:rPr>
              <w:br/>
              <w:t>(3) zasklepienie gruntu</w:t>
            </w:r>
          </w:p>
        </w:tc>
        <w:tc>
          <w:tcPr>
            <w:tcW w:w="1818" w:type="pct"/>
            <w:tcBorders>
              <w:top w:val="nil"/>
              <w:left w:val="nil"/>
              <w:bottom w:val="single" w:sz="4" w:space="0" w:color="auto"/>
              <w:right w:val="single" w:sz="4" w:space="0" w:color="auto"/>
            </w:tcBorders>
            <w:shd w:val="clear" w:color="000000" w:fill="FFFFFF"/>
            <w:hideMark/>
          </w:tcPr>
          <w:p w14:paraId="2660F65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p>
          <w:p w14:paraId="70D666E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Kontrolowanie maszyn i urządzeń, usuwanie usterek, usuwanie wszelkich odpadów po zakończeniu prac budowlanych.</w:t>
            </w:r>
          </w:p>
          <w:p w14:paraId="6C359D5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Ad.3. Zachowywanie lub tworzenie powierzchni biologicznie czynnych gleby, zdolnych do łagodzenia degradującego działania terenów zabudowanych i zanieczyszczeń środowiska</w:t>
            </w:r>
          </w:p>
        </w:tc>
      </w:tr>
      <w:tr w:rsidR="001563AE" w:rsidRPr="00020C09" w14:paraId="09347358"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69ED934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A38DD2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52899F8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04BAB16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A19BDB5"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3C39AFE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0C1E7FA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913BC6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chaos przestrzenny</w:t>
            </w:r>
          </w:p>
        </w:tc>
        <w:tc>
          <w:tcPr>
            <w:tcW w:w="1818" w:type="pct"/>
            <w:tcBorders>
              <w:top w:val="nil"/>
              <w:left w:val="nil"/>
              <w:bottom w:val="single" w:sz="4" w:space="0" w:color="auto"/>
              <w:right w:val="single" w:sz="4" w:space="0" w:color="auto"/>
            </w:tcBorders>
            <w:shd w:val="clear" w:color="000000" w:fill="FFFFFF"/>
            <w:hideMark/>
          </w:tcPr>
          <w:p w14:paraId="552F7EA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Utrzymywanie porządku podczas prac budowlanych</w:t>
            </w:r>
          </w:p>
        </w:tc>
      </w:tr>
      <w:tr w:rsidR="001563AE" w:rsidRPr="00020C09" w14:paraId="178D8D0C"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688F8CB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61618A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78BCA6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83EAD5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B3E9571"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2C68CB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4B451BD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354A983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09BE794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6CEE950"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5AF8004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77301AF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0B87F1F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79596D9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F466FE4"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7AD994C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082D73B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2BD93E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materiały budowlane na etapie budowy, tym samym do zubożenie ilości kruszyw naturalnych</w:t>
            </w:r>
          </w:p>
        </w:tc>
        <w:tc>
          <w:tcPr>
            <w:tcW w:w="1818" w:type="pct"/>
            <w:tcBorders>
              <w:top w:val="nil"/>
              <w:left w:val="nil"/>
              <w:bottom w:val="single" w:sz="4" w:space="0" w:color="auto"/>
              <w:right w:val="single" w:sz="4" w:space="0" w:color="auto"/>
            </w:tcBorders>
            <w:shd w:val="clear" w:color="000000" w:fill="FFFFFF"/>
            <w:hideMark/>
          </w:tcPr>
          <w:p w14:paraId="4DDF6C3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Racjonalna gospodarka materiałami, w tym surowcami naturalnymi podczas prac budowlanych</w:t>
            </w:r>
          </w:p>
        </w:tc>
      </w:tr>
      <w:tr w:rsidR="001563AE" w:rsidRPr="00020C09" w14:paraId="5F87BD06"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1C3F3A5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0AF1F5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1952E5E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1C4A0AA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48A3111"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756B81E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38630B8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ABF06A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1D6EF3C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50F1BCD"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04893FF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0683BC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59C91E1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13948DC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74C61E5B"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6FAA5685"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(v): Zapewnianie równego dostępu do opieki zdrowotnej i wspieranie odporności systemów opieki zdrowotnej, w tym podstawowej opieki zdrowotnej, oraz wspieranie przechodzenia od opieki instytucjonalnej do opieki rodzinnej i środowiskowej</w:t>
            </w:r>
          </w:p>
        </w:tc>
      </w:tr>
      <w:tr w:rsidR="001563AE" w:rsidRPr="00020C09" w14:paraId="143FDBA7"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6F877494"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3A9044C8"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4BAB7F9A"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0D4B13B6"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08A7B973"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70DA416C"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000CCF7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67EB14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r w:rsidRPr="00020C09">
              <w:rPr>
                <w:rFonts w:ascii="Calibri" w:eastAsia="Times New Roman" w:hAnsi="Calibri" w:cs="Times New Roman"/>
                <w:color w:val="000000"/>
                <w:szCs w:val="24"/>
                <w:lang w:eastAsia="pl-PL"/>
              </w:rPr>
              <w:b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45632C4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083E578F"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25821D83"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BB2EEE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A84C6B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2C986A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C38DA03"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5AB1BB9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6F76EBA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03C86F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nadmierny hałas, wibracje, pylenie w trakcie budowy inwestycji</w:t>
            </w:r>
          </w:p>
        </w:tc>
        <w:tc>
          <w:tcPr>
            <w:tcW w:w="1818" w:type="pct"/>
            <w:tcBorders>
              <w:top w:val="nil"/>
              <w:left w:val="nil"/>
              <w:bottom w:val="single" w:sz="4" w:space="0" w:color="auto"/>
              <w:right w:val="single" w:sz="4" w:space="0" w:color="auto"/>
            </w:tcBorders>
            <w:shd w:val="clear" w:color="000000" w:fill="FFFFFF"/>
            <w:hideMark/>
          </w:tcPr>
          <w:p w14:paraId="6D11BAD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Działania informacyjne i właściwa organizacji placów budowy; prowadzenie budowy z ograniczeniem uciążliwości dla mieszkańców (np. prowadzenie prac nie powodujących hałasu w porze nocnej, minimalizacja okresu wykonywania prac budowlanych); kontrolowanie maszyn i urządzeń, usuwanie usterek, usuwanie wszelkich odpadów po zakończeniu prac budowlanych.</w:t>
            </w:r>
          </w:p>
        </w:tc>
      </w:tr>
      <w:tr w:rsidR="001563AE" w:rsidRPr="00020C09" w14:paraId="4712FB22"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0C10891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169308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poprawa stanu zdrowia społeczeństwa; (2) ułatwienie dostępu do lekarzy; (3) cyfryzacja opieki zdrowotnej</w:t>
            </w:r>
          </w:p>
        </w:tc>
        <w:tc>
          <w:tcPr>
            <w:tcW w:w="1504" w:type="pct"/>
            <w:tcBorders>
              <w:top w:val="nil"/>
              <w:left w:val="nil"/>
              <w:bottom w:val="single" w:sz="4" w:space="0" w:color="auto"/>
              <w:right w:val="single" w:sz="4" w:space="0" w:color="auto"/>
            </w:tcBorders>
            <w:shd w:val="clear" w:color="000000" w:fill="FFFFFF"/>
            <w:hideMark/>
          </w:tcPr>
          <w:p w14:paraId="6B782CD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C5E41E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92419F9"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3E39147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2ED27C7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5BFD77E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25EEE71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69DD8C8"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59053D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390C7BC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2EF5308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0F52629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858CBF4"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50924FE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180FB28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2D3F95B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7B5F76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7F25628"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219501E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6C7769A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3C1C872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2D7AB80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1DCA2DF"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06E01B2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5E7F03E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K:nie zidentyfikowano</w:t>
            </w:r>
          </w:p>
        </w:tc>
        <w:tc>
          <w:tcPr>
            <w:tcW w:w="1504" w:type="pct"/>
            <w:tcBorders>
              <w:top w:val="nil"/>
              <w:left w:val="nil"/>
              <w:bottom w:val="single" w:sz="4" w:space="0" w:color="auto"/>
              <w:right w:val="single" w:sz="4" w:space="0" w:color="auto"/>
            </w:tcBorders>
            <w:shd w:val="clear" w:color="000000" w:fill="FFFFFF"/>
            <w:hideMark/>
          </w:tcPr>
          <w:p w14:paraId="49C5B97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naruszenie powierzchni ziemi, powstawanie odkładów ziemnych na etapie budowy budynków, infrastruktury</w:t>
            </w:r>
            <w:r w:rsidRPr="00020C09">
              <w:rPr>
                <w:rFonts w:ascii="Calibri" w:eastAsia="Times New Roman" w:hAnsi="Calibri" w:cs="Times New Roman"/>
                <w:color w:val="000000"/>
                <w:szCs w:val="24"/>
                <w:lang w:eastAsia="pl-PL"/>
              </w:rPr>
              <w:br/>
              <w:t>(2) emisja zanieczyszczeń do gleby na etapie budowy</w:t>
            </w:r>
            <w:r w:rsidRPr="00020C09">
              <w:rPr>
                <w:rFonts w:ascii="Calibri" w:eastAsia="Times New Roman" w:hAnsi="Calibri" w:cs="Times New Roman"/>
                <w:color w:val="000000"/>
                <w:szCs w:val="24"/>
                <w:lang w:eastAsia="pl-PL"/>
              </w:rPr>
              <w:br/>
              <w:t>(3) zasklepienie gruntu</w:t>
            </w:r>
          </w:p>
        </w:tc>
        <w:tc>
          <w:tcPr>
            <w:tcW w:w="1818" w:type="pct"/>
            <w:tcBorders>
              <w:top w:val="nil"/>
              <w:left w:val="nil"/>
              <w:bottom w:val="single" w:sz="4" w:space="0" w:color="auto"/>
              <w:right w:val="single" w:sz="4" w:space="0" w:color="auto"/>
            </w:tcBorders>
            <w:shd w:val="clear" w:color="000000" w:fill="FFFFFF"/>
            <w:hideMark/>
          </w:tcPr>
          <w:p w14:paraId="4168F06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r w:rsidRPr="00020C09">
              <w:rPr>
                <w:rFonts w:ascii="Calibri" w:eastAsia="Times New Roman" w:hAnsi="Calibri" w:cs="Times New Roman"/>
                <w:color w:val="000000"/>
                <w:szCs w:val="24"/>
                <w:lang w:eastAsia="pl-PL"/>
              </w:rPr>
              <w:br/>
              <w:t>Ad.2. Kontrolowanie maszyn i urządzeń, usuwanie usterek, usuwanie wszelkich odpadów po zakończeniu prac budowlanych.</w:t>
            </w:r>
            <w:r w:rsidRPr="00020C09">
              <w:rPr>
                <w:rFonts w:ascii="Calibri" w:eastAsia="Times New Roman" w:hAnsi="Calibri" w:cs="Times New Roman"/>
                <w:color w:val="000000"/>
                <w:szCs w:val="24"/>
                <w:lang w:eastAsia="pl-PL"/>
              </w:rPr>
              <w:br/>
              <w:t>Ad. 3. Zachowywanie lub tworzenie powierzchni biologicznie czynnych gleby, zdolnych do łagodzenia degradującego działania terenów zabudowanych i zanieczyszczeń środowiska</w:t>
            </w:r>
          </w:p>
        </w:tc>
      </w:tr>
      <w:tr w:rsidR="001563AE" w:rsidRPr="00020C09" w14:paraId="78B27EE5"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386128F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26D719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3BAA4F0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0FA6450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1DDBB79"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72BB0C3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0CD102C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9649A4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chaos przestrzenny</w:t>
            </w:r>
          </w:p>
        </w:tc>
        <w:tc>
          <w:tcPr>
            <w:tcW w:w="1818" w:type="pct"/>
            <w:tcBorders>
              <w:top w:val="nil"/>
              <w:left w:val="nil"/>
              <w:bottom w:val="single" w:sz="4" w:space="0" w:color="auto"/>
              <w:right w:val="single" w:sz="4" w:space="0" w:color="auto"/>
            </w:tcBorders>
            <w:shd w:val="clear" w:color="000000" w:fill="FFFFFF"/>
            <w:hideMark/>
          </w:tcPr>
          <w:p w14:paraId="337F9E0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Utrzymywanie porządku podczas prac budowlanych</w:t>
            </w:r>
          </w:p>
        </w:tc>
      </w:tr>
      <w:tr w:rsidR="001563AE" w:rsidRPr="00020C09" w14:paraId="5E987882"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726DD76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AECE7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D71617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1B3ED0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421EB24"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1A540D1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2585DFA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1BE0DB8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1C52EB8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2F71CD8"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144682C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701480D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5DA04CF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69B57FD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847E4AE"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0D1A895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4E12FC8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96FD7C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materiały budowlane na etapie budowy, tym samym do zubożenie ilości kruszyw naturalnych</w:t>
            </w:r>
          </w:p>
        </w:tc>
        <w:tc>
          <w:tcPr>
            <w:tcW w:w="1818" w:type="pct"/>
            <w:tcBorders>
              <w:top w:val="nil"/>
              <w:left w:val="nil"/>
              <w:bottom w:val="single" w:sz="4" w:space="0" w:color="auto"/>
              <w:right w:val="single" w:sz="4" w:space="0" w:color="auto"/>
            </w:tcBorders>
            <w:shd w:val="clear" w:color="000000" w:fill="FFFFFF"/>
            <w:hideMark/>
          </w:tcPr>
          <w:p w14:paraId="62B5173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Racjonalna gospodarka materiałami, w tym surowcami naturalnymi podczas prac budowlanych</w:t>
            </w:r>
          </w:p>
        </w:tc>
      </w:tr>
      <w:tr w:rsidR="001563AE" w:rsidRPr="00020C09" w14:paraId="2BB6AFE7"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591CC94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063132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D:nie zidentyfikowano</w:t>
            </w:r>
          </w:p>
        </w:tc>
        <w:tc>
          <w:tcPr>
            <w:tcW w:w="1504" w:type="pct"/>
            <w:tcBorders>
              <w:top w:val="nil"/>
              <w:left w:val="nil"/>
              <w:bottom w:val="single" w:sz="4" w:space="0" w:color="auto"/>
              <w:right w:val="single" w:sz="4" w:space="0" w:color="auto"/>
            </w:tcBorders>
            <w:shd w:val="clear" w:color="000000" w:fill="FFFFFF"/>
            <w:hideMark/>
          </w:tcPr>
          <w:p w14:paraId="33E3390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2F109F2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6892C52"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1A86F9C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4728038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51B540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6472E35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AEE4945"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77760ED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724522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176F97E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2F24341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65CD7B1B"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427D8E6B"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(vi): Wzmocnienie roli kultury i turystyki w rozwoju gospodarczym, włączeniu społecznym i innowacjach społecznych</w:t>
            </w:r>
          </w:p>
        </w:tc>
      </w:tr>
      <w:tr w:rsidR="001563AE" w:rsidRPr="00020C09" w14:paraId="4FB6BA81"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16F8ABA7"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5CDDEE46"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490ACDA5"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3E800118"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53FC8F8D"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01DB6F7"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7F00DBD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EFFF86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r w:rsidRPr="00020C09">
              <w:rPr>
                <w:rFonts w:ascii="Calibri" w:eastAsia="Times New Roman" w:hAnsi="Calibri" w:cs="Times New Roman"/>
                <w:color w:val="000000"/>
                <w:szCs w:val="24"/>
                <w:lang w:eastAsia="pl-PL"/>
              </w:rPr>
              <w:b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1CE9E4D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7F4336E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B1BFBB4"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B93D5F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wsparcie endogenicznych potencjałów parków krajobrazowych w województwie; rozwój zrównoważonej turystyki i promowanie cennych zasobów przyrodniczych</w:t>
            </w:r>
          </w:p>
        </w:tc>
        <w:tc>
          <w:tcPr>
            <w:tcW w:w="1504" w:type="pct"/>
            <w:tcBorders>
              <w:top w:val="nil"/>
              <w:left w:val="nil"/>
              <w:bottom w:val="single" w:sz="4" w:space="0" w:color="auto"/>
              <w:right w:val="single" w:sz="4" w:space="0" w:color="auto"/>
            </w:tcBorders>
            <w:shd w:val="clear" w:color="000000" w:fill="FFFFFF"/>
            <w:hideMark/>
          </w:tcPr>
          <w:p w14:paraId="11838F8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F2666D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EFB9895"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09EAAD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720DC3D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151FDE7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02A715C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4D1FC4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51980C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E6ED57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aktywizacja społeczna mieszkańców w kulturze; (2) wzmocnienie tożsamości regionalnej</w:t>
            </w:r>
          </w:p>
        </w:tc>
        <w:tc>
          <w:tcPr>
            <w:tcW w:w="1504" w:type="pct"/>
            <w:tcBorders>
              <w:top w:val="nil"/>
              <w:left w:val="nil"/>
              <w:bottom w:val="single" w:sz="4" w:space="0" w:color="auto"/>
              <w:right w:val="single" w:sz="4" w:space="0" w:color="auto"/>
            </w:tcBorders>
            <w:shd w:val="clear" w:color="000000" w:fill="FFFFFF"/>
            <w:hideMark/>
          </w:tcPr>
          <w:p w14:paraId="2D0041D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DE9FE6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3E600B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6C80CA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5399585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3CDF42B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5C0E83E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351374C"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9B64C3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01979F4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30C4FA9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0FCF6B3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C2DC75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DC328A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42FC50A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64AFB43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43A1AB1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5B8CB1B"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345CFC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584066A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39AEBD0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7F97984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7051BE3"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D54AE6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44B2F53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207706D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naruszenie powierzchni ziemi, powstawanie odkładów ziemnych na etapie budowy budynków, infrastruktury</w:t>
            </w:r>
            <w:r w:rsidRPr="00020C09">
              <w:rPr>
                <w:rFonts w:ascii="Calibri" w:eastAsia="Times New Roman" w:hAnsi="Calibri" w:cs="Times New Roman"/>
                <w:color w:val="000000"/>
                <w:szCs w:val="24"/>
                <w:lang w:eastAsia="pl-PL"/>
              </w:rPr>
              <w:br/>
              <w:t>(2) emisja zanieczyszczeń do gleby na etapie budowy</w:t>
            </w:r>
          </w:p>
        </w:tc>
        <w:tc>
          <w:tcPr>
            <w:tcW w:w="1818" w:type="pct"/>
            <w:tcBorders>
              <w:top w:val="nil"/>
              <w:left w:val="nil"/>
              <w:bottom w:val="single" w:sz="4" w:space="0" w:color="auto"/>
              <w:right w:val="single" w:sz="4" w:space="0" w:color="auto"/>
            </w:tcBorders>
            <w:shd w:val="clear" w:color="000000" w:fill="FFFFFF"/>
            <w:hideMark/>
          </w:tcPr>
          <w:p w14:paraId="114F471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p>
          <w:p w14:paraId="2967326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Ad.2. Kontrolowanie maszyn i urządzeń, usuwanie usterek, usuwanie wszelkich odpadów po zakończeniu prac budowlanych.</w:t>
            </w:r>
          </w:p>
        </w:tc>
      </w:tr>
      <w:tr w:rsidR="001563AE" w:rsidRPr="00020C09" w14:paraId="65236445"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A0BD37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2BB792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7D24BF7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05D2055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3FE14BA"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9CA957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0BD4CD6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DD798D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531050F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E08C1E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56E01F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84ECEE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26544A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207530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1EC21F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1049C8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68F4E0E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1565925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74AB7D2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D2FD86B"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ADF1B5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2C292ED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42F63A6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7B2B74E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C374684"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F8E644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54AAB93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K:nie zidentyfikowano</w:t>
            </w:r>
          </w:p>
        </w:tc>
        <w:tc>
          <w:tcPr>
            <w:tcW w:w="1504" w:type="pct"/>
            <w:tcBorders>
              <w:top w:val="nil"/>
              <w:left w:val="nil"/>
              <w:bottom w:val="single" w:sz="4" w:space="0" w:color="auto"/>
              <w:right w:val="single" w:sz="4" w:space="0" w:color="auto"/>
            </w:tcBorders>
            <w:shd w:val="clear" w:color="000000" w:fill="FFFFFF"/>
            <w:hideMark/>
          </w:tcPr>
          <w:p w14:paraId="349115C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materiały budowlane na etapie budowy, tym samym do zubożenie ilości kruszyw naturalnych</w:t>
            </w:r>
          </w:p>
        </w:tc>
        <w:tc>
          <w:tcPr>
            <w:tcW w:w="1818" w:type="pct"/>
            <w:tcBorders>
              <w:top w:val="nil"/>
              <w:left w:val="nil"/>
              <w:bottom w:val="single" w:sz="4" w:space="0" w:color="auto"/>
              <w:right w:val="single" w:sz="4" w:space="0" w:color="auto"/>
            </w:tcBorders>
            <w:shd w:val="clear" w:color="000000" w:fill="FFFFFF"/>
            <w:hideMark/>
          </w:tcPr>
          <w:p w14:paraId="3CFD4B1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Racjonalna gospodarka materiałami, w tym surowcami naturalnymi podczas prac budowlanych</w:t>
            </w:r>
          </w:p>
        </w:tc>
      </w:tr>
      <w:tr w:rsidR="001563AE" w:rsidRPr="00020C09" w14:paraId="1EB4EC6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F990B8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D5BD7C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07723E7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44D4470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A440BB3"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1DDDC2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5F72BA4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F609D7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4884D09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A6DC4A1"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0F81A4C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B9A219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ochrona dziedzictwa kulturowego; (2) promowanie uczestnictwa w kulturze; (3) prace restauratorskie i konserwatorskie obiektów zabytkowych; (4) adaptacja budynków celem nadania nowych funkcji kulturalnych lub turystycznych; (5) konserwacja muzealiów starodruków, archiwaliów, księgozbiorów oraz innych zabytków ruchomych wraz z dostosowaniem pomieszczeń do właściwego przechowywania zbiorów i ich zabezpieczenia oraz zakupem wyposażenia; (6) cyfryzacja zasobów kulturowych</w:t>
            </w:r>
          </w:p>
        </w:tc>
        <w:tc>
          <w:tcPr>
            <w:tcW w:w="1504" w:type="pct"/>
            <w:tcBorders>
              <w:top w:val="nil"/>
              <w:left w:val="nil"/>
              <w:bottom w:val="single" w:sz="4" w:space="0" w:color="auto"/>
              <w:right w:val="single" w:sz="4" w:space="0" w:color="auto"/>
            </w:tcBorders>
            <w:shd w:val="clear" w:color="000000" w:fill="FFFFFF"/>
            <w:hideMark/>
          </w:tcPr>
          <w:p w14:paraId="6308189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zwiększenie ruchu turystycznego</w:t>
            </w:r>
          </w:p>
        </w:tc>
        <w:tc>
          <w:tcPr>
            <w:tcW w:w="1818" w:type="pct"/>
            <w:tcBorders>
              <w:top w:val="nil"/>
              <w:left w:val="nil"/>
              <w:bottom w:val="single" w:sz="4" w:space="0" w:color="auto"/>
              <w:right w:val="single" w:sz="4" w:space="0" w:color="auto"/>
            </w:tcBorders>
            <w:shd w:val="clear" w:color="auto" w:fill="auto"/>
            <w:hideMark/>
          </w:tcPr>
          <w:p w14:paraId="48A343D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Dostosowanie liczby turystów np. poprzez wprowadzenie limitów wejść</w:t>
            </w:r>
          </w:p>
        </w:tc>
      </w:tr>
      <w:tr w:rsidR="001E762B" w:rsidRPr="00020C09" w14:paraId="175C82A9"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549E39"/>
            <w:hideMark/>
          </w:tcPr>
          <w:p w14:paraId="201D1933" w14:textId="77777777" w:rsidR="001E762B" w:rsidRPr="00020C09" w:rsidRDefault="001E762B" w:rsidP="00B83214">
            <w:pPr>
              <w:spacing w:after="0" w:line="240" w:lineRule="auto"/>
              <w:rPr>
                <w:rFonts w:ascii="Calibri" w:eastAsia="Times New Roman" w:hAnsi="Calibri" w:cs="Times New Roman"/>
                <w:b/>
                <w:bCs/>
                <w:color w:val="FFFFFF"/>
                <w:szCs w:val="24"/>
                <w:lang w:eastAsia="pl-PL"/>
              </w:rPr>
            </w:pPr>
            <w:r w:rsidRPr="00020C09">
              <w:rPr>
                <w:rFonts w:ascii="Calibri" w:eastAsia="Times New Roman" w:hAnsi="Calibri" w:cs="Times New Roman"/>
                <w:b/>
                <w:bCs/>
                <w:color w:val="FFFFFF"/>
                <w:szCs w:val="24"/>
                <w:lang w:eastAsia="pl-PL"/>
              </w:rPr>
              <w:t>Priorytet 6. Fundusze Europejskie na rzecz aktywnego Pomorza Zachodniego</w:t>
            </w:r>
          </w:p>
        </w:tc>
      </w:tr>
      <w:tr w:rsidR="001E762B" w:rsidRPr="00020C09" w14:paraId="401C6A10"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F2F2F2"/>
            <w:hideMark/>
          </w:tcPr>
          <w:p w14:paraId="530D4BA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Cel polityki CP 4. Europa o silniejszym wymiarze społecznym, bardziej sprzyjająca włączeniu społecznemu i wdrażająca Europejski filar praw socjalnych</w:t>
            </w:r>
          </w:p>
        </w:tc>
      </w:tr>
      <w:tr w:rsidR="001E762B" w:rsidRPr="00020C09" w14:paraId="16D7D528"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1D1DAF39"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(a): Poprawa dostępu do zatrudnienia i działań aktywizujących dla wszystkich osób poszukujących pracy, w szczególności osób młodych, zwłaszcza poprzez wdrażanie gwarancji dla młodzieży, długotrwale bezrobotnych oraz grup znajdujących się w niekorzystnej sytuacji na rynku pracy, jak również dla osób biernych zawodowo, a także poprzez promowanie samozatrudnienia i ekonomii społecznej</w:t>
            </w:r>
          </w:p>
        </w:tc>
      </w:tr>
      <w:tr w:rsidR="001563AE" w:rsidRPr="00020C09" w14:paraId="7774AF35"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711922E4"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6C5C69F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305AA46A"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20625572"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15C18BB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2727851"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0C7EA33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147CB5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6A4FE2E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4213D7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D19E1B8"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4F51B7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A2AC8D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666E30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14A15E6"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A40E77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26FC67C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C26ACF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32C7425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7B04737"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236D4C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C8E717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(1) aktywizacja zawodowa osób biernych zawodowo; (2) dotacje na rozpoczęcie działalności; (3) wsparcie zawodowo-edukacyjne osób młodych; (4) wsparcie procesów wydłużających pozostawanie w aktywności zawodowej </w:t>
            </w:r>
          </w:p>
        </w:tc>
        <w:tc>
          <w:tcPr>
            <w:tcW w:w="1504" w:type="pct"/>
            <w:tcBorders>
              <w:top w:val="nil"/>
              <w:left w:val="nil"/>
              <w:bottom w:val="single" w:sz="4" w:space="0" w:color="auto"/>
              <w:right w:val="single" w:sz="4" w:space="0" w:color="auto"/>
            </w:tcBorders>
            <w:shd w:val="clear" w:color="000000" w:fill="FFFFFF"/>
            <w:hideMark/>
          </w:tcPr>
          <w:p w14:paraId="7FA30C5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2D1E1FA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6F98BD3"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0A900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2E76518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0C2328C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3BDF0CC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E88EEB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E76089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7133D10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6BE713B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1AED595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E43C29A"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63ABE5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16A503F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53961E4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41156E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B1DD9C0"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88D936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2A5C508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32890AE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4E750A6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F886C8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337990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46F597C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56CB792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56F426F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F184F8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FB7A4B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336290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6FD13F7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97BD7F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E13AF5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2AFEE7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425C582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BAF5D0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41900B7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A69B9C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43971E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AD426C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07DF808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24534AC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B13A95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5089AD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2629605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1C616D2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60A4531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DBB3C6C"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C54333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253E93B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6CB4895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65050C7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71A9CC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309A7E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047AB99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K:nie zidentyfikowano</w:t>
            </w:r>
          </w:p>
        </w:tc>
        <w:tc>
          <w:tcPr>
            <w:tcW w:w="1504" w:type="pct"/>
            <w:tcBorders>
              <w:top w:val="nil"/>
              <w:left w:val="nil"/>
              <w:bottom w:val="single" w:sz="4" w:space="0" w:color="auto"/>
              <w:right w:val="single" w:sz="4" w:space="0" w:color="auto"/>
            </w:tcBorders>
            <w:shd w:val="clear" w:color="000000" w:fill="FFFFFF"/>
            <w:hideMark/>
          </w:tcPr>
          <w:p w14:paraId="732D73B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31BD52B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32B472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2FD72E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02D13D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D:nie zidentyfikowano</w:t>
            </w:r>
          </w:p>
        </w:tc>
        <w:tc>
          <w:tcPr>
            <w:tcW w:w="1504" w:type="pct"/>
            <w:tcBorders>
              <w:top w:val="nil"/>
              <w:left w:val="nil"/>
              <w:bottom w:val="single" w:sz="4" w:space="0" w:color="auto"/>
              <w:right w:val="single" w:sz="4" w:space="0" w:color="auto"/>
            </w:tcBorders>
            <w:shd w:val="clear" w:color="000000" w:fill="FFFFFF"/>
            <w:hideMark/>
          </w:tcPr>
          <w:p w14:paraId="4C5F848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76C5CA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6A0B2FF"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0E56D21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33C63AB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6C70BB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2D1A57A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EF762B9"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3DFFD5F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AC09C8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A41D68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AD02A6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0D769697"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13931AC4"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(b): Modernizacja instytucji i służb rynków pracy celem oceny i przewidywania zapotrzebowania na umiejętności oraz zapewnienia terminowej i odpowiednio dopasowanej pomocy i wsparcia na rzecz dostosowania umiejętności i kwalifikacji zawodowych do potrzeb rynku pracy oraz na rzecz przepływów i mobilności na rynku pracy</w:t>
            </w:r>
          </w:p>
        </w:tc>
      </w:tr>
      <w:tr w:rsidR="001563AE" w:rsidRPr="00020C09" w14:paraId="514108BB"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197BD9FA"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3F660B5C"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48CEA376"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3A61B3F1"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2470F8A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6F8C227"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503D324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6BF8F8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0DF2534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AD288B4"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D00B554"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F391EF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0D67016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3AE251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F62AA3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9D3199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4289722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2DEDE44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1A5BD0B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BB786E5"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727C5A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BD5BBA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(1) podniesienie kwalifikacji, kompetencji i umiejętności w odpowiedzi na potrzeby lokalnego i regionalnego rynku pracy; (2) przeciwdziałanie spowolnieniu gospodarczemu </w:t>
            </w:r>
          </w:p>
        </w:tc>
        <w:tc>
          <w:tcPr>
            <w:tcW w:w="1504" w:type="pct"/>
            <w:tcBorders>
              <w:top w:val="nil"/>
              <w:left w:val="nil"/>
              <w:bottom w:val="single" w:sz="4" w:space="0" w:color="auto"/>
              <w:right w:val="single" w:sz="4" w:space="0" w:color="auto"/>
            </w:tcBorders>
            <w:shd w:val="clear" w:color="000000" w:fill="FFFFFF"/>
            <w:hideMark/>
          </w:tcPr>
          <w:p w14:paraId="018CF3C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1770C16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1582B1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ABEF0A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7A23C0C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48A8CC9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0EBDC5C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828C0A1"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E7B0BF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6186FC6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128E47C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7763510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39303D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E72ABC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603553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78C89E0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4363B7E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39CC147"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A0730A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20E2B04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3390F79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5B785D3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B4247CE"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FAF806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2ADDF7C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2077CA5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2E9A29C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4A17763"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8C99BB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9680C0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47A16F9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1743871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47CBCC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16DCD2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3C6365B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C4231E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2281B15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B8DFF14"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0621EC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F43193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7C2A84C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633C80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55DD119"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17F54C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6CE3CD6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7A4AC47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216045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4614D1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B2B57F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48DB6FA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2558604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4A720CC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40C5BCD"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3D65B0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016F94F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30B32EE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651A7BC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D90FB2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92A8E0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0988CF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5764F6C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575C5E0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27E52B5"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0E00E1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52C8E15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F7A7FB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198305B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5B2F97F"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5337C9D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E46052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7F40AC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F18CE6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2F2C38AC"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5E1A39E7"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(d): Wspieranie dostosowania pracowników, przedsiębiorstw i przedsiębiorców do zmian, wspieranie aktywnego i zdrowego starzenia się oraz zdrowego i dobrze dostosowanego środowiska pracy, które uwzględnia zagrożenia dla zdrowia</w:t>
            </w:r>
          </w:p>
        </w:tc>
      </w:tr>
      <w:tr w:rsidR="001563AE" w:rsidRPr="00020C09" w14:paraId="1F7F6ABC"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4E86EB96"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2908AFD0"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4D4D7BA1"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308CAAC1"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2C9B5E25"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62E5FBF"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6C1C1E1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DBB545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66A03EF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8C97E9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F778CED"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86657F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594A2A0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D3A187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531690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50A869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6FDAA5A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212AE9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11C1DC6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FE95375"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3973D4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C16EA2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(1) podnoszenie kwalifikacji i kompetencji pracowników przedsiębiorstw i przedsiębiorców; (2) szkolenia i doradztwo dla MŚP; (3) outplacement dla pracowników zagrożonych zwolnieniem; (4) przekwalifikowanie pracowników długotrwale pracujących w warunkach negatywnie wpływających na zdrowie; (5) eliminowanie zdrowotnych czynników ryzyka w miejscu pracy; (6) profilaktyki chorób, stanowiących istotny problem zdrowotny regionu </w:t>
            </w:r>
          </w:p>
        </w:tc>
        <w:tc>
          <w:tcPr>
            <w:tcW w:w="1504" w:type="pct"/>
            <w:tcBorders>
              <w:top w:val="nil"/>
              <w:left w:val="nil"/>
              <w:bottom w:val="single" w:sz="4" w:space="0" w:color="auto"/>
              <w:right w:val="single" w:sz="4" w:space="0" w:color="auto"/>
            </w:tcBorders>
            <w:shd w:val="clear" w:color="000000" w:fill="FFFFFF"/>
            <w:hideMark/>
          </w:tcPr>
          <w:p w14:paraId="5621520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753AB8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E6F720B"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533866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54B8ABA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4B9F394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3666524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7302B1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476DA5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3EA2832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7B8F848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4BDC22C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1A9E88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DF25E5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061AC81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4C79E32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7B0C4B1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FE3E6F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E4B6DC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7EBF04C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0126CA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48249E9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EFA5215"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52038D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6031894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676BC48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2C5F4C2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953CD1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42BD38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05E00E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1156C17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4847E61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49A65DE"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EF09E8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1FFFC9A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2E8400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12ECE1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BC11A41"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242BC1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536419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D7E9D5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2D66CC8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215407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A1906D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4D27DD5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0D6322C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2F3A13C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5E3DDA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457BFA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1560EF2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42C41B9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78642B7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02CBBA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1BC1C4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28958EE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0C974BB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233FC31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2F31CE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F289FA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481D8A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4460883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46562C6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34921BB"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73A8927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2507190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1C57CD8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6F747F6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BE27CE0"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079FF88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F0CF9C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4FD61DE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445267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2CAC30BB"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4ADD73B1"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(f): Wspieranie równego dostępu do 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w:t>
            </w:r>
          </w:p>
        </w:tc>
      </w:tr>
      <w:tr w:rsidR="001563AE" w:rsidRPr="00020C09" w14:paraId="1714155C"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64D65132"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0CF5CE26"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4CF23942"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038B6E53"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2B731C7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8842E87"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01F9F58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D4CA82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30DD0E1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5ADCF9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A17E854"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238DC5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5A690EB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B66E6B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454250E"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802079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00EABC2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840B49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755C632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651A48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B1E874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D390FC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poprawa jakości i dostępność edukacji przedszkolnej, w szkołach podstawowych, ponadpodstawowych i zawodowych; (2) podnoszenie kompetencji i kwalifikacji nauczycieli i uczniów; (3) dostosowanie edukacji do wymagań rynku pracy i kompetencji przyszłości; (4) zwiększenie odporności edukacji (szkół, uczniów, nauczycieli) na zmiany wywołane pandemią</w:t>
            </w:r>
          </w:p>
        </w:tc>
        <w:tc>
          <w:tcPr>
            <w:tcW w:w="1504" w:type="pct"/>
            <w:tcBorders>
              <w:top w:val="nil"/>
              <w:left w:val="nil"/>
              <w:bottom w:val="single" w:sz="4" w:space="0" w:color="auto"/>
              <w:right w:val="single" w:sz="4" w:space="0" w:color="auto"/>
            </w:tcBorders>
            <w:shd w:val="clear" w:color="000000" w:fill="FFFFFF"/>
            <w:hideMark/>
          </w:tcPr>
          <w:p w14:paraId="5120173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727A0D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ED6BD96"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522B6A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3FC4E63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7FC016B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0733F1F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28E0AFC"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F34256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4E8C528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784640D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3A33068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1CAE007"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E484A4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265557E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331962C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6FEE3DE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797949B"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F013D1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6D917F4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01CDDF8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5205123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923A1C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D2CCEA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3AFFEBE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0709C8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1D643A7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A81ABC7"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701174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FE687B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29F11C3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21D3842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7F71096"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BA7C27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1DDB380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E01296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0D9E2B7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CF1ECC9"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C440A7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952EF2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0DAE205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C1B434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AB4F92E"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815D92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19376F1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7EAD0C8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4FC7AFE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6E002E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BC82AA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5918694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188BE69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4A1A1D3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81E2BF4"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ADC20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29DE4EA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507B891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2E48562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041B40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888E6F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71060F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3A651DD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5437158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B62C692"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53A3940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4571DE0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C6083F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5DB2B1F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F68B960"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0768A77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4ECF3D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2154669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DF15C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549D135C"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1F9C9216"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(g): Wspieranie uczenia się przez całe życie, w szczególności elastycznych możliwości podnoszenia i zmiany kwalifikacji dla wszystkich, z uwzględnieniem umiejętności w zakresie przedsiębiorczości i kompetencji cyfrowych, lepsze przewidywanie zmian i zapotrzebowania na nowe umiejętności na podstawie potrzeb rynku pracy, ułatwianie zmian ścieżki kariery zawodowej i wspieranie mobilności zawodowej</w:t>
            </w:r>
          </w:p>
        </w:tc>
      </w:tr>
      <w:tr w:rsidR="001563AE" w:rsidRPr="00020C09" w14:paraId="41FC58C0"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28FC8132"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79F52DA8"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4DE585B5"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79475E5F"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4C04A89B"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8E58982"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68D8E5D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3F649F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7A81436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D2EAF6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9C50D76"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7A248D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37D0A2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9E9109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FED160D"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30BB28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52CC89A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BCAD19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7ED797F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80BDAD5"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573C35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51AD46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(1) wsparcie osób dorosłych, które chcą z własnej inicjatywy podnieść swoje kwalifikacje/ kompetencje lub przekwalifikować się; (2) rozwój umiejętności podstawowych (w tym cyfrowych u osób wykluczonych cyfrowo); (3) doradztwo zawodowe i brokering edukacyjny dla osób dorosłych; (4) wsparcie kształcenia osób wykonujących zawody medyczne </w:t>
            </w:r>
          </w:p>
        </w:tc>
        <w:tc>
          <w:tcPr>
            <w:tcW w:w="1504" w:type="pct"/>
            <w:tcBorders>
              <w:top w:val="nil"/>
              <w:left w:val="nil"/>
              <w:bottom w:val="single" w:sz="4" w:space="0" w:color="auto"/>
              <w:right w:val="single" w:sz="4" w:space="0" w:color="auto"/>
            </w:tcBorders>
            <w:shd w:val="clear" w:color="000000" w:fill="FFFFFF"/>
            <w:hideMark/>
          </w:tcPr>
          <w:p w14:paraId="6153326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FC29CF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A9019A5"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9D7254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4DBEC1A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2A17226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5490300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117FBE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534AE4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110DA8E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5414EBE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41ABA64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89D1D3D"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0282A5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5FECCF2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1AD2ED1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28DD9B5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A6249E5"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E7795B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6CB6435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27419E7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1B68466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F8D60CA"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7B9938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255EA5B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3B087CD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4FAA9E7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E81DDD9"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DC71C5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A982D1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6B05ED1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5D659E9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6B30D3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728A33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6D0BAAC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3A3C77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6D2745F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FFA8EB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E0DADC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DD1504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0200FC9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7AE64BE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FB1EEE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A431E3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7BEADBF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7C04ED7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6417CA1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01D2957"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8265C5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22B0985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6BD0562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32862A9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8BC542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9C7CED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6155E41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371C411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51F9D71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1A282D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BF4759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C50089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4566172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78939AB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7B32909"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62826CC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40935BF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03B03F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231500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130184A"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2F3A34C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708AA7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528052B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1FF2659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077A23F4"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1D209ED5"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(h): Wspieranie aktywnego włączenia społecznego w celu promowania równości szans, niedyskryminacji i aktywnego uczestnictwa, oraz zwiększanie zdolności do zatrudnienia, w szczególności grup w niekorzystnej sytuacji</w:t>
            </w:r>
          </w:p>
        </w:tc>
      </w:tr>
      <w:tr w:rsidR="001563AE" w:rsidRPr="00020C09" w14:paraId="2A869DDF"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73C2018F"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74C2B472"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6C917006"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228384B3"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7F0B7644"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9633B7F"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3EEE358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38947D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54954F2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FEAD1B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5C517BE"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52CDCC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451E381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35A07D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4E52EC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E7D205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714DA96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B68B66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0B2B3D8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FF9776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74058F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AA2D3C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wsparcie społeczności i osób zagrożonych ubóstwem lub wykluczeniem społecznym (w tym biernych zawodowo); (2) tworzenie i rozwój działalności już istniejących jednostek reintegracyjnych (CIS, KIS, WTZ i ZAZ); (3) wsparcie pracowników w celu tworzenia ułatwień dla zatrudniania osób zagrożonych ubóstwem lub wykluczeniem społecznym oraz osób biernych zawodowo; (4) rozwój działań integracyjnych na obszarach gmin zagrożonych marginalizacją; (5) bezzwrotne wsparcie finansowe na utworzenie i utrzymanie miejsc pracy w przedsiębiorstwach społecznych; (6) rozwój ekonomii społecznej; (7) wzrost świadomości na temat przepisów i polityk antydyskryminacyjnych;</w:t>
            </w:r>
          </w:p>
        </w:tc>
        <w:tc>
          <w:tcPr>
            <w:tcW w:w="1504" w:type="pct"/>
            <w:tcBorders>
              <w:top w:val="nil"/>
              <w:left w:val="nil"/>
              <w:bottom w:val="single" w:sz="4" w:space="0" w:color="auto"/>
              <w:right w:val="single" w:sz="4" w:space="0" w:color="auto"/>
            </w:tcBorders>
            <w:shd w:val="clear" w:color="000000" w:fill="FFFFFF"/>
            <w:hideMark/>
          </w:tcPr>
          <w:p w14:paraId="13A43CE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1EC17D8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F08FD5B"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067E3E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4C9EAAB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7E084F9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1FE1A87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5CBCEE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6EC45E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3142917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61D2BD2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6CAF228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FD096F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6CD99E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589559C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74A1151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62B39E6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1B1FF6B"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03CF28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5D31DD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5CFCB63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65E65E0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FCA2CEB"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4A093A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0F4D10B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1A87D67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naruszenie powierzchni ziemi, powstawanie odkładów ziemnych na etapie budowy budynków, infrastruktury</w:t>
            </w:r>
            <w:r w:rsidRPr="00020C09">
              <w:rPr>
                <w:rFonts w:ascii="Calibri" w:eastAsia="Times New Roman" w:hAnsi="Calibri" w:cs="Times New Roman"/>
                <w:color w:val="000000"/>
                <w:szCs w:val="24"/>
                <w:lang w:eastAsia="pl-PL"/>
              </w:rPr>
              <w:br/>
              <w:t>(2) emisja zanieczyszczeń do gleby na etapie budowy</w:t>
            </w:r>
            <w:r w:rsidRPr="00020C09">
              <w:rPr>
                <w:rFonts w:ascii="Calibri" w:eastAsia="Times New Roman" w:hAnsi="Calibri" w:cs="Times New Roman"/>
                <w:color w:val="000000"/>
                <w:szCs w:val="24"/>
                <w:lang w:eastAsia="pl-PL"/>
              </w:rPr>
              <w:br/>
              <w:t>(3) zasklepienie gruntu</w:t>
            </w:r>
          </w:p>
        </w:tc>
        <w:tc>
          <w:tcPr>
            <w:tcW w:w="1818" w:type="pct"/>
            <w:tcBorders>
              <w:top w:val="nil"/>
              <w:left w:val="nil"/>
              <w:bottom w:val="single" w:sz="4" w:space="0" w:color="auto"/>
              <w:right w:val="single" w:sz="4" w:space="0" w:color="auto"/>
            </w:tcBorders>
            <w:shd w:val="clear" w:color="000000" w:fill="FFFFFF"/>
            <w:hideMark/>
          </w:tcPr>
          <w:p w14:paraId="683A4DD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r w:rsidRPr="00020C09">
              <w:rPr>
                <w:rFonts w:ascii="Calibri" w:eastAsia="Times New Roman" w:hAnsi="Calibri" w:cs="Times New Roman"/>
                <w:color w:val="000000"/>
                <w:szCs w:val="24"/>
                <w:lang w:eastAsia="pl-PL"/>
              </w:rPr>
              <w:br/>
              <w:t>Ad.2. Kontrolowanie maszyn i urządzeń, usuwanie usterek, usuwanie wszelkich odpadów po zakończeniu prac budowlanych.</w:t>
            </w:r>
            <w:r w:rsidRPr="00020C09">
              <w:rPr>
                <w:rFonts w:ascii="Calibri" w:eastAsia="Times New Roman" w:hAnsi="Calibri" w:cs="Times New Roman"/>
                <w:color w:val="000000"/>
                <w:szCs w:val="24"/>
                <w:lang w:eastAsia="pl-PL"/>
              </w:rPr>
              <w:br/>
              <w:t>Ad.3. Zachowywanie lub tworzenie powierzchni biologicznie czynnych gleby, zdolnych do łagodzenia degradującego działania terenów zabudowanych i zanieczyszczeń środowiska</w:t>
            </w:r>
          </w:p>
        </w:tc>
      </w:tr>
      <w:tr w:rsidR="001563AE" w:rsidRPr="00020C09" w14:paraId="4AE83EF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A2A031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8C593C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3EC1F30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3195624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36AE3C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AC48FA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71C6DDA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532BC3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366B74C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23C4D91"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6B251E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1FD766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33B4BCB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7B97EA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5FD5969"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E78946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32E246B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2DC02B7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404FF1D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FF1B3C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35BF39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299D285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0D21AA3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5F8C99B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E26395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689EEB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5498E3F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086F292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materiały budowlane na etapie budowy, tym samym do zubożenie ilości kruszyw naturalnych</w:t>
            </w:r>
          </w:p>
        </w:tc>
        <w:tc>
          <w:tcPr>
            <w:tcW w:w="1818" w:type="pct"/>
            <w:tcBorders>
              <w:top w:val="nil"/>
              <w:left w:val="nil"/>
              <w:bottom w:val="single" w:sz="4" w:space="0" w:color="auto"/>
              <w:right w:val="single" w:sz="4" w:space="0" w:color="auto"/>
            </w:tcBorders>
            <w:shd w:val="clear" w:color="000000" w:fill="FFFFFF"/>
            <w:hideMark/>
          </w:tcPr>
          <w:p w14:paraId="2B8A27D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Racjonalna gospodarka materiałami, w tym surowcami naturalnymi podczas prac budowlanych</w:t>
            </w:r>
          </w:p>
        </w:tc>
      </w:tr>
      <w:tr w:rsidR="001563AE" w:rsidRPr="00020C09" w14:paraId="1A19D26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B71C1B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620D1C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141DCD9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5665CA9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9A22F9C"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6BAA9C0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0B31939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7F8AF4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6A69D87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AF12400"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5E09607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8C6AB8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8AFC61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A4E5A7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3646F131"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3FFF0A9D"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(i): Wspieranie integracji społeczno-gospodarczej obywateli państw trzecich, w tym migrantów</w:t>
            </w:r>
          </w:p>
        </w:tc>
      </w:tr>
      <w:tr w:rsidR="001563AE" w:rsidRPr="00020C09" w14:paraId="59307075"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5A9FBB91"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3CEB908E"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34155A20"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322F3C7E"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39280B43"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2572BAB"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55331FE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255CBB0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717F3BD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826399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044E6ED"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E5BE6E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26B6908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4D345B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7B3FC2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D7B89C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37626FB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6657FA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0EDEE2E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701E6A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EDD598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CBF94F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kompleksowe wsparcie na rzecz imigrantów (zarobkowe, integracyjne na rynku pracy i funkcjonowania w społeczeństwie); (2) tworzenie i zwiększanie potencjału organizacji pozarządowych obywateli państw trzecich (w tym migrantów); (3) wspieranie współpracy z mniejszościami narodowymi i etnicznymi zamieszkującymi w województwie</w:t>
            </w:r>
          </w:p>
        </w:tc>
        <w:tc>
          <w:tcPr>
            <w:tcW w:w="1504" w:type="pct"/>
            <w:tcBorders>
              <w:top w:val="nil"/>
              <w:left w:val="nil"/>
              <w:bottom w:val="single" w:sz="4" w:space="0" w:color="auto"/>
              <w:right w:val="single" w:sz="4" w:space="0" w:color="auto"/>
            </w:tcBorders>
            <w:shd w:val="clear" w:color="000000" w:fill="FFFFFF"/>
            <w:hideMark/>
          </w:tcPr>
          <w:p w14:paraId="1CC1846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700DBE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BFD04F0"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EFA0FB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0A3A068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6F180B5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0877838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3A4621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4B36EE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52B2C71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2F8BE2F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249001D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3E05A64"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453C7E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6D29921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6ED6184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266F38B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40B7DD4"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0F87CD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77DA9ED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190BC02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72D72DF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230ECE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7E6F5E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42734D4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5C68211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21C94A3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6308097"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9FE553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D17979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6D1E49D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3E030D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4728DD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DC1D30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6FCAB4B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E84FC7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5ED675D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6A3E61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9B7824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00E11E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26D257B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E7AC35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620C343"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8BF27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2861BC3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487D5AF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0C16EA2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AA7587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1EFC1E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35EF59B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3A52B42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11D605C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E0FECED"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0F98C2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60833DA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25E0854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3165162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741D9C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401054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633818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00FDF07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28FFC55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D7D56F8"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344D218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0E0BA23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F5BDD7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324C203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3FF77B4"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3C7E32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05B7A8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078516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2D6C2E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62F3DF4C"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7A9FE3D2"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(k): Zwiększanie równego i szybkiego dostępu do dobrej jakości, trwałych i przystępnych cenowo usług, w tym usług, które promują dostęp do mieszkań oraz opieki skoncentrowanej na osobie, w tym opieki zdrowotnej; modernizacja systemów ochrony socjalnej, w tym promowanie dostępu do ochrony socjalnej, ze szczególnym uwzględnieniem dzieci i grup w niekorzystnej sytuacji; poprawa dostępności, w tym dla osób z niepełnosprawnościami, skuteczności i odporności systemów ochrony zdrowia i usług opieki długoterminowej</w:t>
            </w:r>
          </w:p>
        </w:tc>
      </w:tr>
      <w:tr w:rsidR="001563AE" w:rsidRPr="00020C09" w14:paraId="07847F1C"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40CA4671"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2AFD431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5104256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271C6612"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53BCC713"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10CFBFD"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6A2BCFD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2DD0FDB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45A1300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38CF905"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C2DFCC5"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B46D56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4774AC7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2098DA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0BCA845"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23A00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36236DC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837D7F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6165FD8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98A14D7"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09032B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6F558B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tworzenie usług społecznych i rozwój dostarczanych przez nie usług; (2) rozwój usług społecznych; (3) bony dla NGO z zakresu świadczenia usług społecznych; (4) szkolenia oraz podnoszenia kwalifikacji i kompetencji na potrzeby świadczenia usług społecznych w społeczności lokalnej; (5) wsparcie tworzenia i funkcjonowania mieszkań chronionych; (6) wsparcie osób zagrożonych wykluczeniem; (7) Regionalne Programy Zdrowotne dot. chorób; (8) poprawa dostępu do usług zdrowotnych dla osób wykluczanych z tych usług lub mających problemy z dostępem do nich; (9) wspieranie procesu deinstytucjonalizacji opieki medycznej; (10) rozwój usług z zakresu wczesnej interwencji psychologicznej i psychoedukacji dla dzieci, młodzieży i osób dorosłych; (11) wdrażanie standardów dostępności w podmiotach wykonujących działalność leczniczą (w tym w POZ i szpitalach)</w:t>
            </w:r>
          </w:p>
        </w:tc>
        <w:tc>
          <w:tcPr>
            <w:tcW w:w="1504" w:type="pct"/>
            <w:tcBorders>
              <w:top w:val="nil"/>
              <w:left w:val="nil"/>
              <w:bottom w:val="single" w:sz="4" w:space="0" w:color="auto"/>
              <w:right w:val="single" w:sz="4" w:space="0" w:color="auto"/>
            </w:tcBorders>
            <w:shd w:val="clear" w:color="000000" w:fill="FFFFFF"/>
            <w:hideMark/>
          </w:tcPr>
          <w:p w14:paraId="7D582E1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AEDA2C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E3BEFF1"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14E5B9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461B8CE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29F8B7A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45AB788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EB0E37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C70D80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501C587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6A7A917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7B2C547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2D90D99"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31454A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0DFF881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1F13DD6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5820869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7FD192C"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BEB9B4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68AF92A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329B126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021DB03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8412FBA"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3BB90D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5DB163F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7956152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naruszenie powierzchni ziemi, powstawanie odkładów ziemnych na etapie budowy budynków, infrastruktury</w:t>
            </w:r>
            <w:r w:rsidRPr="00020C09">
              <w:rPr>
                <w:rFonts w:ascii="Calibri" w:eastAsia="Times New Roman" w:hAnsi="Calibri" w:cs="Times New Roman"/>
                <w:color w:val="000000"/>
                <w:szCs w:val="24"/>
                <w:lang w:eastAsia="pl-PL"/>
              </w:rPr>
              <w:br/>
              <w:t>(2) emisja zanieczyszczeń do gleby na etapie budowy</w:t>
            </w:r>
            <w:r w:rsidRPr="00020C09">
              <w:rPr>
                <w:rFonts w:ascii="Calibri" w:eastAsia="Times New Roman" w:hAnsi="Calibri" w:cs="Times New Roman"/>
                <w:color w:val="000000"/>
                <w:szCs w:val="24"/>
                <w:lang w:eastAsia="pl-PL"/>
              </w:rPr>
              <w:br/>
              <w:t>(3) zasklepienie gruntu</w:t>
            </w:r>
          </w:p>
        </w:tc>
        <w:tc>
          <w:tcPr>
            <w:tcW w:w="1818" w:type="pct"/>
            <w:tcBorders>
              <w:top w:val="nil"/>
              <w:left w:val="nil"/>
              <w:bottom w:val="single" w:sz="4" w:space="0" w:color="auto"/>
              <w:right w:val="single" w:sz="4" w:space="0" w:color="auto"/>
            </w:tcBorders>
            <w:shd w:val="clear" w:color="000000" w:fill="FFFFFF"/>
            <w:hideMark/>
          </w:tcPr>
          <w:p w14:paraId="7677AD5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r w:rsidRPr="00020C09">
              <w:rPr>
                <w:rFonts w:ascii="Calibri" w:eastAsia="Times New Roman" w:hAnsi="Calibri" w:cs="Times New Roman"/>
                <w:color w:val="000000"/>
                <w:szCs w:val="24"/>
                <w:lang w:eastAsia="pl-PL"/>
              </w:rPr>
              <w:br/>
              <w:t>Ad.2. Kontrolowanie maszyn i urządzeń, usuwanie usterek, usuwanie wszelkich odpadów po zakończeniu prac budowlanych.</w:t>
            </w:r>
            <w:r w:rsidRPr="00020C09">
              <w:rPr>
                <w:rFonts w:ascii="Calibri" w:eastAsia="Times New Roman" w:hAnsi="Calibri" w:cs="Times New Roman"/>
                <w:color w:val="000000"/>
                <w:szCs w:val="24"/>
                <w:lang w:eastAsia="pl-PL"/>
              </w:rPr>
              <w:br/>
              <w:t>Ad.3. Zachowywanie lub tworzenie powierzchni biologicznie czynnych gleby, zdolnych do łagodzenia degradującego działania terenów zabudowanych i zanieczyszczeń środowiska</w:t>
            </w:r>
          </w:p>
        </w:tc>
      </w:tr>
      <w:tr w:rsidR="001563AE" w:rsidRPr="00020C09" w14:paraId="1889279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7D0E60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415BD9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211706E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0B71670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856B1F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0C1B03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0192035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9965CB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786FE95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0C227F5"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30F7814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227E54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F929B4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65B89C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5505D33"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383BB7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3FBBBFC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20B9700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050B15C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5F92EA3"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7142D7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6C201F9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2767DD8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56A9AA5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6F1613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37F0B4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3BE0FB3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1112A1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materiały budowlane na etapie budowy, tym samym do zubożenie ilości kruszyw naturalnych</w:t>
            </w:r>
          </w:p>
        </w:tc>
        <w:tc>
          <w:tcPr>
            <w:tcW w:w="1818" w:type="pct"/>
            <w:tcBorders>
              <w:top w:val="nil"/>
              <w:left w:val="nil"/>
              <w:bottom w:val="single" w:sz="4" w:space="0" w:color="auto"/>
              <w:right w:val="single" w:sz="4" w:space="0" w:color="auto"/>
            </w:tcBorders>
            <w:shd w:val="clear" w:color="000000" w:fill="FFFFFF"/>
            <w:hideMark/>
          </w:tcPr>
          <w:p w14:paraId="4A88A36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Racjonalna gospodarka materiałami, w tym surowcami naturalnymi podczas prac budowlanych</w:t>
            </w:r>
          </w:p>
        </w:tc>
      </w:tr>
      <w:tr w:rsidR="001563AE" w:rsidRPr="00020C09" w14:paraId="2E9BF6D7"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52C2B3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A81BBF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4E1498F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073C47D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2987B3C"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30596EB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71FA6AA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2EDA7DA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0F12782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87FA663"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3EBC8B6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23DE49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7B7812D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487841C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157FA80D"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641F07EB"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(l): Wspieranie integracji społecznej osób zagrożonych ubóstwem lub wykluczeniem społecznym, w tym osób najbardziej potrzebujących i dzieci (EFS+)</w:t>
            </w:r>
          </w:p>
        </w:tc>
      </w:tr>
      <w:tr w:rsidR="001563AE" w:rsidRPr="00020C09" w14:paraId="0D088638"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5D5EC0D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17196C00"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4550F8B1"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4E617D16"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5B028DF5"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B11C1ED"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134961B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135667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78A7DE2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D8379B0"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C0CC4E7"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60EA7D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1EE432B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3793F7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FD82B96"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7E0322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7EF0B4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33BCF3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5888B6C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3A1725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30CDD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FA11AE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wsparcie na rzecz rodziny; (2) wparcie procesu deinstytucjonalizacji pieczy zastępczej; (3) promowanie rodzicielstwa zastępczego oraz adopcji; (4) wsparcie osób usamodzielnianych i opuszczających pieczę zastępczą; (5) wsparcie tworzenia i funkcjonowania mieszkań chronionych i wspomaganych; (6) wsparcie w zakresie wczesnej interwencji kryzysowej; (7) usługi dla osób bezdomnych</w:t>
            </w:r>
          </w:p>
        </w:tc>
        <w:tc>
          <w:tcPr>
            <w:tcW w:w="1504" w:type="pct"/>
            <w:tcBorders>
              <w:top w:val="nil"/>
              <w:left w:val="nil"/>
              <w:bottom w:val="single" w:sz="4" w:space="0" w:color="auto"/>
              <w:right w:val="single" w:sz="4" w:space="0" w:color="auto"/>
            </w:tcBorders>
            <w:shd w:val="clear" w:color="000000" w:fill="FFFFFF"/>
            <w:hideMark/>
          </w:tcPr>
          <w:p w14:paraId="7292D14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573B98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D4074B6"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3AC6EF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2928C64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1C4B6A8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1441D97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F6BDDFF"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CCA32B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2408BD6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7E57A66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0396E8C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D1E159D"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8306E1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74FBEB6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7F839FA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779152B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AE0A35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62FDC4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1521C0F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4AF4C0A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2A8EFF3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049487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6E6FE5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06B8699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6BB75D6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(1)naruszenie powierzchni ziemi, powstawanie odkładów ziemnych na etapie budowy budynków, infrastruktury</w:t>
            </w:r>
            <w:r w:rsidRPr="00020C09">
              <w:rPr>
                <w:rFonts w:ascii="Calibri" w:eastAsia="Times New Roman" w:hAnsi="Calibri" w:cs="Times New Roman"/>
                <w:color w:val="000000"/>
                <w:szCs w:val="24"/>
                <w:lang w:eastAsia="pl-PL"/>
              </w:rPr>
              <w:br/>
              <w:t>(2) emisja zanieczyszczeń do gleby na etapie budowy</w:t>
            </w:r>
            <w:r w:rsidRPr="00020C09">
              <w:rPr>
                <w:rFonts w:ascii="Calibri" w:eastAsia="Times New Roman" w:hAnsi="Calibri" w:cs="Times New Roman"/>
                <w:color w:val="000000"/>
                <w:szCs w:val="24"/>
                <w:lang w:eastAsia="pl-PL"/>
              </w:rPr>
              <w:br/>
              <w:t>(3) zasklepienie gruntu</w:t>
            </w:r>
          </w:p>
        </w:tc>
        <w:tc>
          <w:tcPr>
            <w:tcW w:w="1818" w:type="pct"/>
            <w:tcBorders>
              <w:top w:val="nil"/>
              <w:left w:val="nil"/>
              <w:bottom w:val="single" w:sz="4" w:space="0" w:color="auto"/>
              <w:right w:val="single" w:sz="4" w:space="0" w:color="auto"/>
            </w:tcBorders>
            <w:shd w:val="clear" w:color="000000" w:fill="FFFFFF"/>
            <w:hideMark/>
          </w:tcPr>
          <w:p w14:paraId="748653C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r w:rsidRPr="00020C09">
              <w:rPr>
                <w:rFonts w:ascii="Calibri" w:eastAsia="Times New Roman" w:hAnsi="Calibri" w:cs="Times New Roman"/>
                <w:color w:val="000000"/>
                <w:szCs w:val="24"/>
                <w:lang w:eastAsia="pl-PL"/>
              </w:rPr>
              <w:br/>
              <w:t>Ad.2. Kontrolowanie maszyn i urządzeń, usuwanie usterek, usuwanie wszelkich odpadów po zakończeniu prac budowlanych.</w:t>
            </w:r>
            <w:r w:rsidRPr="00020C09">
              <w:rPr>
                <w:rFonts w:ascii="Calibri" w:eastAsia="Times New Roman" w:hAnsi="Calibri" w:cs="Times New Roman"/>
                <w:color w:val="000000"/>
                <w:szCs w:val="24"/>
                <w:lang w:eastAsia="pl-PL"/>
              </w:rPr>
              <w:br/>
              <w:t>Ad.3. Zachowywanie lub tworzenie powierzchni biologicznie czynnych gleby, zdolnych do łagodzenia degradującego działania terenów zabudowanych i zanieczyszczeń środowiska</w:t>
            </w:r>
          </w:p>
        </w:tc>
      </w:tr>
      <w:tr w:rsidR="001563AE" w:rsidRPr="00020C09" w14:paraId="0721623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66E069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75FF0D3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54AAF2B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3D2D1F9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0262E0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6C1653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6455DB2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CC4788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284F957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8528A59"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3C0B20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27AE7E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301F3A3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3909641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EDF95CB"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1923BB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7208DA7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58B1763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2B1139B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A4C8979"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28259B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0DB7F06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648EB19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5140496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21D33C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542C25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7D27811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F8F38B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materiały budowlane na etapie budowy, tym samym do zubożenie ilości kruszyw naturalnych</w:t>
            </w:r>
          </w:p>
        </w:tc>
        <w:tc>
          <w:tcPr>
            <w:tcW w:w="1818" w:type="pct"/>
            <w:tcBorders>
              <w:top w:val="nil"/>
              <w:left w:val="nil"/>
              <w:bottom w:val="single" w:sz="4" w:space="0" w:color="auto"/>
              <w:right w:val="single" w:sz="4" w:space="0" w:color="auto"/>
            </w:tcBorders>
            <w:shd w:val="clear" w:color="000000" w:fill="FFFFFF"/>
            <w:hideMark/>
          </w:tcPr>
          <w:p w14:paraId="6480F3F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Racjonalna gospodarka materiałami, w tym surowcami naturalnymi podczas prac budowlanych</w:t>
            </w:r>
          </w:p>
        </w:tc>
      </w:tr>
      <w:tr w:rsidR="001563AE" w:rsidRPr="00020C09" w14:paraId="5DD18B60"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559728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38C69B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3CC0208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31AD3B8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2BB27F3"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4ADCB9D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10D2506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6F62B34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3885091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C66F021"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40F878A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738B32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753D798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26CA0F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7E85FFAE"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549E39"/>
            <w:hideMark/>
          </w:tcPr>
          <w:p w14:paraId="0416ECC5" w14:textId="77777777" w:rsidR="001E762B" w:rsidRPr="00020C09" w:rsidRDefault="001E762B" w:rsidP="00B83214">
            <w:pPr>
              <w:spacing w:after="0" w:line="240" w:lineRule="auto"/>
              <w:rPr>
                <w:rFonts w:ascii="Calibri" w:eastAsia="Times New Roman" w:hAnsi="Calibri" w:cs="Times New Roman"/>
                <w:b/>
                <w:bCs/>
                <w:color w:val="FFFFFF"/>
                <w:szCs w:val="24"/>
                <w:lang w:eastAsia="pl-PL"/>
              </w:rPr>
            </w:pPr>
            <w:r w:rsidRPr="00020C09">
              <w:rPr>
                <w:rFonts w:ascii="Calibri" w:eastAsia="Times New Roman" w:hAnsi="Calibri" w:cs="Times New Roman"/>
                <w:b/>
                <w:bCs/>
                <w:color w:val="FFFFFF"/>
                <w:szCs w:val="24"/>
                <w:lang w:eastAsia="pl-PL"/>
              </w:rPr>
              <w:t>Priorytet 7. Fundusze Europejskie na rzecz partnerskiego Pomorza Zachodniego</w:t>
            </w:r>
          </w:p>
        </w:tc>
      </w:tr>
      <w:tr w:rsidR="001E762B" w:rsidRPr="00020C09" w14:paraId="482ECDFC"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F2F2F2"/>
            <w:hideMark/>
          </w:tcPr>
          <w:p w14:paraId="75AEA64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Cel polityki CP 5. Europa bliższa obywatelom dzięki wspieraniu zrównoważonego i zintegrowanego rozwoju wszystkich rodzajów terytoriów oraz inicjatyw lokalnych</w:t>
            </w:r>
          </w:p>
        </w:tc>
      </w:tr>
      <w:tr w:rsidR="001E762B" w:rsidRPr="00020C09" w14:paraId="2D631FF3"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000000" w:fill="DAEFD3"/>
            <w:hideMark/>
          </w:tcPr>
          <w:p w14:paraId="46A119AF" w14:textId="77777777" w:rsidR="001E762B" w:rsidRPr="00020C09" w:rsidRDefault="001E762B" w:rsidP="00B83214">
            <w:pPr>
              <w:spacing w:after="0" w:line="240" w:lineRule="auto"/>
              <w:rPr>
                <w:rFonts w:ascii="Calibri" w:eastAsia="Times New Roman" w:hAnsi="Calibri" w:cs="Times New Roman"/>
                <w:i/>
                <w:iCs/>
                <w:color w:val="000000"/>
                <w:szCs w:val="24"/>
                <w:lang w:eastAsia="pl-PL"/>
              </w:rPr>
            </w:pPr>
            <w:r w:rsidRPr="00020C09">
              <w:rPr>
                <w:rFonts w:ascii="Calibri" w:eastAsia="Times New Roman" w:hAnsi="Calibri" w:cs="Times New Roman"/>
                <w:i/>
                <w:iCs/>
                <w:color w:val="000000"/>
                <w:szCs w:val="24"/>
                <w:lang w:eastAsia="pl-PL"/>
              </w:rPr>
              <w:t>Cel szczegółowy (i): Wspieranie zintegrowanego i sprzyjającego włączeniu społecznemu rozwoju społecznego, gospodarczego i środowiskowego, kultury, dziedzictwa naturalnego, zrównoważonej turystyki i bezpieczeństwa na obszarach miejskich</w:t>
            </w:r>
          </w:p>
        </w:tc>
      </w:tr>
      <w:tr w:rsidR="001563AE" w:rsidRPr="00020C09" w14:paraId="20BEAEB6"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4ECD6AC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3986CC75"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035E6EC3"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58CBE28A"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10F1329F"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E414925"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000000" w:fill="FFFFFF"/>
            <w:hideMark/>
          </w:tcPr>
          <w:p w14:paraId="399FDFC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5592FE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płoszenie zwierząt na skutek hałasu i nadmiernego oświetlenia placu budowy, wzmożona śmiertelność zwierząt </w:t>
            </w:r>
            <w:r w:rsidRPr="00020C09">
              <w:rPr>
                <w:rFonts w:ascii="Calibri" w:eastAsia="Times New Roman" w:hAnsi="Calibri" w:cs="Times New Roman"/>
                <w:color w:val="000000"/>
                <w:szCs w:val="24"/>
                <w:lang w:eastAsia="pl-PL"/>
              </w:rPr>
              <w:br/>
              <w:t>(2) potencjalna wycinka drzew i krzewów w miejscu prowadzenia inwestycji</w:t>
            </w:r>
          </w:p>
        </w:tc>
        <w:tc>
          <w:tcPr>
            <w:tcW w:w="1818" w:type="pct"/>
            <w:tcBorders>
              <w:top w:val="nil"/>
              <w:left w:val="nil"/>
              <w:bottom w:val="single" w:sz="4" w:space="0" w:color="auto"/>
              <w:right w:val="single" w:sz="4" w:space="0" w:color="auto"/>
            </w:tcBorders>
            <w:shd w:val="clear" w:color="000000" w:fill="FFFFFF"/>
            <w:hideMark/>
          </w:tcPr>
          <w:p w14:paraId="0990BEB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Minimalizacja okresu wykonywania prac budowlanych, stosownie odpowiednich rozwiązań techniczno-organizacyjnych i zabezpieczeń, wykonywanie określonych prac budowlanych w odpowiednich terminach np. poza okresem lęgowym</w:t>
            </w:r>
            <w:r w:rsidRPr="00020C09">
              <w:rPr>
                <w:rFonts w:ascii="Calibri" w:eastAsia="Times New Roman" w:hAnsi="Calibri" w:cs="Times New Roman"/>
                <w:color w:val="000000"/>
                <w:szCs w:val="24"/>
                <w:lang w:eastAsia="pl-PL"/>
              </w:rPr>
              <w:br/>
              <w:t>Ad.2. Ograniczenie wycinki drzew i krzewów w obrębie prowadzonych prac budowlanych do niezbędnego minimum, stosowanie dobrych praktyk w zakresie ochrony środowiska, w szczególności standardów ochrony drzew</w:t>
            </w:r>
          </w:p>
        </w:tc>
      </w:tr>
      <w:tr w:rsidR="001563AE" w:rsidRPr="00020C09" w14:paraId="7184300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02FC3D3"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37822C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wsparcie działań z zakresu zrównoważonej gospodarki turystycznej przyczyniając się do uporządkowania i ukierunkowania turystyki w regionie </w:t>
            </w:r>
          </w:p>
        </w:tc>
        <w:tc>
          <w:tcPr>
            <w:tcW w:w="1504" w:type="pct"/>
            <w:tcBorders>
              <w:top w:val="nil"/>
              <w:left w:val="nil"/>
              <w:bottom w:val="single" w:sz="4" w:space="0" w:color="auto"/>
              <w:right w:val="single" w:sz="4" w:space="0" w:color="auto"/>
            </w:tcBorders>
            <w:shd w:val="clear" w:color="000000" w:fill="FFFFFF"/>
            <w:hideMark/>
          </w:tcPr>
          <w:p w14:paraId="02DA53A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zajęcie areału pod inwestycję, zniszczenie/przeobrażenia siedlisk przyrodniczych</w:t>
            </w:r>
          </w:p>
        </w:tc>
        <w:tc>
          <w:tcPr>
            <w:tcW w:w="1818" w:type="pct"/>
            <w:tcBorders>
              <w:top w:val="nil"/>
              <w:left w:val="nil"/>
              <w:bottom w:val="single" w:sz="4" w:space="0" w:color="auto"/>
              <w:right w:val="single" w:sz="4" w:space="0" w:color="auto"/>
            </w:tcBorders>
            <w:shd w:val="clear" w:color="000000" w:fill="FFFFFF"/>
            <w:hideMark/>
          </w:tcPr>
          <w:p w14:paraId="0CC80C1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Ad.1. Ograniczenie zajęcia terenu pod inwestycję, stosowanie dobrych praktyk </w:t>
            </w:r>
            <w:r w:rsidRPr="00020C09">
              <w:rPr>
                <w:rFonts w:ascii="Calibri" w:eastAsia="Times New Roman" w:hAnsi="Calibri" w:cs="Times New Roman"/>
                <w:color w:val="000000" w:themeColor="text1"/>
                <w:szCs w:val="24"/>
                <w:lang w:eastAsia="pl-PL"/>
              </w:rPr>
              <w:t>w zakresie ochrony środowiska podczas realizacji inwestycji, unikanie kolizji z obszarami cennymi przyrodniczo, inwentaryzacja przyrodnicza przeprowadzona w okresie umożliwiającym identyfikację występujących na terenie gatunków roślin i zwierząt oraz wystarczającym do oceny znaczenia tego obszaru dla bioróżnorodności i chronionych gatunków</w:t>
            </w:r>
          </w:p>
        </w:tc>
      </w:tr>
      <w:tr w:rsidR="001563AE" w:rsidRPr="00020C09" w14:paraId="5658549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732BE4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70BA29D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0E50A8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nadmierny hałas, wibracje, pylenie w trakcie budowy inwestycji</w:t>
            </w:r>
          </w:p>
        </w:tc>
        <w:tc>
          <w:tcPr>
            <w:tcW w:w="1818" w:type="pct"/>
            <w:tcBorders>
              <w:top w:val="nil"/>
              <w:left w:val="nil"/>
              <w:bottom w:val="single" w:sz="4" w:space="0" w:color="auto"/>
              <w:right w:val="single" w:sz="4" w:space="0" w:color="auto"/>
            </w:tcBorders>
            <w:shd w:val="clear" w:color="000000" w:fill="FFFFFF"/>
            <w:hideMark/>
          </w:tcPr>
          <w:p w14:paraId="5DD1D80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Działania informacyjne i właściwa organizacji placów budowy; prowadzenie budowy z ograniczeniem uciążliwości dla mieszkańców (np. prowadzenie prac nie powodujących hałasu w porze nocnej, minimalizacja okresu wykonywania prac budowlanych). Ad. 2. kontrolowanie maszyn i urządzeń, usuwanie usterek, usuwanie wszelkich odpadów po zakończeniu prac budowlanych.</w:t>
            </w:r>
          </w:p>
        </w:tc>
      </w:tr>
      <w:tr w:rsidR="001563AE" w:rsidRPr="00020C09" w14:paraId="57234896"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5B2D1F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82ED7A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rozwój gospodarki turystycznej (w tym poprawa jakości świadczonych usług); (2) rozwój infrastruktury rowerowej; (3) zwiększenie uczestnictwa w kulturze; (4) udostępnienie dziedzictwa kulturowego turystom; (5) poprawa warunków do prowadzenia działalności przedsiębiorstw; (5) wsparcie szkół zawodowych kształcących w zawodach deficytowych; (6) poprawa dostępności do nowoczesnych metod nauczania</w:t>
            </w:r>
          </w:p>
        </w:tc>
        <w:tc>
          <w:tcPr>
            <w:tcW w:w="1504" w:type="pct"/>
            <w:tcBorders>
              <w:top w:val="nil"/>
              <w:left w:val="nil"/>
              <w:bottom w:val="single" w:sz="4" w:space="0" w:color="auto"/>
              <w:right w:val="single" w:sz="4" w:space="0" w:color="auto"/>
            </w:tcBorders>
            <w:shd w:val="clear" w:color="000000" w:fill="FFFFFF"/>
            <w:hideMark/>
          </w:tcPr>
          <w:p w14:paraId="0813644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6AFBC0E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2CD7965"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FA47C0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64371B1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3116453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(1) awaria sprzętu budowlanego i wtórne uwalnianie zanieczyszczeń </w:t>
            </w:r>
          </w:p>
        </w:tc>
        <w:tc>
          <w:tcPr>
            <w:tcW w:w="1818" w:type="pct"/>
            <w:tcBorders>
              <w:top w:val="nil"/>
              <w:left w:val="nil"/>
              <w:bottom w:val="single" w:sz="4" w:space="0" w:color="auto"/>
              <w:right w:val="single" w:sz="4" w:space="0" w:color="auto"/>
            </w:tcBorders>
            <w:shd w:val="clear" w:color="auto" w:fill="auto"/>
            <w:hideMark/>
          </w:tcPr>
          <w:p w14:paraId="3E69903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Analiza budowy geologicznej i warunków hydrogeologicznych gruntu; przegrody lub izolacje chroniące przed wtórnym uwalnianiem zanieczyszczeń; systemy drenażowe zbierające wody lub inne substancje użyte do remediacji chroniące przed wtórnym uwalnianiem zanieczyszczeń</w:t>
            </w:r>
          </w:p>
        </w:tc>
      </w:tr>
      <w:tr w:rsidR="001563AE" w:rsidRPr="00020C09" w14:paraId="3658AA20"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FB7107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3CFFEAA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likwidacja miejsca potencjalnego uwalniania zanieczyszczeń do wód powierzchniowych, morskich, gruntowych</w:t>
            </w:r>
          </w:p>
        </w:tc>
        <w:tc>
          <w:tcPr>
            <w:tcW w:w="1504" w:type="pct"/>
            <w:tcBorders>
              <w:top w:val="nil"/>
              <w:left w:val="nil"/>
              <w:bottom w:val="single" w:sz="4" w:space="0" w:color="auto"/>
              <w:right w:val="single" w:sz="4" w:space="0" w:color="auto"/>
            </w:tcBorders>
            <w:shd w:val="clear" w:color="auto" w:fill="auto"/>
            <w:hideMark/>
          </w:tcPr>
          <w:p w14:paraId="40DA6D8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hideMark/>
          </w:tcPr>
          <w:p w14:paraId="16A7970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5BE00C9"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28360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05111E5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7CC4EEC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2A0A3C7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D66955C"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531064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04CA6A7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6462680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2E3E0C3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FEE713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037CB0E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619C716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 działania będą miały charakter neutralny</w:t>
            </w:r>
          </w:p>
        </w:tc>
        <w:tc>
          <w:tcPr>
            <w:tcW w:w="1504" w:type="pct"/>
            <w:tcBorders>
              <w:top w:val="nil"/>
              <w:left w:val="nil"/>
              <w:bottom w:val="single" w:sz="4" w:space="0" w:color="auto"/>
              <w:right w:val="single" w:sz="4" w:space="0" w:color="auto"/>
            </w:tcBorders>
            <w:shd w:val="clear" w:color="000000" w:fill="FFFFFF"/>
            <w:hideMark/>
          </w:tcPr>
          <w:p w14:paraId="49B664B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naruszenie powierzchni ziemi, powstawanie odkładów ziemnych na etapie budowy budynków, infrastruktury</w:t>
            </w:r>
            <w:r w:rsidRPr="00020C09">
              <w:rPr>
                <w:rFonts w:ascii="Calibri" w:eastAsia="Times New Roman" w:hAnsi="Calibri" w:cs="Times New Roman"/>
                <w:color w:val="000000"/>
                <w:szCs w:val="24"/>
                <w:lang w:eastAsia="pl-PL"/>
              </w:rPr>
              <w:br/>
              <w:t>(2) emisja zanieczyszczeń do gleby na etapie budowy</w:t>
            </w:r>
            <w:r w:rsidRPr="00020C09">
              <w:rPr>
                <w:rFonts w:ascii="Calibri" w:eastAsia="Times New Roman" w:hAnsi="Calibri" w:cs="Times New Roman"/>
                <w:color w:val="000000"/>
                <w:szCs w:val="24"/>
                <w:lang w:eastAsia="pl-PL"/>
              </w:rPr>
              <w:br/>
              <w:t>(3) zasklepienie gruntu</w:t>
            </w:r>
          </w:p>
        </w:tc>
        <w:tc>
          <w:tcPr>
            <w:tcW w:w="1818" w:type="pct"/>
            <w:tcBorders>
              <w:top w:val="nil"/>
              <w:left w:val="nil"/>
              <w:bottom w:val="single" w:sz="4" w:space="0" w:color="auto"/>
              <w:right w:val="single" w:sz="4" w:space="0" w:color="auto"/>
            </w:tcBorders>
            <w:shd w:val="clear" w:color="000000" w:fill="FFFFFF"/>
            <w:hideMark/>
          </w:tcPr>
          <w:p w14:paraId="7541949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Zdejmowanie wierzchniej, próchniczej warstwy gleby i składowanie jej w osobnych pryzmach; ponowne wykorzystanie materiału wydobywanego w miejscu inwestycji; rozściełanie warstwy próchniczej na powierzchni terenu.</w:t>
            </w:r>
            <w:r w:rsidRPr="00020C09">
              <w:rPr>
                <w:rFonts w:ascii="Calibri" w:eastAsia="Times New Roman" w:hAnsi="Calibri" w:cs="Times New Roman"/>
                <w:color w:val="000000"/>
                <w:szCs w:val="24"/>
                <w:lang w:eastAsia="pl-PL"/>
              </w:rPr>
              <w:br/>
              <w:t>Ad.2. Kontrolowanie maszyn i urządzeń, usuwanie usterek, usuwanie wszelkich odpadów po zakończeniu prac budowlanych.</w:t>
            </w:r>
            <w:r w:rsidRPr="00020C09">
              <w:rPr>
                <w:rFonts w:ascii="Calibri" w:eastAsia="Times New Roman" w:hAnsi="Calibri" w:cs="Times New Roman"/>
                <w:color w:val="000000"/>
                <w:szCs w:val="24"/>
                <w:lang w:eastAsia="pl-PL"/>
              </w:rPr>
              <w:br/>
              <w:t>Ad.3. Zachowywanie lub tworzenie powierzchni biologicznie czynnych gleby, zdolnych do łagodzenia degradującego działania terenów zabudowanych i zanieczyszczeń środowiska</w:t>
            </w:r>
          </w:p>
        </w:tc>
      </w:tr>
      <w:tr w:rsidR="001563AE" w:rsidRPr="00020C09" w14:paraId="691C064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9796D3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260DAE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zagospodarowanie terenów obszarów zurbanizowanych, poprzemysłowych, powojskowych, pokolejowych, popegeerowskich</w:t>
            </w:r>
          </w:p>
        </w:tc>
        <w:tc>
          <w:tcPr>
            <w:tcW w:w="1504" w:type="pct"/>
            <w:tcBorders>
              <w:top w:val="nil"/>
              <w:left w:val="nil"/>
              <w:bottom w:val="single" w:sz="4" w:space="0" w:color="auto"/>
              <w:right w:val="single" w:sz="4" w:space="0" w:color="auto"/>
            </w:tcBorders>
            <w:shd w:val="clear" w:color="000000" w:fill="FFFFFF"/>
            <w:hideMark/>
          </w:tcPr>
          <w:p w14:paraId="48B9F78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wykorzystanie terenów zielnych na inwestycje</w:t>
            </w:r>
          </w:p>
        </w:tc>
        <w:tc>
          <w:tcPr>
            <w:tcW w:w="1818" w:type="pct"/>
            <w:tcBorders>
              <w:top w:val="nil"/>
              <w:left w:val="nil"/>
              <w:bottom w:val="single" w:sz="4" w:space="0" w:color="auto"/>
              <w:right w:val="single" w:sz="4" w:space="0" w:color="auto"/>
            </w:tcBorders>
            <w:shd w:val="clear" w:color="000000" w:fill="FFFFFF"/>
            <w:noWrap/>
            <w:hideMark/>
          </w:tcPr>
          <w:p w14:paraId="2158DCD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Lokalizacja inwestycji z preferencją "brown field", poza obszarami zielonymi</w:t>
            </w:r>
          </w:p>
        </w:tc>
      </w:tr>
      <w:tr w:rsidR="001563AE" w:rsidRPr="00020C09" w14:paraId="53F7004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732ACA0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4B94893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1C61D33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chaos przestrzenny</w:t>
            </w:r>
          </w:p>
        </w:tc>
        <w:tc>
          <w:tcPr>
            <w:tcW w:w="1818" w:type="pct"/>
            <w:tcBorders>
              <w:top w:val="nil"/>
              <w:left w:val="nil"/>
              <w:bottom w:val="single" w:sz="4" w:space="0" w:color="auto"/>
              <w:right w:val="single" w:sz="4" w:space="0" w:color="auto"/>
            </w:tcBorders>
            <w:shd w:val="clear" w:color="auto" w:fill="auto"/>
            <w:hideMark/>
          </w:tcPr>
          <w:p w14:paraId="6FEF8CB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Utrzymywanie porządku podczas prac budowalnych</w:t>
            </w:r>
          </w:p>
        </w:tc>
      </w:tr>
      <w:tr w:rsidR="001563AE" w:rsidRPr="00020C09" w14:paraId="34FCEB51"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5D1B67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952194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7DA059A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B9D84D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29F5B06"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5DC4E6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4FB8A64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79D0AC7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5576336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DFB40D5"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673D62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44EAD83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0075146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269CF1F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A80DEBB"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AF3283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3D5BDAA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7E0AD8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(1) zwiększenie zapotrzebowania na materiały budowlane na etapie budowy, tym samym do zubożenie ilości kruszyw naturalnych</w:t>
            </w:r>
          </w:p>
        </w:tc>
        <w:tc>
          <w:tcPr>
            <w:tcW w:w="1818" w:type="pct"/>
            <w:tcBorders>
              <w:top w:val="nil"/>
              <w:left w:val="nil"/>
              <w:bottom w:val="single" w:sz="4" w:space="0" w:color="auto"/>
              <w:right w:val="single" w:sz="4" w:space="0" w:color="auto"/>
            </w:tcBorders>
            <w:shd w:val="clear" w:color="000000" w:fill="FFFFFF"/>
            <w:hideMark/>
          </w:tcPr>
          <w:p w14:paraId="516E2B5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Racjonalna gospodarka materiałami, w tym surowcami naturalnymi podczas prac budowlanych</w:t>
            </w:r>
          </w:p>
        </w:tc>
      </w:tr>
      <w:tr w:rsidR="001563AE" w:rsidRPr="00020C09" w14:paraId="5DB8621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CED5BA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08E2574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E3B4CC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73FD768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E6EB05C"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059913B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5C95D56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B29AC2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08BE7A8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C938424"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477078D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0D790AA" w14:textId="0E4B9F72"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rozwój gospodarki turystycznej; (2) budowa, rozbudowa i modernizacja wraz z wyposażeniem instytucji kultury; (3) wsparcie ochrony dziedzictwa kulturowego; (4) ochrona i zachowanie dziedzictwa kulturowego (prace restauratorskie i konserwatorskie); (5) adaptacja budynków do pełnienia nowych funkcji</w:t>
            </w:r>
            <w:r w:rsidR="00D4052B">
              <w:rPr>
                <w:rFonts w:ascii="Calibri" w:eastAsia="Times New Roman" w:hAnsi="Calibri" w:cs="Times New Roman"/>
                <w:color w:val="000000"/>
                <w:szCs w:val="24"/>
                <w:lang w:eastAsia="pl-PL"/>
              </w:rPr>
              <w:t xml:space="preserve"> </w:t>
            </w:r>
            <w:r w:rsidRPr="00020C09">
              <w:rPr>
                <w:rFonts w:ascii="Calibri" w:eastAsia="Times New Roman" w:hAnsi="Calibri" w:cs="Times New Roman"/>
                <w:color w:val="000000"/>
                <w:szCs w:val="24"/>
                <w:lang w:eastAsia="pl-PL"/>
              </w:rPr>
              <w:t>kulturalnych lub turystycznych; (6) zagospodarowanie przestrzeni publicznych wraz z małą architekturą i infrastrukturą towarzyszącą w ramach układów urbanistycznych wpisanych do ewidencji lub rejestru zabytków</w:t>
            </w:r>
          </w:p>
        </w:tc>
        <w:tc>
          <w:tcPr>
            <w:tcW w:w="1504" w:type="pct"/>
            <w:tcBorders>
              <w:top w:val="nil"/>
              <w:left w:val="nil"/>
              <w:bottom w:val="single" w:sz="4" w:space="0" w:color="auto"/>
              <w:right w:val="single" w:sz="4" w:space="0" w:color="auto"/>
            </w:tcBorders>
            <w:shd w:val="clear" w:color="000000" w:fill="FFFFFF"/>
            <w:hideMark/>
          </w:tcPr>
          <w:p w14:paraId="28D5A01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zwiększenie ruchu turystycznego</w:t>
            </w:r>
          </w:p>
        </w:tc>
        <w:tc>
          <w:tcPr>
            <w:tcW w:w="1818" w:type="pct"/>
            <w:tcBorders>
              <w:top w:val="nil"/>
              <w:left w:val="nil"/>
              <w:bottom w:val="single" w:sz="4" w:space="0" w:color="auto"/>
              <w:right w:val="single" w:sz="4" w:space="0" w:color="auto"/>
            </w:tcBorders>
            <w:shd w:val="clear" w:color="auto" w:fill="auto"/>
            <w:hideMark/>
          </w:tcPr>
          <w:p w14:paraId="266ADC5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Ad.1. Dostosowanie liczby turystów np. poprzez wprowadzenie limitów wejść</w:t>
            </w:r>
          </w:p>
        </w:tc>
      </w:tr>
      <w:tr w:rsidR="001E762B" w:rsidRPr="00020C09" w14:paraId="4BA9E357"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549E39"/>
            <w:hideMark/>
          </w:tcPr>
          <w:p w14:paraId="72413C0E" w14:textId="77777777" w:rsidR="001E762B" w:rsidRPr="00020C09" w:rsidRDefault="001E762B" w:rsidP="00B83214">
            <w:pPr>
              <w:spacing w:after="0" w:line="240" w:lineRule="auto"/>
              <w:rPr>
                <w:rFonts w:ascii="Calibri" w:eastAsia="Times New Roman" w:hAnsi="Calibri" w:cs="Times New Roman"/>
                <w:b/>
                <w:bCs/>
                <w:color w:val="FFFFFF"/>
                <w:szCs w:val="24"/>
                <w:lang w:eastAsia="pl-PL"/>
              </w:rPr>
            </w:pPr>
            <w:r w:rsidRPr="00020C09">
              <w:rPr>
                <w:rFonts w:ascii="Calibri" w:eastAsia="Times New Roman" w:hAnsi="Calibri" w:cs="Times New Roman"/>
                <w:b/>
                <w:bCs/>
                <w:color w:val="FFFFFF"/>
                <w:szCs w:val="24"/>
                <w:lang w:eastAsia="pl-PL"/>
              </w:rPr>
              <w:t>Priorytet 8. Pomoc techniczna (EFRR)</w:t>
            </w:r>
          </w:p>
        </w:tc>
      </w:tr>
      <w:tr w:rsidR="001563AE" w:rsidRPr="00020C09" w14:paraId="7C947E2E"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4F835CFE"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7D9354AF"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1824CAA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567FB6C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5AED66DC"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7B9B540"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auto" w:fill="auto"/>
            <w:hideMark/>
          </w:tcPr>
          <w:p w14:paraId="5A6B52E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6258756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769C080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CEA8714"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08FF03E"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auto" w:fill="auto"/>
            <w:hideMark/>
          </w:tcPr>
          <w:p w14:paraId="0D00711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64FE33E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071ADF0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CBF177B"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C4CCFF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69D2744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49C3507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64F3819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F1F9C11"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9F4A82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9E4556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wsparcie pracowników instytucji (stabilny i konkurencyjny system wynagradzania i świadczeń pozapłacowych, podnoszenie kompetencji i wiedzy, przejrzystość ścieżek kariery); (2) polepszenie komfortu pracy (wysoki poziom zarządzania, przyjazna atmosfera, integracja zespołu, badania satysfakcji zatrudnionych/rozmowy z odchodzącymi pracownikami); (3) elastyczne formy pracy (zwłaszcza praca zdalna); (4) modernizacja procesów zarządzania; (5) wsparcie osób z grup narażonych na dyskryminację; (5) zwiększenie świadomości społecznej na temat projektów finansowanych z funduszy</w:t>
            </w:r>
          </w:p>
        </w:tc>
        <w:tc>
          <w:tcPr>
            <w:tcW w:w="1504" w:type="pct"/>
            <w:tcBorders>
              <w:top w:val="nil"/>
              <w:left w:val="nil"/>
              <w:bottom w:val="single" w:sz="4" w:space="0" w:color="auto"/>
              <w:right w:val="single" w:sz="4" w:space="0" w:color="auto"/>
            </w:tcBorders>
            <w:shd w:val="clear" w:color="000000" w:fill="FFFFFF"/>
            <w:hideMark/>
          </w:tcPr>
          <w:p w14:paraId="07AD644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21EBD38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62C75B6"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AB31BD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343F845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03C4957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27A5940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1A2CE61"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2AC7E3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6E71E4A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225EE0F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2CE96A6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7F387DE"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DD4092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3A6ED8B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497C678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449D773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1FEE32E"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04B0386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7770785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30C5B94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2C610B6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BBFC15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A5E2C1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19CF043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35E0935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0381F5C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1D0F8A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668265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14933F8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6FF9F8B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63C82F7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F8F532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8E059D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71E35CE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3A6FF4E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74139D8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1AE1873"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875FCF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176B55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5216F4F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5C069F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B37DEDA"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1EECC6F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auto" w:fill="auto"/>
            <w:hideMark/>
          </w:tcPr>
          <w:p w14:paraId="7C99239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19F6D3A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2D22CDA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4B474A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96D159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08E2AEE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7B5DAF3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541780C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C5AC5EB"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9EC68D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3D7EB3B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40C1EC8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6A9C61A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CC638BA"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1678D1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C9C27C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1DAE221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3C5F3D7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CBB5AFA"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4B7B156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4BF013F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543AA98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6986356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7508225"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1A9E094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BD5D3B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1526CEF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CDDE2B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E762B" w:rsidRPr="00020C09" w14:paraId="0459A858" w14:textId="77777777" w:rsidTr="005E5DA5">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549E39"/>
            <w:hideMark/>
          </w:tcPr>
          <w:p w14:paraId="269D873B" w14:textId="77777777" w:rsidR="001E762B" w:rsidRPr="00020C09" w:rsidRDefault="001E762B" w:rsidP="00B83214">
            <w:pPr>
              <w:spacing w:after="0" w:line="240" w:lineRule="auto"/>
              <w:rPr>
                <w:rFonts w:ascii="Calibri" w:eastAsia="Times New Roman" w:hAnsi="Calibri" w:cs="Times New Roman"/>
                <w:b/>
                <w:bCs/>
                <w:color w:val="FFFFFF"/>
                <w:szCs w:val="24"/>
                <w:lang w:eastAsia="pl-PL"/>
              </w:rPr>
            </w:pPr>
            <w:r w:rsidRPr="00020C09">
              <w:rPr>
                <w:rFonts w:ascii="Calibri" w:eastAsia="Times New Roman" w:hAnsi="Calibri" w:cs="Times New Roman"/>
                <w:b/>
                <w:bCs/>
                <w:color w:val="FFFFFF"/>
                <w:szCs w:val="24"/>
                <w:lang w:eastAsia="pl-PL"/>
              </w:rPr>
              <w:t>Priorytet 9. Pomoc techniczna (EFS+)</w:t>
            </w:r>
          </w:p>
        </w:tc>
      </w:tr>
      <w:tr w:rsidR="001563AE" w:rsidRPr="00020C09" w14:paraId="3C4B8E96" w14:textId="77777777" w:rsidTr="00941DF5">
        <w:trPr>
          <w:trHeight w:val="20"/>
        </w:trPr>
        <w:tc>
          <w:tcPr>
            <w:tcW w:w="977" w:type="pct"/>
            <w:tcBorders>
              <w:top w:val="nil"/>
              <w:left w:val="single" w:sz="4" w:space="0" w:color="auto"/>
              <w:bottom w:val="single" w:sz="4" w:space="0" w:color="auto"/>
              <w:right w:val="single" w:sz="4" w:space="0" w:color="auto"/>
            </w:tcBorders>
            <w:shd w:val="clear" w:color="000000" w:fill="FFFFFF"/>
            <w:hideMark/>
          </w:tcPr>
          <w:p w14:paraId="7E9BFD80"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Komponent środowiska</w:t>
            </w:r>
          </w:p>
        </w:tc>
        <w:tc>
          <w:tcPr>
            <w:tcW w:w="701" w:type="pct"/>
            <w:tcBorders>
              <w:top w:val="nil"/>
              <w:left w:val="nil"/>
              <w:bottom w:val="single" w:sz="4" w:space="0" w:color="auto"/>
              <w:right w:val="single" w:sz="4" w:space="0" w:color="auto"/>
            </w:tcBorders>
            <w:shd w:val="clear" w:color="000000" w:fill="FFFFFF"/>
            <w:hideMark/>
          </w:tcPr>
          <w:p w14:paraId="415906EB"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pozytywne</w:t>
            </w:r>
          </w:p>
        </w:tc>
        <w:tc>
          <w:tcPr>
            <w:tcW w:w="1504" w:type="pct"/>
            <w:tcBorders>
              <w:top w:val="nil"/>
              <w:left w:val="nil"/>
              <w:bottom w:val="single" w:sz="4" w:space="0" w:color="auto"/>
              <w:right w:val="single" w:sz="4" w:space="0" w:color="auto"/>
            </w:tcBorders>
            <w:shd w:val="clear" w:color="000000" w:fill="FFFFFF"/>
            <w:hideMark/>
          </w:tcPr>
          <w:p w14:paraId="0F6B431C"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Oddziaływania negatywne</w:t>
            </w:r>
          </w:p>
        </w:tc>
        <w:tc>
          <w:tcPr>
            <w:tcW w:w="1818" w:type="pct"/>
            <w:tcBorders>
              <w:top w:val="nil"/>
              <w:left w:val="nil"/>
              <w:bottom w:val="single" w:sz="4" w:space="0" w:color="auto"/>
              <w:right w:val="single" w:sz="4" w:space="0" w:color="auto"/>
            </w:tcBorders>
            <w:shd w:val="clear" w:color="000000" w:fill="FFFFFF"/>
            <w:hideMark/>
          </w:tcPr>
          <w:p w14:paraId="20FA4591" w14:textId="77777777" w:rsidR="001E762B" w:rsidRPr="00020C09" w:rsidRDefault="001E762B" w:rsidP="00B83214">
            <w:pPr>
              <w:spacing w:after="0" w:line="240" w:lineRule="auto"/>
              <w:rPr>
                <w:rFonts w:ascii="Calibri" w:eastAsia="Times New Roman" w:hAnsi="Calibri" w:cs="Times New Roman"/>
                <w:b/>
                <w:bCs/>
                <w:color w:val="000000"/>
                <w:szCs w:val="24"/>
                <w:lang w:eastAsia="pl-PL"/>
              </w:rPr>
            </w:pPr>
            <w:r w:rsidRPr="00020C09">
              <w:rPr>
                <w:rFonts w:ascii="Calibri" w:eastAsia="Times New Roman" w:hAnsi="Calibri" w:cs="Times New Roman"/>
                <w:b/>
                <w:bCs/>
                <w:color w:val="000000"/>
                <w:szCs w:val="24"/>
                <w:lang w:eastAsia="pl-PL"/>
              </w:rPr>
              <w:t>Działania minimalizujące</w:t>
            </w:r>
          </w:p>
        </w:tc>
      </w:tr>
      <w:tr w:rsidR="001563AE" w:rsidRPr="00020C09" w14:paraId="366D26D6"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9A9F233" w14:textId="77777777" w:rsidR="001E762B" w:rsidRPr="00020C09" w:rsidRDefault="001E762B" w:rsidP="00B83214">
            <w:pPr>
              <w:spacing w:after="0" w:line="240" w:lineRule="auto"/>
              <w:rPr>
                <w:rFonts w:ascii="Calibri" w:eastAsia="Times New Roman" w:hAnsi="Calibri" w:cs="Times New Roman"/>
                <w:szCs w:val="24"/>
                <w:lang w:eastAsia="pl-PL"/>
              </w:rPr>
            </w:pPr>
            <w:r w:rsidRPr="00020C09">
              <w:rPr>
                <w:rFonts w:ascii="Calibri" w:eastAsia="Times New Roman" w:hAnsi="Calibri" w:cs="Times New Roman"/>
                <w:szCs w:val="24"/>
                <w:lang w:eastAsia="pl-PL"/>
              </w:rPr>
              <w:t>Różnorodność biologiczna, w tym rośliny, zwierzęta i obszary Natura 2000</w:t>
            </w:r>
          </w:p>
        </w:tc>
        <w:tc>
          <w:tcPr>
            <w:tcW w:w="701" w:type="pct"/>
            <w:tcBorders>
              <w:top w:val="nil"/>
              <w:left w:val="nil"/>
              <w:bottom w:val="single" w:sz="4" w:space="0" w:color="auto"/>
              <w:right w:val="single" w:sz="4" w:space="0" w:color="auto"/>
            </w:tcBorders>
            <w:shd w:val="clear" w:color="auto" w:fill="auto"/>
            <w:hideMark/>
          </w:tcPr>
          <w:p w14:paraId="47BD62F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478AB92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2FED1C8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CC61619"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477C2E0" w14:textId="77777777" w:rsidR="001E762B" w:rsidRPr="00020C09" w:rsidRDefault="001E762B" w:rsidP="00B83214">
            <w:pPr>
              <w:spacing w:after="0" w:line="240" w:lineRule="auto"/>
              <w:rPr>
                <w:rFonts w:ascii="Calibri" w:eastAsia="Times New Roman" w:hAnsi="Calibri" w:cs="Times New Roman"/>
                <w:szCs w:val="24"/>
                <w:lang w:eastAsia="pl-PL"/>
              </w:rPr>
            </w:pPr>
          </w:p>
        </w:tc>
        <w:tc>
          <w:tcPr>
            <w:tcW w:w="701" w:type="pct"/>
            <w:tcBorders>
              <w:top w:val="nil"/>
              <w:left w:val="nil"/>
              <w:bottom w:val="single" w:sz="4" w:space="0" w:color="auto"/>
              <w:right w:val="single" w:sz="4" w:space="0" w:color="auto"/>
            </w:tcBorders>
            <w:shd w:val="clear" w:color="auto" w:fill="auto"/>
            <w:hideMark/>
          </w:tcPr>
          <w:p w14:paraId="517BCAC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151E8E4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50461CA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7627574"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464A985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Ludzie</w:t>
            </w:r>
          </w:p>
        </w:tc>
        <w:tc>
          <w:tcPr>
            <w:tcW w:w="701" w:type="pct"/>
            <w:tcBorders>
              <w:top w:val="nil"/>
              <w:left w:val="nil"/>
              <w:bottom w:val="single" w:sz="4" w:space="0" w:color="auto"/>
              <w:right w:val="single" w:sz="4" w:space="0" w:color="auto"/>
            </w:tcBorders>
            <w:shd w:val="clear" w:color="000000" w:fill="FFFFFF"/>
            <w:hideMark/>
          </w:tcPr>
          <w:p w14:paraId="36C34AF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7D1F241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2EB8821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B993654"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1740D496"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2D28324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(1) wsparcie pracowników instytucji (stabilny i konkurencyjny system wynagradzania i świadczeń pozapłacowych, podnoszenie kompetencji i wiedzy, przejrzystość ścieżek kariery); (2) polepszenie komfortu pracy (wysoki poziom zarządzania, przyjazna atmosfera, integracja zespołu, badania satysfakcji zatrudnionych/rozmowy z odchodzącymi pracownikami); (3) elastyczne formy pracy (zwłaszcza praca zdalna); (4) modernizacja procesów zarządzania; (5) wsparcie osób z grup narażonych na dyskryminację; (5) zwiększenie świadomości społecznej na temat projektów finansowanych z funduszy</w:t>
            </w:r>
          </w:p>
        </w:tc>
        <w:tc>
          <w:tcPr>
            <w:tcW w:w="1504" w:type="pct"/>
            <w:tcBorders>
              <w:top w:val="nil"/>
              <w:left w:val="nil"/>
              <w:bottom w:val="single" w:sz="4" w:space="0" w:color="auto"/>
              <w:right w:val="single" w:sz="4" w:space="0" w:color="auto"/>
            </w:tcBorders>
            <w:shd w:val="clear" w:color="000000" w:fill="FFFFFF"/>
            <w:hideMark/>
          </w:tcPr>
          <w:p w14:paraId="7A1D483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5069882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4F8D4B7D"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FC61F8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Wody</w:t>
            </w:r>
          </w:p>
        </w:tc>
        <w:tc>
          <w:tcPr>
            <w:tcW w:w="701" w:type="pct"/>
            <w:tcBorders>
              <w:top w:val="nil"/>
              <w:left w:val="nil"/>
              <w:bottom w:val="single" w:sz="4" w:space="0" w:color="auto"/>
              <w:right w:val="single" w:sz="4" w:space="0" w:color="auto"/>
            </w:tcBorders>
            <w:shd w:val="clear" w:color="auto" w:fill="auto"/>
            <w:hideMark/>
          </w:tcPr>
          <w:p w14:paraId="2EB3CD1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42D0BA4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5C8759C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FAD1BC2"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7A95ECD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64AB428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19231F6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7378E31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FB77548"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2F0ECE0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Powietrze</w:t>
            </w:r>
          </w:p>
        </w:tc>
        <w:tc>
          <w:tcPr>
            <w:tcW w:w="701" w:type="pct"/>
            <w:tcBorders>
              <w:top w:val="nil"/>
              <w:left w:val="nil"/>
              <w:bottom w:val="single" w:sz="4" w:space="0" w:color="auto"/>
              <w:right w:val="single" w:sz="4" w:space="0" w:color="auto"/>
            </w:tcBorders>
            <w:shd w:val="clear" w:color="auto" w:fill="auto"/>
            <w:hideMark/>
          </w:tcPr>
          <w:p w14:paraId="660383D7"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auto" w:fill="auto"/>
            <w:hideMark/>
          </w:tcPr>
          <w:p w14:paraId="2FE5B50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auto" w:fill="auto"/>
            <w:noWrap/>
            <w:hideMark/>
          </w:tcPr>
          <w:p w14:paraId="1A5DE8C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16C577E1"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C1B08F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auto" w:fill="auto"/>
            <w:hideMark/>
          </w:tcPr>
          <w:p w14:paraId="14340CA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auto" w:fill="auto"/>
            <w:hideMark/>
          </w:tcPr>
          <w:p w14:paraId="2BD728F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auto" w:fill="auto"/>
            <w:noWrap/>
            <w:hideMark/>
          </w:tcPr>
          <w:p w14:paraId="784C00B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60FEAC2"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3094BA2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Powierzchnia ziemi</w:t>
            </w:r>
          </w:p>
        </w:tc>
        <w:tc>
          <w:tcPr>
            <w:tcW w:w="701" w:type="pct"/>
            <w:tcBorders>
              <w:top w:val="nil"/>
              <w:left w:val="nil"/>
              <w:bottom w:val="single" w:sz="4" w:space="0" w:color="auto"/>
              <w:right w:val="single" w:sz="4" w:space="0" w:color="auto"/>
            </w:tcBorders>
            <w:shd w:val="clear" w:color="000000" w:fill="FFFFFF"/>
            <w:hideMark/>
          </w:tcPr>
          <w:p w14:paraId="54B5FB4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6474AFF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6B8FC89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F04735B"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2BADBF1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3897C93"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0C7CE05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2DB7CB7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0BDD96B9"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68CA6AE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Krajobraz</w:t>
            </w:r>
          </w:p>
        </w:tc>
        <w:tc>
          <w:tcPr>
            <w:tcW w:w="701" w:type="pct"/>
            <w:tcBorders>
              <w:top w:val="nil"/>
              <w:left w:val="nil"/>
              <w:bottom w:val="single" w:sz="4" w:space="0" w:color="auto"/>
              <w:right w:val="single" w:sz="4" w:space="0" w:color="auto"/>
            </w:tcBorders>
            <w:shd w:val="clear" w:color="000000" w:fill="FFFFFF"/>
            <w:hideMark/>
          </w:tcPr>
          <w:p w14:paraId="38753CD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04AC2B8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5C0D78B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8E72FAB"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4EEBE330"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4A779A2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962A635"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88F34B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5F2994FD"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81C9A5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Klimat</w:t>
            </w:r>
          </w:p>
        </w:tc>
        <w:tc>
          <w:tcPr>
            <w:tcW w:w="701" w:type="pct"/>
            <w:tcBorders>
              <w:top w:val="nil"/>
              <w:left w:val="nil"/>
              <w:bottom w:val="single" w:sz="4" w:space="0" w:color="auto"/>
              <w:right w:val="single" w:sz="4" w:space="0" w:color="auto"/>
            </w:tcBorders>
            <w:shd w:val="clear" w:color="000000" w:fill="FFFFFF"/>
            <w:hideMark/>
          </w:tcPr>
          <w:p w14:paraId="5C5B140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2D1CA232"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3E87147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83CFD7C"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594593B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D418DBA"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36E71121"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598902C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62E409E5" w14:textId="77777777" w:rsidTr="00941DF5">
        <w:trPr>
          <w:trHeight w:val="20"/>
        </w:trPr>
        <w:tc>
          <w:tcPr>
            <w:tcW w:w="977" w:type="pct"/>
            <w:vMerge w:val="restart"/>
            <w:tcBorders>
              <w:top w:val="nil"/>
              <w:left w:val="single" w:sz="4" w:space="0" w:color="auto"/>
              <w:bottom w:val="single" w:sz="4" w:space="0" w:color="auto"/>
              <w:right w:val="single" w:sz="4" w:space="0" w:color="auto"/>
            </w:tcBorders>
            <w:shd w:val="clear" w:color="000000" w:fill="FFFFFF"/>
            <w:hideMark/>
          </w:tcPr>
          <w:p w14:paraId="56D572C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Zasoby naturalne</w:t>
            </w:r>
          </w:p>
        </w:tc>
        <w:tc>
          <w:tcPr>
            <w:tcW w:w="701" w:type="pct"/>
            <w:tcBorders>
              <w:top w:val="nil"/>
              <w:left w:val="nil"/>
              <w:bottom w:val="single" w:sz="4" w:space="0" w:color="auto"/>
              <w:right w:val="single" w:sz="4" w:space="0" w:color="auto"/>
            </w:tcBorders>
            <w:shd w:val="clear" w:color="000000" w:fill="FFFFFF"/>
            <w:hideMark/>
          </w:tcPr>
          <w:p w14:paraId="55A162D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K: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2B5A639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noWrap/>
            <w:hideMark/>
          </w:tcPr>
          <w:p w14:paraId="45AB979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766F90C8" w14:textId="77777777" w:rsidTr="00941DF5">
        <w:trPr>
          <w:trHeight w:val="20"/>
        </w:trPr>
        <w:tc>
          <w:tcPr>
            <w:tcW w:w="977" w:type="pct"/>
            <w:vMerge/>
            <w:tcBorders>
              <w:top w:val="nil"/>
              <w:left w:val="single" w:sz="4" w:space="0" w:color="auto"/>
              <w:bottom w:val="single" w:sz="4" w:space="0" w:color="auto"/>
              <w:right w:val="single" w:sz="4" w:space="0" w:color="auto"/>
            </w:tcBorders>
            <w:hideMark/>
          </w:tcPr>
          <w:p w14:paraId="615C884E"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35E60AA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 xml:space="preserve">D: nie zidentyfikowano, działania będą miały charakter neutralny </w:t>
            </w:r>
          </w:p>
        </w:tc>
        <w:tc>
          <w:tcPr>
            <w:tcW w:w="1504" w:type="pct"/>
            <w:tcBorders>
              <w:top w:val="nil"/>
              <w:left w:val="nil"/>
              <w:bottom w:val="single" w:sz="4" w:space="0" w:color="auto"/>
              <w:right w:val="single" w:sz="4" w:space="0" w:color="auto"/>
            </w:tcBorders>
            <w:shd w:val="clear" w:color="000000" w:fill="FFFFFF"/>
            <w:hideMark/>
          </w:tcPr>
          <w:p w14:paraId="55346FBB"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noWrap/>
            <w:hideMark/>
          </w:tcPr>
          <w:p w14:paraId="57AF2D7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21E53306" w14:textId="77777777" w:rsidTr="00941DF5">
        <w:trPr>
          <w:trHeight w:val="20"/>
        </w:trPr>
        <w:tc>
          <w:tcPr>
            <w:tcW w:w="977" w:type="pct"/>
            <w:vMerge w:val="restart"/>
            <w:tcBorders>
              <w:top w:val="nil"/>
              <w:left w:val="single" w:sz="4" w:space="0" w:color="auto"/>
              <w:bottom w:val="single" w:sz="4" w:space="0" w:color="000000"/>
              <w:right w:val="single" w:sz="4" w:space="0" w:color="auto"/>
            </w:tcBorders>
            <w:shd w:val="clear" w:color="000000" w:fill="FFFFFF"/>
            <w:hideMark/>
          </w:tcPr>
          <w:p w14:paraId="31123A1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Zabytki i dobra materialne</w:t>
            </w:r>
          </w:p>
        </w:tc>
        <w:tc>
          <w:tcPr>
            <w:tcW w:w="701" w:type="pct"/>
            <w:tcBorders>
              <w:top w:val="nil"/>
              <w:left w:val="nil"/>
              <w:bottom w:val="single" w:sz="4" w:space="0" w:color="auto"/>
              <w:right w:val="single" w:sz="4" w:space="0" w:color="auto"/>
            </w:tcBorders>
            <w:shd w:val="clear" w:color="000000" w:fill="FFFFFF"/>
            <w:hideMark/>
          </w:tcPr>
          <w:p w14:paraId="234BAB39"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504" w:type="pct"/>
            <w:tcBorders>
              <w:top w:val="nil"/>
              <w:left w:val="nil"/>
              <w:bottom w:val="single" w:sz="4" w:space="0" w:color="auto"/>
              <w:right w:val="single" w:sz="4" w:space="0" w:color="auto"/>
            </w:tcBorders>
            <w:shd w:val="clear" w:color="000000" w:fill="FFFFFF"/>
            <w:hideMark/>
          </w:tcPr>
          <w:p w14:paraId="28F470E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K: nie zidentyfikowano</w:t>
            </w:r>
          </w:p>
        </w:tc>
        <w:tc>
          <w:tcPr>
            <w:tcW w:w="1818" w:type="pct"/>
            <w:tcBorders>
              <w:top w:val="nil"/>
              <w:left w:val="nil"/>
              <w:bottom w:val="single" w:sz="4" w:space="0" w:color="auto"/>
              <w:right w:val="single" w:sz="4" w:space="0" w:color="auto"/>
            </w:tcBorders>
            <w:shd w:val="clear" w:color="000000" w:fill="FFFFFF"/>
            <w:hideMark/>
          </w:tcPr>
          <w:p w14:paraId="449BA3BC"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r w:rsidR="001563AE" w:rsidRPr="00020C09" w14:paraId="36E4CDD2" w14:textId="77777777" w:rsidTr="00941DF5">
        <w:trPr>
          <w:trHeight w:val="20"/>
        </w:trPr>
        <w:tc>
          <w:tcPr>
            <w:tcW w:w="977" w:type="pct"/>
            <w:vMerge/>
            <w:tcBorders>
              <w:top w:val="nil"/>
              <w:left w:val="single" w:sz="4" w:space="0" w:color="auto"/>
              <w:bottom w:val="single" w:sz="4" w:space="0" w:color="000000"/>
              <w:right w:val="single" w:sz="4" w:space="0" w:color="auto"/>
            </w:tcBorders>
            <w:hideMark/>
          </w:tcPr>
          <w:p w14:paraId="70E32AD8"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p>
        </w:tc>
        <w:tc>
          <w:tcPr>
            <w:tcW w:w="701" w:type="pct"/>
            <w:tcBorders>
              <w:top w:val="nil"/>
              <w:left w:val="nil"/>
              <w:bottom w:val="single" w:sz="4" w:space="0" w:color="auto"/>
              <w:right w:val="single" w:sz="4" w:space="0" w:color="auto"/>
            </w:tcBorders>
            <w:shd w:val="clear" w:color="000000" w:fill="FFFFFF"/>
            <w:hideMark/>
          </w:tcPr>
          <w:p w14:paraId="55EF8D1D"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504" w:type="pct"/>
            <w:tcBorders>
              <w:top w:val="nil"/>
              <w:left w:val="nil"/>
              <w:bottom w:val="single" w:sz="4" w:space="0" w:color="auto"/>
              <w:right w:val="single" w:sz="4" w:space="0" w:color="auto"/>
            </w:tcBorders>
            <w:shd w:val="clear" w:color="000000" w:fill="FFFFFF"/>
            <w:hideMark/>
          </w:tcPr>
          <w:p w14:paraId="62057A0F"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D: nie zidentyfikowano</w:t>
            </w:r>
          </w:p>
        </w:tc>
        <w:tc>
          <w:tcPr>
            <w:tcW w:w="1818" w:type="pct"/>
            <w:tcBorders>
              <w:top w:val="nil"/>
              <w:left w:val="nil"/>
              <w:bottom w:val="single" w:sz="4" w:space="0" w:color="auto"/>
              <w:right w:val="single" w:sz="4" w:space="0" w:color="auto"/>
            </w:tcBorders>
            <w:shd w:val="clear" w:color="000000" w:fill="FFFFFF"/>
            <w:hideMark/>
          </w:tcPr>
          <w:p w14:paraId="07287A34" w14:textId="77777777" w:rsidR="001E762B" w:rsidRPr="00020C09" w:rsidRDefault="001E762B" w:rsidP="00B83214">
            <w:pPr>
              <w:spacing w:after="0" w:line="240" w:lineRule="auto"/>
              <w:rPr>
                <w:rFonts w:ascii="Calibri" w:eastAsia="Times New Roman" w:hAnsi="Calibri" w:cs="Times New Roman"/>
                <w:color w:val="000000"/>
                <w:szCs w:val="24"/>
                <w:lang w:eastAsia="pl-PL"/>
              </w:rPr>
            </w:pPr>
            <w:r w:rsidRPr="00020C09">
              <w:rPr>
                <w:rFonts w:ascii="Calibri" w:eastAsia="Times New Roman" w:hAnsi="Calibri" w:cs="Times New Roman"/>
                <w:color w:val="000000"/>
                <w:szCs w:val="24"/>
                <w:lang w:eastAsia="pl-PL"/>
              </w:rPr>
              <w:t>nie dotyczy</w:t>
            </w:r>
          </w:p>
        </w:tc>
      </w:tr>
    </w:tbl>
    <w:p w14:paraId="43FA1227" w14:textId="77777777" w:rsidR="009D68B4" w:rsidRDefault="009D68B4" w:rsidP="009D68B4">
      <w:pPr>
        <w:pStyle w:val="Nagwek1"/>
        <w:rPr>
          <w:sz w:val="24"/>
          <w:szCs w:val="20"/>
        </w:rPr>
      </w:pPr>
    </w:p>
    <w:p w14:paraId="288CCBC1" w14:textId="01A03EE0" w:rsidR="00E2551F" w:rsidRPr="009D68B4" w:rsidRDefault="0092269C" w:rsidP="009D68B4">
      <w:pPr>
        <w:pStyle w:val="Nagwek1"/>
        <w:rPr>
          <w:sz w:val="24"/>
          <w:szCs w:val="20"/>
        </w:rPr>
      </w:pPr>
      <w:bookmarkStart w:id="294" w:name="_Toc104790665"/>
      <w:r>
        <w:rPr>
          <w:sz w:val="24"/>
          <w:szCs w:val="20"/>
        </w:rPr>
        <w:t>Załącznik</w:t>
      </w:r>
      <w:r w:rsidR="00E2551F" w:rsidRPr="009D68B4">
        <w:rPr>
          <w:sz w:val="24"/>
          <w:szCs w:val="20"/>
        </w:rPr>
        <w:t xml:space="preserve"> </w:t>
      </w:r>
      <w:r w:rsidR="006E38B9">
        <w:rPr>
          <w:sz w:val="24"/>
          <w:szCs w:val="20"/>
        </w:rPr>
        <w:t>5</w:t>
      </w:r>
      <w:r w:rsidR="00E2551F" w:rsidRPr="009D68B4">
        <w:rPr>
          <w:sz w:val="24"/>
          <w:szCs w:val="20"/>
        </w:rPr>
        <w:t xml:space="preserve"> Macierz oddziaływań bezpośrednich (B) i pośrednich (P) możliwych do wystąpienia wskutek realizacji działań Programu FEPZ 2021-2027 na poszczególne komponenty środowiska</w:t>
      </w:r>
      <w:bookmarkEnd w:id="294"/>
    </w:p>
    <w:tbl>
      <w:tblPr>
        <w:tblW w:w="5000" w:type="pct"/>
        <w:tblCellMar>
          <w:left w:w="70" w:type="dxa"/>
          <w:right w:w="70" w:type="dxa"/>
        </w:tblCellMar>
        <w:tblLook w:val="04A0" w:firstRow="1" w:lastRow="0" w:firstColumn="1" w:lastColumn="0" w:noHBand="0" w:noVBand="1"/>
      </w:tblPr>
      <w:tblGrid>
        <w:gridCol w:w="1906"/>
        <w:gridCol w:w="560"/>
        <w:gridCol w:w="806"/>
        <w:gridCol w:w="780"/>
        <w:gridCol w:w="605"/>
        <w:gridCol w:w="639"/>
        <w:gridCol w:w="605"/>
        <w:gridCol w:w="605"/>
        <w:gridCol w:w="605"/>
        <w:gridCol w:w="608"/>
        <w:gridCol w:w="701"/>
        <w:gridCol w:w="771"/>
        <w:gridCol w:w="605"/>
        <w:gridCol w:w="608"/>
        <w:gridCol w:w="605"/>
        <w:gridCol w:w="608"/>
        <w:gridCol w:w="605"/>
        <w:gridCol w:w="609"/>
        <w:gridCol w:w="606"/>
        <w:gridCol w:w="708"/>
      </w:tblGrid>
      <w:tr w:rsidR="00ED14C3" w:rsidRPr="00576AA9" w14:paraId="35411E5E" w14:textId="77777777" w:rsidTr="00ED14C3">
        <w:trPr>
          <w:trHeight w:val="20"/>
          <w:tblHeader/>
        </w:trPr>
        <w:tc>
          <w:tcPr>
            <w:tcW w:w="83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B5266DD"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Komponent środowiska</w:t>
            </w:r>
          </w:p>
        </w:tc>
        <w:tc>
          <w:tcPr>
            <w:tcW w:w="569" w:type="pct"/>
            <w:gridSpan w:val="2"/>
            <w:tcBorders>
              <w:top w:val="single" w:sz="4" w:space="0" w:color="auto"/>
              <w:left w:val="nil"/>
              <w:bottom w:val="nil"/>
              <w:right w:val="single" w:sz="4" w:space="0" w:color="auto"/>
            </w:tcBorders>
            <w:shd w:val="clear" w:color="000000" w:fill="549E39"/>
            <w:vAlign w:val="center"/>
            <w:hideMark/>
          </w:tcPr>
          <w:p w14:paraId="3341121D" w14:textId="77777777" w:rsidR="00576AA9" w:rsidRPr="00576AA9" w:rsidRDefault="00576AA9" w:rsidP="00B83214">
            <w:pPr>
              <w:spacing w:after="0" w:line="240" w:lineRule="auto"/>
              <w:jc w:val="center"/>
              <w:rPr>
                <w:rFonts w:eastAsia="Times New Roman" w:cstheme="minorHAnsi"/>
                <w:b/>
                <w:bCs/>
                <w:color w:val="FFFFFF"/>
                <w:szCs w:val="24"/>
                <w:lang w:eastAsia="pl-PL"/>
              </w:rPr>
            </w:pPr>
            <w:r w:rsidRPr="00576AA9">
              <w:rPr>
                <w:rFonts w:eastAsia="Times New Roman" w:cstheme="minorHAnsi"/>
                <w:b/>
                <w:bCs/>
                <w:color w:val="FFFFFF"/>
                <w:szCs w:val="24"/>
                <w:lang w:eastAsia="pl-PL"/>
              </w:rPr>
              <w:t>Różnorodność biologiczna, w tym obszary Natura 200</w:t>
            </w:r>
          </w:p>
        </w:tc>
        <w:tc>
          <w:tcPr>
            <w:tcW w:w="448" w:type="pct"/>
            <w:gridSpan w:val="2"/>
            <w:tcBorders>
              <w:top w:val="single" w:sz="4" w:space="0" w:color="auto"/>
              <w:left w:val="nil"/>
              <w:bottom w:val="nil"/>
              <w:right w:val="single" w:sz="4" w:space="0" w:color="auto"/>
            </w:tcBorders>
            <w:shd w:val="clear" w:color="000000" w:fill="549E39"/>
            <w:vAlign w:val="center"/>
            <w:hideMark/>
          </w:tcPr>
          <w:p w14:paraId="6260B69A" w14:textId="77777777" w:rsidR="00576AA9" w:rsidRPr="00576AA9" w:rsidRDefault="00576AA9" w:rsidP="00B83214">
            <w:pPr>
              <w:spacing w:after="0" w:line="240" w:lineRule="auto"/>
              <w:jc w:val="center"/>
              <w:rPr>
                <w:rFonts w:eastAsia="Times New Roman" w:cstheme="minorHAnsi"/>
                <w:b/>
                <w:bCs/>
                <w:color w:val="FFFFFF"/>
                <w:szCs w:val="24"/>
                <w:lang w:eastAsia="pl-PL"/>
              </w:rPr>
            </w:pPr>
            <w:r w:rsidRPr="00576AA9">
              <w:rPr>
                <w:rFonts w:eastAsia="Times New Roman" w:cstheme="minorHAnsi"/>
                <w:b/>
                <w:bCs/>
                <w:color w:val="FFFFFF"/>
                <w:szCs w:val="24"/>
                <w:lang w:eastAsia="pl-PL"/>
              </w:rPr>
              <w:t>Ludzie</w:t>
            </w:r>
          </w:p>
        </w:tc>
        <w:tc>
          <w:tcPr>
            <w:tcW w:w="436" w:type="pct"/>
            <w:gridSpan w:val="2"/>
            <w:tcBorders>
              <w:top w:val="single" w:sz="4" w:space="0" w:color="auto"/>
              <w:left w:val="nil"/>
              <w:bottom w:val="nil"/>
              <w:right w:val="single" w:sz="4" w:space="0" w:color="auto"/>
            </w:tcBorders>
            <w:shd w:val="clear" w:color="000000" w:fill="549E39"/>
            <w:vAlign w:val="center"/>
            <w:hideMark/>
          </w:tcPr>
          <w:p w14:paraId="334A2A82" w14:textId="77777777" w:rsidR="00576AA9" w:rsidRPr="00576AA9" w:rsidRDefault="00576AA9" w:rsidP="00B83214">
            <w:pPr>
              <w:spacing w:after="0" w:line="240" w:lineRule="auto"/>
              <w:jc w:val="center"/>
              <w:rPr>
                <w:rFonts w:eastAsia="Times New Roman" w:cstheme="minorHAnsi"/>
                <w:b/>
                <w:bCs/>
                <w:color w:val="FFFFFF"/>
                <w:szCs w:val="24"/>
                <w:lang w:eastAsia="pl-PL"/>
              </w:rPr>
            </w:pPr>
            <w:r w:rsidRPr="00576AA9">
              <w:rPr>
                <w:rFonts w:eastAsia="Times New Roman" w:cstheme="minorHAnsi"/>
                <w:b/>
                <w:bCs/>
                <w:color w:val="FFFFFF"/>
                <w:szCs w:val="24"/>
                <w:lang w:eastAsia="pl-PL"/>
              </w:rPr>
              <w:t>Wody</w:t>
            </w:r>
          </w:p>
        </w:tc>
        <w:tc>
          <w:tcPr>
            <w:tcW w:w="437" w:type="pct"/>
            <w:gridSpan w:val="2"/>
            <w:tcBorders>
              <w:top w:val="single" w:sz="4" w:space="0" w:color="auto"/>
              <w:left w:val="nil"/>
              <w:bottom w:val="nil"/>
              <w:right w:val="single" w:sz="4" w:space="0" w:color="auto"/>
            </w:tcBorders>
            <w:shd w:val="clear" w:color="000000" w:fill="549E39"/>
            <w:vAlign w:val="center"/>
            <w:hideMark/>
          </w:tcPr>
          <w:p w14:paraId="3F4D7AAB" w14:textId="77777777" w:rsidR="00576AA9" w:rsidRPr="00576AA9" w:rsidRDefault="00576AA9" w:rsidP="00B83214">
            <w:pPr>
              <w:spacing w:after="0" w:line="240" w:lineRule="auto"/>
              <w:jc w:val="center"/>
              <w:rPr>
                <w:rFonts w:eastAsia="Times New Roman" w:cstheme="minorHAnsi"/>
                <w:b/>
                <w:bCs/>
                <w:color w:val="FFFFFF"/>
                <w:szCs w:val="24"/>
                <w:lang w:eastAsia="pl-PL"/>
              </w:rPr>
            </w:pPr>
            <w:r w:rsidRPr="00576AA9">
              <w:rPr>
                <w:rFonts w:eastAsia="Times New Roman" w:cstheme="minorHAnsi"/>
                <w:b/>
                <w:bCs/>
                <w:color w:val="FFFFFF"/>
                <w:szCs w:val="24"/>
                <w:lang w:eastAsia="pl-PL"/>
              </w:rPr>
              <w:t>Powietrze</w:t>
            </w:r>
          </w:p>
        </w:tc>
        <w:tc>
          <w:tcPr>
            <w:tcW w:w="496" w:type="pct"/>
            <w:gridSpan w:val="2"/>
            <w:tcBorders>
              <w:top w:val="single" w:sz="4" w:space="0" w:color="auto"/>
              <w:left w:val="nil"/>
              <w:bottom w:val="nil"/>
              <w:right w:val="single" w:sz="4" w:space="0" w:color="auto"/>
            </w:tcBorders>
            <w:shd w:val="clear" w:color="000000" w:fill="549E39"/>
            <w:vAlign w:val="center"/>
            <w:hideMark/>
          </w:tcPr>
          <w:p w14:paraId="1A67C9DD" w14:textId="77777777" w:rsidR="00576AA9" w:rsidRPr="00576AA9" w:rsidRDefault="00576AA9" w:rsidP="00B83214">
            <w:pPr>
              <w:spacing w:after="0" w:line="240" w:lineRule="auto"/>
              <w:jc w:val="center"/>
              <w:rPr>
                <w:rFonts w:eastAsia="Times New Roman" w:cstheme="minorHAnsi"/>
                <w:b/>
                <w:bCs/>
                <w:color w:val="FFFFFF"/>
                <w:szCs w:val="24"/>
                <w:lang w:eastAsia="pl-PL"/>
              </w:rPr>
            </w:pPr>
            <w:r w:rsidRPr="00576AA9">
              <w:rPr>
                <w:rFonts w:eastAsia="Times New Roman" w:cstheme="minorHAnsi"/>
                <w:b/>
                <w:bCs/>
                <w:color w:val="FFFFFF"/>
                <w:szCs w:val="24"/>
                <w:lang w:eastAsia="pl-PL"/>
              </w:rPr>
              <w:t>Powierzchnia ziemi</w:t>
            </w:r>
          </w:p>
        </w:tc>
        <w:tc>
          <w:tcPr>
            <w:tcW w:w="437" w:type="pct"/>
            <w:gridSpan w:val="2"/>
            <w:tcBorders>
              <w:top w:val="single" w:sz="4" w:space="0" w:color="auto"/>
              <w:left w:val="nil"/>
              <w:bottom w:val="nil"/>
              <w:right w:val="single" w:sz="4" w:space="0" w:color="auto"/>
            </w:tcBorders>
            <w:shd w:val="clear" w:color="000000" w:fill="549E39"/>
            <w:vAlign w:val="center"/>
            <w:hideMark/>
          </w:tcPr>
          <w:p w14:paraId="1AB7F1AA" w14:textId="77777777" w:rsidR="00576AA9" w:rsidRPr="00576AA9" w:rsidRDefault="00576AA9" w:rsidP="00B83214">
            <w:pPr>
              <w:spacing w:after="0" w:line="240" w:lineRule="auto"/>
              <w:jc w:val="center"/>
              <w:rPr>
                <w:rFonts w:eastAsia="Times New Roman" w:cstheme="minorHAnsi"/>
                <w:b/>
                <w:bCs/>
                <w:color w:val="FFFFFF"/>
                <w:szCs w:val="24"/>
                <w:lang w:eastAsia="pl-PL"/>
              </w:rPr>
            </w:pPr>
            <w:r w:rsidRPr="00576AA9">
              <w:rPr>
                <w:rFonts w:eastAsia="Times New Roman" w:cstheme="minorHAnsi"/>
                <w:b/>
                <w:bCs/>
                <w:color w:val="FFFFFF"/>
                <w:szCs w:val="24"/>
                <w:lang w:eastAsia="pl-PL"/>
              </w:rPr>
              <w:t>Krajobraz</w:t>
            </w:r>
          </w:p>
        </w:tc>
        <w:tc>
          <w:tcPr>
            <w:tcW w:w="437" w:type="pct"/>
            <w:gridSpan w:val="2"/>
            <w:tcBorders>
              <w:top w:val="single" w:sz="4" w:space="0" w:color="auto"/>
              <w:left w:val="nil"/>
              <w:bottom w:val="nil"/>
              <w:right w:val="single" w:sz="4" w:space="0" w:color="auto"/>
            </w:tcBorders>
            <w:shd w:val="clear" w:color="000000" w:fill="549E39"/>
            <w:vAlign w:val="center"/>
            <w:hideMark/>
          </w:tcPr>
          <w:p w14:paraId="1DBEBA16" w14:textId="77777777" w:rsidR="00576AA9" w:rsidRPr="00576AA9" w:rsidRDefault="00576AA9" w:rsidP="00B83214">
            <w:pPr>
              <w:spacing w:after="0" w:line="240" w:lineRule="auto"/>
              <w:jc w:val="center"/>
              <w:rPr>
                <w:rFonts w:eastAsia="Times New Roman" w:cstheme="minorHAnsi"/>
                <w:b/>
                <w:bCs/>
                <w:color w:val="FFFFFF"/>
                <w:szCs w:val="24"/>
                <w:lang w:eastAsia="pl-PL"/>
              </w:rPr>
            </w:pPr>
            <w:r w:rsidRPr="00576AA9">
              <w:rPr>
                <w:rFonts w:eastAsia="Times New Roman" w:cstheme="minorHAnsi"/>
                <w:b/>
                <w:bCs/>
                <w:color w:val="FFFFFF"/>
                <w:szCs w:val="24"/>
                <w:lang w:eastAsia="pl-PL"/>
              </w:rPr>
              <w:t>Klimat</w:t>
            </w:r>
          </w:p>
        </w:tc>
        <w:tc>
          <w:tcPr>
            <w:tcW w:w="437" w:type="pct"/>
            <w:gridSpan w:val="2"/>
            <w:tcBorders>
              <w:top w:val="single" w:sz="4" w:space="0" w:color="auto"/>
              <w:left w:val="nil"/>
              <w:bottom w:val="nil"/>
              <w:right w:val="single" w:sz="4" w:space="0" w:color="auto"/>
            </w:tcBorders>
            <w:shd w:val="clear" w:color="000000" w:fill="549E39"/>
            <w:vAlign w:val="center"/>
            <w:hideMark/>
          </w:tcPr>
          <w:p w14:paraId="38F5A1BA" w14:textId="77777777" w:rsidR="00576AA9" w:rsidRPr="00576AA9" w:rsidRDefault="00576AA9" w:rsidP="00B83214">
            <w:pPr>
              <w:spacing w:after="0" w:line="240" w:lineRule="auto"/>
              <w:jc w:val="center"/>
              <w:rPr>
                <w:rFonts w:eastAsia="Times New Roman" w:cstheme="minorHAnsi"/>
                <w:b/>
                <w:bCs/>
                <w:color w:val="FFFFFF"/>
                <w:szCs w:val="24"/>
                <w:lang w:eastAsia="pl-PL"/>
              </w:rPr>
            </w:pPr>
            <w:r w:rsidRPr="00576AA9">
              <w:rPr>
                <w:rFonts w:eastAsia="Times New Roman" w:cstheme="minorHAnsi"/>
                <w:b/>
                <w:bCs/>
                <w:color w:val="FFFFFF"/>
                <w:szCs w:val="24"/>
                <w:lang w:eastAsia="pl-PL"/>
              </w:rPr>
              <w:t>Zasoby naturalne</w:t>
            </w:r>
          </w:p>
        </w:tc>
        <w:tc>
          <w:tcPr>
            <w:tcW w:w="474" w:type="pct"/>
            <w:gridSpan w:val="2"/>
            <w:tcBorders>
              <w:top w:val="single" w:sz="4" w:space="0" w:color="auto"/>
              <w:left w:val="nil"/>
              <w:bottom w:val="nil"/>
              <w:right w:val="single" w:sz="4" w:space="0" w:color="auto"/>
            </w:tcBorders>
            <w:shd w:val="clear" w:color="000000" w:fill="549E39"/>
            <w:vAlign w:val="center"/>
            <w:hideMark/>
          </w:tcPr>
          <w:p w14:paraId="424A3E34" w14:textId="77777777" w:rsidR="00576AA9" w:rsidRPr="00576AA9" w:rsidRDefault="00576AA9" w:rsidP="00B83214">
            <w:pPr>
              <w:spacing w:after="0" w:line="240" w:lineRule="auto"/>
              <w:jc w:val="center"/>
              <w:rPr>
                <w:rFonts w:eastAsia="Times New Roman" w:cstheme="minorHAnsi"/>
                <w:b/>
                <w:bCs/>
                <w:color w:val="FFFFFF"/>
                <w:szCs w:val="24"/>
                <w:lang w:eastAsia="pl-PL"/>
              </w:rPr>
            </w:pPr>
            <w:r w:rsidRPr="00576AA9">
              <w:rPr>
                <w:rFonts w:eastAsia="Times New Roman" w:cstheme="minorHAnsi"/>
                <w:b/>
                <w:bCs/>
                <w:color w:val="FFFFFF"/>
                <w:szCs w:val="24"/>
                <w:lang w:eastAsia="pl-PL"/>
              </w:rPr>
              <w:t>Zabytki i dobra materialne</w:t>
            </w:r>
          </w:p>
        </w:tc>
      </w:tr>
      <w:tr w:rsidR="00576AA9" w:rsidRPr="00576AA9" w14:paraId="30F28EE2" w14:textId="77777777" w:rsidTr="00ED14C3">
        <w:trPr>
          <w:trHeight w:val="20"/>
          <w:tblHeader/>
        </w:trPr>
        <w:tc>
          <w:tcPr>
            <w:tcW w:w="83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E36CEF2"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Rodzaj oddziaływania bezpośrednie/ pośrednie</w:t>
            </w:r>
          </w:p>
        </w:tc>
        <w:tc>
          <w:tcPr>
            <w:tcW w:w="289" w:type="pct"/>
            <w:tcBorders>
              <w:top w:val="single" w:sz="4" w:space="0" w:color="auto"/>
              <w:left w:val="nil"/>
              <w:bottom w:val="single" w:sz="4" w:space="0" w:color="auto"/>
              <w:right w:val="single" w:sz="4" w:space="0" w:color="auto"/>
            </w:tcBorders>
            <w:shd w:val="clear" w:color="000000" w:fill="DAEFD3"/>
            <w:vAlign w:val="center"/>
            <w:hideMark/>
          </w:tcPr>
          <w:p w14:paraId="37ADE8B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B</w:t>
            </w:r>
          </w:p>
        </w:tc>
        <w:tc>
          <w:tcPr>
            <w:tcW w:w="280" w:type="pct"/>
            <w:tcBorders>
              <w:top w:val="single" w:sz="4" w:space="0" w:color="auto"/>
              <w:left w:val="nil"/>
              <w:bottom w:val="single" w:sz="4" w:space="0" w:color="auto"/>
              <w:right w:val="single" w:sz="4" w:space="0" w:color="auto"/>
            </w:tcBorders>
            <w:shd w:val="clear" w:color="000000" w:fill="DAEFD3"/>
            <w:vAlign w:val="center"/>
            <w:hideMark/>
          </w:tcPr>
          <w:p w14:paraId="25C677C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P</w:t>
            </w:r>
          </w:p>
        </w:tc>
        <w:tc>
          <w:tcPr>
            <w:tcW w:w="218" w:type="pct"/>
            <w:tcBorders>
              <w:top w:val="single" w:sz="4" w:space="0" w:color="auto"/>
              <w:left w:val="nil"/>
              <w:bottom w:val="single" w:sz="4" w:space="0" w:color="auto"/>
              <w:right w:val="single" w:sz="4" w:space="0" w:color="auto"/>
            </w:tcBorders>
            <w:shd w:val="clear" w:color="000000" w:fill="DAEFD3"/>
            <w:vAlign w:val="center"/>
            <w:hideMark/>
          </w:tcPr>
          <w:p w14:paraId="49EE9E7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B</w:t>
            </w:r>
          </w:p>
        </w:tc>
        <w:tc>
          <w:tcPr>
            <w:tcW w:w="230" w:type="pct"/>
            <w:tcBorders>
              <w:top w:val="single" w:sz="4" w:space="0" w:color="auto"/>
              <w:left w:val="nil"/>
              <w:bottom w:val="single" w:sz="4" w:space="0" w:color="auto"/>
              <w:right w:val="single" w:sz="4" w:space="0" w:color="auto"/>
            </w:tcBorders>
            <w:shd w:val="clear" w:color="000000" w:fill="DAEFD3"/>
            <w:vAlign w:val="center"/>
            <w:hideMark/>
          </w:tcPr>
          <w:p w14:paraId="6242B89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P</w:t>
            </w:r>
          </w:p>
        </w:tc>
        <w:tc>
          <w:tcPr>
            <w:tcW w:w="218" w:type="pct"/>
            <w:tcBorders>
              <w:top w:val="single" w:sz="4" w:space="0" w:color="auto"/>
              <w:left w:val="nil"/>
              <w:bottom w:val="single" w:sz="4" w:space="0" w:color="auto"/>
              <w:right w:val="single" w:sz="4" w:space="0" w:color="auto"/>
            </w:tcBorders>
            <w:shd w:val="clear" w:color="000000" w:fill="DAEFD3"/>
            <w:vAlign w:val="center"/>
            <w:hideMark/>
          </w:tcPr>
          <w:p w14:paraId="34AF4B0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B</w:t>
            </w:r>
          </w:p>
        </w:tc>
        <w:tc>
          <w:tcPr>
            <w:tcW w:w="218" w:type="pct"/>
            <w:tcBorders>
              <w:top w:val="single" w:sz="4" w:space="0" w:color="auto"/>
              <w:left w:val="nil"/>
              <w:bottom w:val="single" w:sz="4" w:space="0" w:color="auto"/>
              <w:right w:val="single" w:sz="4" w:space="0" w:color="auto"/>
            </w:tcBorders>
            <w:shd w:val="clear" w:color="000000" w:fill="DAEFD3"/>
            <w:vAlign w:val="center"/>
            <w:hideMark/>
          </w:tcPr>
          <w:p w14:paraId="43DDEF6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P</w:t>
            </w:r>
          </w:p>
        </w:tc>
        <w:tc>
          <w:tcPr>
            <w:tcW w:w="218" w:type="pct"/>
            <w:tcBorders>
              <w:top w:val="single" w:sz="4" w:space="0" w:color="auto"/>
              <w:left w:val="nil"/>
              <w:bottom w:val="single" w:sz="4" w:space="0" w:color="auto"/>
              <w:right w:val="single" w:sz="4" w:space="0" w:color="auto"/>
            </w:tcBorders>
            <w:shd w:val="clear" w:color="000000" w:fill="DAEFD3"/>
            <w:vAlign w:val="center"/>
            <w:hideMark/>
          </w:tcPr>
          <w:p w14:paraId="34374F6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B</w:t>
            </w:r>
          </w:p>
        </w:tc>
        <w:tc>
          <w:tcPr>
            <w:tcW w:w="218" w:type="pct"/>
            <w:tcBorders>
              <w:top w:val="single" w:sz="4" w:space="0" w:color="auto"/>
              <w:left w:val="nil"/>
              <w:bottom w:val="single" w:sz="4" w:space="0" w:color="auto"/>
              <w:right w:val="single" w:sz="4" w:space="0" w:color="auto"/>
            </w:tcBorders>
            <w:shd w:val="clear" w:color="000000" w:fill="DAEFD3"/>
            <w:vAlign w:val="center"/>
            <w:hideMark/>
          </w:tcPr>
          <w:p w14:paraId="48ED6F8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P</w:t>
            </w:r>
          </w:p>
        </w:tc>
        <w:tc>
          <w:tcPr>
            <w:tcW w:w="236" w:type="pct"/>
            <w:tcBorders>
              <w:top w:val="single" w:sz="4" w:space="0" w:color="auto"/>
              <w:left w:val="nil"/>
              <w:bottom w:val="single" w:sz="4" w:space="0" w:color="auto"/>
              <w:right w:val="single" w:sz="4" w:space="0" w:color="auto"/>
            </w:tcBorders>
            <w:shd w:val="clear" w:color="000000" w:fill="DAEFD3"/>
            <w:vAlign w:val="center"/>
            <w:hideMark/>
          </w:tcPr>
          <w:p w14:paraId="57DCF48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B</w:t>
            </w:r>
          </w:p>
        </w:tc>
        <w:tc>
          <w:tcPr>
            <w:tcW w:w="259" w:type="pct"/>
            <w:tcBorders>
              <w:top w:val="single" w:sz="4" w:space="0" w:color="auto"/>
              <w:left w:val="nil"/>
              <w:bottom w:val="single" w:sz="4" w:space="0" w:color="auto"/>
              <w:right w:val="single" w:sz="4" w:space="0" w:color="auto"/>
            </w:tcBorders>
            <w:shd w:val="clear" w:color="000000" w:fill="DAEFD3"/>
            <w:vAlign w:val="center"/>
            <w:hideMark/>
          </w:tcPr>
          <w:p w14:paraId="529D880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P</w:t>
            </w:r>
          </w:p>
        </w:tc>
        <w:tc>
          <w:tcPr>
            <w:tcW w:w="218" w:type="pct"/>
            <w:tcBorders>
              <w:top w:val="single" w:sz="4" w:space="0" w:color="auto"/>
              <w:left w:val="nil"/>
              <w:bottom w:val="single" w:sz="4" w:space="0" w:color="auto"/>
              <w:right w:val="single" w:sz="4" w:space="0" w:color="auto"/>
            </w:tcBorders>
            <w:shd w:val="clear" w:color="000000" w:fill="DAEFD3"/>
            <w:vAlign w:val="center"/>
            <w:hideMark/>
          </w:tcPr>
          <w:p w14:paraId="00785C1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B</w:t>
            </w:r>
          </w:p>
        </w:tc>
        <w:tc>
          <w:tcPr>
            <w:tcW w:w="218" w:type="pct"/>
            <w:tcBorders>
              <w:top w:val="single" w:sz="4" w:space="0" w:color="auto"/>
              <w:left w:val="nil"/>
              <w:bottom w:val="single" w:sz="4" w:space="0" w:color="auto"/>
              <w:right w:val="single" w:sz="4" w:space="0" w:color="auto"/>
            </w:tcBorders>
            <w:shd w:val="clear" w:color="000000" w:fill="DAEFD3"/>
            <w:vAlign w:val="center"/>
            <w:hideMark/>
          </w:tcPr>
          <w:p w14:paraId="2471DF9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P</w:t>
            </w:r>
          </w:p>
        </w:tc>
        <w:tc>
          <w:tcPr>
            <w:tcW w:w="218" w:type="pct"/>
            <w:tcBorders>
              <w:top w:val="single" w:sz="4" w:space="0" w:color="auto"/>
              <w:left w:val="nil"/>
              <w:bottom w:val="single" w:sz="4" w:space="0" w:color="auto"/>
              <w:right w:val="single" w:sz="4" w:space="0" w:color="auto"/>
            </w:tcBorders>
            <w:shd w:val="clear" w:color="000000" w:fill="DAEFD3"/>
            <w:vAlign w:val="center"/>
            <w:hideMark/>
          </w:tcPr>
          <w:p w14:paraId="3F9C23D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B</w:t>
            </w:r>
          </w:p>
        </w:tc>
        <w:tc>
          <w:tcPr>
            <w:tcW w:w="218" w:type="pct"/>
            <w:tcBorders>
              <w:top w:val="single" w:sz="4" w:space="0" w:color="auto"/>
              <w:left w:val="nil"/>
              <w:bottom w:val="single" w:sz="4" w:space="0" w:color="auto"/>
              <w:right w:val="single" w:sz="4" w:space="0" w:color="auto"/>
            </w:tcBorders>
            <w:shd w:val="clear" w:color="000000" w:fill="DAEFD3"/>
            <w:vAlign w:val="center"/>
            <w:hideMark/>
          </w:tcPr>
          <w:p w14:paraId="6416B41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P</w:t>
            </w:r>
          </w:p>
        </w:tc>
        <w:tc>
          <w:tcPr>
            <w:tcW w:w="218" w:type="pct"/>
            <w:tcBorders>
              <w:top w:val="single" w:sz="4" w:space="0" w:color="auto"/>
              <w:left w:val="nil"/>
              <w:bottom w:val="single" w:sz="4" w:space="0" w:color="auto"/>
              <w:right w:val="single" w:sz="4" w:space="0" w:color="auto"/>
            </w:tcBorders>
            <w:shd w:val="clear" w:color="000000" w:fill="DAEFD3"/>
            <w:vAlign w:val="center"/>
            <w:hideMark/>
          </w:tcPr>
          <w:p w14:paraId="5608EB6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B</w:t>
            </w:r>
          </w:p>
        </w:tc>
        <w:tc>
          <w:tcPr>
            <w:tcW w:w="218" w:type="pct"/>
            <w:tcBorders>
              <w:top w:val="single" w:sz="4" w:space="0" w:color="auto"/>
              <w:left w:val="nil"/>
              <w:bottom w:val="single" w:sz="4" w:space="0" w:color="auto"/>
              <w:right w:val="single" w:sz="4" w:space="0" w:color="auto"/>
            </w:tcBorders>
            <w:shd w:val="clear" w:color="000000" w:fill="DAEFD3"/>
            <w:vAlign w:val="center"/>
            <w:hideMark/>
          </w:tcPr>
          <w:p w14:paraId="2F3C3FC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P</w:t>
            </w:r>
          </w:p>
        </w:tc>
        <w:tc>
          <w:tcPr>
            <w:tcW w:w="218" w:type="pct"/>
            <w:tcBorders>
              <w:top w:val="single" w:sz="4" w:space="0" w:color="auto"/>
              <w:left w:val="nil"/>
              <w:bottom w:val="single" w:sz="4" w:space="0" w:color="auto"/>
              <w:right w:val="single" w:sz="4" w:space="0" w:color="auto"/>
            </w:tcBorders>
            <w:shd w:val="clear" w:color="000000" w:fill="DAEFD3"/>
            <w:vAlign w:val="center"/>
            <w:hideMark/>
          </w:tcPr>
          <w:p w14:paraId="3566F82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B</w:t>
            </w:r>
          </w:p>
        </w:tc>
        <w:tc>
          <w:tcPr>
            <w:tcW w:w="256" w:type="pct"/>
            <w:tcBorders>
              <w:top w:val="single" w:sz="4" w:space="0" w:color="auto"/>
              <w:left w:val="nil"/>
              <w:bottom w:val="single" w:sz="4" w:space="0" w:color="auto"/>
              <w:right w:val="single" w:sz="4" w:space="0" w:color="auto"/>
            </w:tcBorders>
            <w:shd w:val="clear" w:color="000000" w:fill="DAEFD3"/>
            <w:vAlign w:val="center"/>
            <w:hideMark/>
          </w:tcPr>
          <w:p w14:paraId="4A4AC19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P</w:t>
            </w:r>
          </w:p>
        </w:tc>
      </w:tr>
      <w:tr w:rsidR="00ED14C3" w:rsidRPr="00576AA9" w14:paraId="67E4FB3D" w14:textId="77777777" w:rsidTr="00ED14C3">
        <w:trPr>
          <w:trHeight w:val="573"/>
        </w:trPr>
        <w:tc>
          <w:tcPr>
            <w:tcW w:w="642" w:type="pct"/>
            <w:vMerge w:val="restart"/>
            <w:tcBorders>
              <w:top w:val="nil"/>
              <w:left w:val="single" w:sz="4" w:space="0" w:color="auto"/>
              <w:bottom w:val="nil"/>
              <w:right w:val="single" w:sz="4" w:space="0" w:color="auto"/>
            </w:tcBorders>
            <w:shd w:val="clear" w:color="000000" w:fill="549E39"/>
            <w:vAlign w:val="center"/>
            <w:hideMark/>
          </w:tcPr>
          <w:p w14:paraId="64604EB0" w14:textId="77777777" w:rsidR="00576AA9" w:rsidRPr="00576AA9" w:rsidRDefault="00576AA9" w:rsidP="00B83214">
            <w:pPr>
              <w:spacing w:after="0" w:line="240" w:lineRule="auto"/>
              <w:rPr>
                <w:rFonts w:eastAsia="Times New Roman" w:cstheme="minorHAnsi"/>
                <w:color w:val="FFFFFF"/>
                <w:szCs w:val="24"/>
                <w:lang w:eastAsia="pl-PL"/>
              </w:rPr>
            </w:pPr>
            <w:r w:rsidRPr="00576AA9">
              <w:rPr>
                <w:rFonts w:eastAsia="Times New Roman" w:cstheme="minorHAnsi"/>
                <w:color w:val="FFFFFF"/>
                <w:szCs w:val="24"/>
                <w:lang w:eastAsia="pl-PL"/>
              </w:rPr>
              <w:t>Priorytet 1. Fundusze Europejskie na rzecz przedsiębiorczego Pomorza Zachodniego</w:t>
            </w:r>
          </w:p>
        </w:tc>
        <w:tc>
          <w:tcPr>
            <w:tcW w:w="189" w:type="pct"/>
            <w:tcBorders>
              <w:top w:val="nil"/>
              <w:left w:val="nil"/>
              <w:bottom w:val="single" w:sz="4" w:space="0" w:color="auto"/>
              <w:right w:val="single" w:sz="4" w:space="0" w:color="auto"/>
            </w:tcBorders>
            <w:shd w:val="clear" w:color="000000" w:fill="DAEFD3"/>
            <w:vAlign w:val="center"/>
            <w:hideMark/>
          </w:tcPr>
          <w:p w14:paraId="5DB7A6EE"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 xml:space="preserve">cs (i) </w:t>
            </w:r>
          </w:p>
        </w:tc>
        <w:tc>
          <w:tcPr>
            <w:tcW w:w="289" w:type="pct"/>
            <w:tcBorders>
              <w:top w:val="nil"/>
              <w:left w:val="nil"/>
              <w:bottom w:val="single" w:sz="4" w:space="0" w:color="auto"/>
              <w:right w:val="single" w:sz="4" w:space="0" w:color="auto"/>
            </w:tcBorders>
            <w:shd w:val="clear" w:color="auto" w:fill="auto"/>
            <w:noWrap/>
            <w:vAlign w:val="center"/>
            <w:hideMark/>
          </w:tcPr>
          <w:p w14:paraId="698BCF0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33912B5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nil"/>
              <w:right w:val="nil"/>
            </w:tcBorders>
            <w:shd w:val="clear" w:color="auto" w:fill="auto"/>
            <w:vAlign w:val="center"/>
            <w:hideMark/>
          </w:tcPr>
          <w:p w14:paraId="63385124" w14:textId="77777777" w:rsidR="00576AA9" w:rsidRPr="00576AA9" w:rsidRDefault="00576AA9" w:rsidP="00B83214">
            <w:pPr>
              <w:spacing w:after="0" w:line="240" w:lineRule="auto"/>
              <w:jc w:val="center"/>
              <w:rPr>
                <w:rFonts w:eastAsia="Times New Roman" w:cstheme="minorHAnsi"/>
                <w:b/>
                <w:bCs/>
                <w:color w:val="000000"/>
                <w:szCs w:val="24"/>
                <w:lang w:eastAsia="pl-PL"/>
              </w:rPr>
            </w:pPr>
            <w:r w:rsidRPr="00576AA9">
              <w:rPr>
                <w:rFonts w:eastAsia="Times New Roman" w:cstheme="minorHAnsi"/>
                <w:b/>
                <w:bCs/>
                <w:color w:val="000000"/>
                <w:szCs w:val="24"/>
                <w:lang w:eastAsia="pl-PL"/>
              </w:rPr>
              <w:t>+/-</w:t>
            </w:r>
          </w:p>
        </w:tc>
        <w:tc>
          <w:tcPr>
            <w:tcW w:w="230" w:type="pct"/>
            <w:tcBorders>
              <w:top w:val="nil"/>
              <w:left w:val="single" w:sz="4" w:space="0" w:color="auto"/>
              <w:bottom w:val="single" w:sz="4" w:space="0" w:color="auto"/>
              <w:right w:val="single" w:sz="4" w:space="0" w:color="auto"/>
            </w:tcBorders>
            <w:shd w:val="clear" w:color="auto" w:fill="auto"/>
            <w:noWrap/>
            <w:vAlign w:val="center"/>
            <w:hideMark/>
          </w:tcPr>
          <w:p w14:paraId="028DB63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1192F65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4E00B26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BC931F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408EF06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6" w:type="pct"/>
            <w:tcBorders>
              <w:top w:val="nil"/>
              <w:left w:val="nil"/>
              <w:bottom w:val="single" w:sz="4" w:space="0" w:color="auto"/>
              <w:right w:val="single" w:sz="4" w:space="0" w:color="auto"/>
            </w:tcBorders>
            <w:shd w:val="clear" w:color="auto" w:fill="auto"/>
            <w:noWrap/>
            <w:vAlign w:val="center"/>
            <w:hideMark/>
          </w:tcPr>
          <w:p w14:paraId="46A97C2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9" w:type="pct"/>
            <w:tcBorders>
              <w:top w:val="nil"/>
              <w:left w:val="nil"/>
              <w:bottom w:val="single" w:sz="4" w:space="0" w:color="auto"/>
              <w:right w:val="single" w:sz="4" w:space="0" w:color="auto"/>
            </w:tcBorders>
            <w:shd w:val="clear" w:color="auto" w:fill="auto"/>
            <w:noWrap/>
            <w:vAlign w:val="center"/>
            <w:hideMark/>
          </w:tcPr>
          <w:p w14:paraId="6F0DC59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E629D6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83E61C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7C3AAB0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1C0C05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A9F2FC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7F7E5D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C39441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5BF52DA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19EF8B80" w14:textId="77777777" w:rsidTr="00ED14C3">
        <w:trPr>
          <w:trHeight w:val="573"/>
        </w:trPr>
        <w:tc>
          <w:tcPr>
            <w:tcW w:w="642" w:type="pct"/>
            <w:vMerge/>
            <w:tcBorders>
              <w:top w:val="nil"/>
              <w:left w:val="single" w:sz="4" w:space="0" w:color="auto"/>
              <w:bottom w:val="nil"/>
              <w:right w:val="single" w:sz="4" w:space="0" w:color="auto"/>
            </w:tcBorders>
            <w:vAlign w:val="center"/>
            <w:hideMark/>
          </w:tcPr>
          <w:p w14:paraId="56874D5E"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1FAFF2CE"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(ii)</w:t>
            </w:r>
          </w:p>
        </w:tc>
        <w:tc>
          <w:tcPr>
            <w:tcW w:w="289" w:type="pct"/>
            <w:tcBorders>
              <w:top w:val="nil"/>
              <w:left w:val="nil"/>
              <w:bottom w:val="single" w:sz="4" w:space="0" w:color="auto"/>
              <w:right w:val="single" w:sz="4" w:space="0" w:color="auto"/>
            </w:tcBorders>
            <w:shd w:val="clear" w:color="auto" w:fill="auto"/>
            <w:noWrap/>
            <w:vAlign w:val="center"/>
            <w:hideMark/>
          </w:tcPr>
          <w:p w14:paraId="3C0292A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80" w:type="pct"/>
            <w:tcBorders>
              <w:top w:val="nil"/>
              <w:left w:val="nil"/>
              <w:bottom w:val="single" w:sz="4" w:space="0" w:color="auto"/>
              <w:right w:val="single" w:sz="4" w:space="0" w:color="auto"/>
            </w:tcBorders>
            <w:shd w:val="clear" w:color="auto" w:fill="auto"/>
            <w:noWrap/>
            <w:vAlign w:val="center"/>
            <w:hideMark/>
          </w:tcPr>
          <w:p w14:paraId="49C0743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single" w:sz="4" w:space="0" w:color="auto"/>
              <w:left w:val="nil"/>
              <w:bottom w:val="single" w:sz="4" w:space="0" w:color="auto"/>
              <w:right w:val="single" w:sz="4" w:space="0" w:color="auto"/>
            </w:tcBorders>
            <w:shd w:val="clear" w:color="auto" w:fill="auto"/>
            <w:noWrap/>
            <w:vAlign w:val="center"/>
            <w:hideMark/>
          </w:tcPr>
          <w:p w14:paraId="77367B1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001D859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79AB02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4636CE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556BC4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B80869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3CB92B0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9" w:type="pct"/>
            <w:tcBorders>
              <w:top w:val="nil"/>
              <w:left w:val="nil"/>
              <w:bottom w:val="single" w:sz="4" w:space="0" w:color="auto"/>
              <w:right w:val="single" w:sz="4" w:space="0" w:color="auto"/>
            </w:tcBorders>
            <w:shd w:val="clear" w:color="auto" w:fill="auto"/>
            <w:noWrap/>
            <w:vAlign w:val="center"/>
            <w:hideMark/>
          </w:tcPr>
          <w:p w14:paraId="26B5487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3AB018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265BC1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3EE368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4AE569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F3BF91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AD0410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25B503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2420D09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r>
      <w:tr w:rsidR="00ED14C3" w:rsidRPr="00576AA9" w14:paraId="07A8F951" w14:textId="77777777" w:rsidTr="00ED14C3">
        <w:trPr>
          <w:trHeight w:val="573"/>
        </w:trPr>
        <w:tc>
          <w:tcPr>
            <w:tcW w:w="642" w:type="pct"/>
            <w:vMerge/>
            <w:tcBorders>
              <w:top w:val="nil"/>
              <w:left w:val="single" w:sz="4" w:space="0" w:color="auto"/>
              <w:bottom w:val="nil"/>
              <w:right w:val="single" w:sz="4" w:space="0" w:color="auto"/>
            </w:tcBorders>
            <w:vAlign w:val="center"/>
            <w:hideMark/>
          </w:tcPr>
          <w:p w14:paraId="15C76207"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1D0866AF"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(iii)</w:t>
            </w:r>
          </w:p>
        </w:tc>
        <w:tc>
          <w:tcPr>
            <w:tcW w:w="289" w:type="pct"/>
            <w:tcBorders>
              <w:top w:val="nil"/>
              <w:left w:val="nil"/>
              <w:bottom w:val="single" w:sz="4" w:space="0" w:color="auto"/>
              <w:right w:val="single" w:sz="4" w:space="0" w:color="auto"/>
            </w:tcBorders>
            <w:shd w:val="clear" w:color="auto" w:fill="auto"/>
            <w:noWrap/>
            <w:vAlign w:val="center"/>
            <w:hideMark/>
          </w:tcPr>
          <w:p w14:paraId="66580DA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5B0FD35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92AD7F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4BABFD2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201B22D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4C13BCD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000000" w:fill="FFFFFF"/>
            <w:vAlign w:val="center"/>
            <w:hideMark/>
          </w:tcPr>
          <w:p w14:paraId="2C4042D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000000" w:fill="FFFFFF"/>
            <w:vAlign w:val="center"/>
            <w:hideMark/>
          </w:tcPr>
          <w:p w14:paraId="38504D6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6" w:type="pct"/>
            <w:tcBorders>
              <w:top w:val="nil"/>
              <w:left w:val="nil"/>
              <w:bottom w:val="single" w:sz="4" w:space="0" w:color="auto"/>
              <w:right w:val="single" w:sz="4" w:space="0" w:color="auto"/>
            </w:tcBorders>
            <w:shd w:val="clear" w:color="auto" w:fill="auto"/>
            <w:noWrap/>
            <w:vAlign w:val="center"/>
            <w:hideMark/>
          </w:tcPr>
          <w:p w14:paraId="7BB63D7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vAlign w:val="center"/>
            <w:hideMark/>
          </w:tcPr>
          <w:p w14:paraId="1960B7E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E7CD3D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5D7C9A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000000" w:fill="FFFFFF"/>
            <w:vAlign w:val="center"/>
            <w:hideMark/>
          </w:tcPr>
          <w:p w14:paraId="425FF0B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000000" w:fill="FFFFFF"/>
            <w:vAlign w:val="center"/>
            <w:hideMark/>
          </w:tcPr>
          <w:p w14:paraId="75A3AA7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vAlign w:val="center"/>
            <w:hideMark/>
          </w:tcPr>
          <w:p w14:paraId="22D0C58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vAlign w:val="center"/>
            <w:hideMark/>
          </w:tcPr>
          <w:p w14:paraId="3E3745A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9770D0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vAlign w:val="center"/>
            <w:hideMark/>
          </w:tcPr>
          <w:p w14:paraId="173C8437" w14:textId="77777777" w:rsidR="00576AA9" w:rsidRPr="00576AA9" w:rsidRDefault="00576AA9" w:rsidP="00B83214">
            <w:pPr>
              <w:spacing w:after="0" w:line="240" w:lineRule="auto"/>
              <w:jc w:val="center"/>
              <w:rPr>
                <w:rFonts w:eastAsia="Times New Roman" w:cstheme="minorHAnsi"/>
                <w:b/>
                <w:bCs/>
                <w:color w:val="000000"/>
                <w:szCs w:val="24"/>
                <w:lang w:eastAsia="pl-PL"/>
              </w:rPr>
            </w:pPr>
            <w:r w:rsidRPr="00576AA9">
              <w:rPr>
                <w:rFonts w:eastAsia="Times New Roman" w:cstheme="minorHAnsi"/>
                <w:b/>
                <w:bCs/>
                <w:color w:val="000000"/>
                <w:szCs w:val="24"/>
                <w:lang w:eastAsia="pl-PL"/>
              </w:rPr>
              <w:t>+/-</w:t>
            </w:r>
          </w:p>
        </w:tc>
      </w:tr>
      <w:tr w:rsidR="00ED14C3" w:rsidRPr="00576AA9" w14:paraId="058438C2" w14:textId="77777777" w:rsidTr="00ED14C3">
        <w:trPr>
          <w:trHeight w:val="573"/>
        </w:trPr>
        <w:tc>
          <w:tcPr>
            <w:tcW w:w="642" w:type="pct"/>
            <w:vMerge w:val="restart"/>
            <w:tcBorders>
              <w:top w:val="single" w:sz="4" w:space="0" w:color="auto"/>
              <w:left w:val="single" w:sz="4" w:space="0" w:color="auto"/>
              <w:bottom w:val="single" w:sz="4" w:space="0" w:color="auto"/>
              <w:right w:val="single" w:sz="4" w:space="0" w:color="auto"/>
            </w:tcBorders>
            <w:shd w:val="clear" w:color="000000" w:fill="549E39"/>
            <w:vAlign w:val="center"/>
            <w:hideMark/>
          </w:tcPr>
          <w:p w14:paraId="787148E7" w14:textId="77777777" w:rsidR="00576AA9" w:rsidRPr="00576AA9" w:rsidRDefault="00576AA9" w:rsidP="00B83214">
            <w:pPr>
              <w:spacing w:after="0" w:line="240" w:lineRule="auto"/>
              <w:rPr>
                <w:rFonts w:eastAsia="Times New Roman" w:cstheme="minorHAnsi"/>
                <w:color w:val="FFFFFF"/>
                <w:szCs w:val="24"/>
                <w:lang w:eastAsia="pl-PL"/>
              </w:rPr>
            </w:pPr>
            <w:r w:rsidRPr="00576AA9">
              <w:rPr>
                <w:rFonts w:eastAsia="Times New Roman" w:cstheme="minorHAnsi"/>
                <w:color w:val="FFFFFF"/>
                <w:szCs w:val="24"/>
                <w:lang w:eastAsia="pl-PL"/>
              </w:rPr>
              <w:t>Priorytet 2. Fundusze Europejskie na rzecz zielonego Pomorza Zachodniego</w:t>
            </w:r>
          </w:p>
        </w:tc>
        <w:tc>
          <w:tcPr>
            <w:tcW w:w="189" w:type="pct"/>
            <w:tcBorders>
              <w:top w:val="nil"/>
              <w:left w:val="nil"/>
              <w:bottom w:val="single" w:sz="4" w:space="0" w:color="auto"/>
              <w:right w:val="single" w:sz="4" w:space="0" w:color="auto"/>
            </w:tcBorders>
            <w:shd w:val="clear" w:color="000000" w:fill="DAEFD3"/>
            <w:vAlign w:val="center"/>
            <w:hideMark/>
          </w:tcPr>
          <w:p w14:paraId="2D06B3C4"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(i)</w:t>
            </w:r>
          </w:p>
        </w:tc>
        <w:tc>
          <w:tcPr>
            <w:tcW w:w="289" w:type="pct"/>
            <w:tcBorders>
              <w:top w:val="nil"/>
              <w:left w:val="nil"/>
              <w:bottom w:val="single" w:sz="4" w:space="0" w:color="auto"/>
              <w:right w:val="single" w:sz="4" w:space="0" w:color="auto"/>
            </w:tcBorders>
            <w:shd w:val="clear" w:color="auto" w:fill="auto"/>
            <w:noWrap/>
            <w:vAlign w:val="center"/>
            <w:hideMark/>
          </w:tcPr>
          <w:p w14:paraId="752B24C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132E66B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nil"/>
              <w:right w:val="nil"/>
            </w:tcBorders>
            <w:shd w:val="clear" w:color="auto" w:fill="auto"/>
            <w:vAlign w:val="center"/>
            <w:hideMark/>
          </w:tcPr>
          <w:p w14:paraId="76286475" w14:textId="77777777" w:rsidR="00576AA9" w:rsidRPr="00576AA9" w:rsidRDefault="00576AA9" w:rsidP="00B83214">
            <w:pPr>
              <w:spacing w:after="0" w:line="240" w:lineRule="auto"/>
              <w:jc w:val="center"/>
              <w:rPr>
                <w:rFonts w:eastAsia="Times New Roman" w:cstheme="minorHAnsi"/>
                <w:b/>
                <w:bCs/>
                <w:color w:val="000000"/>
                <w:szCs w:val="24"/>
                <w:lang w:eastAsia="pl-PL"/>
              </w:rPr>
            </w:pPr>
            <w:r w:rsidRPr="00576AA9">
              <w:rPr>
                <w:rFonts w:eastAsia="Times New Roman" w:cstheme="minorHAnsi"/>
                <w:b/>
                <w:bCs/>
                <w:color w:val="000000"/>
                <w:szCs w:val="24"/>
                <w:lang w:eastAsia="pl-PL"/>
              </w:rPr>
              <w:t>+/-</w:t>
            </w:r>
          </w:p>
        </w:tc>
        <w:tc>
          <w:tcPr>
            <w:tcW w:w="230" w:type="pct"/>
            <w:tcBorders>
              <w:top w:val="nil"/>
              <w:left w:val="single" w:sz="4" w:space="0" w:color="auto"/>
              <w:bottom w:val="single" w:sz="4" w:space="0" w:color="auto"/>
              <w:right w:val="single" w:sz="4" w:space="0" w:color="auto"/>
            </w:tcBorders>
            <w:shd w:val="clear" w:color="auto" w:fill="auto"/>
            <w:noWrap/>
            <w:vAlign w:val="center"/>
            <w:hideMark/>
          </w:tcPr>
          <w:p w14:paraId="06A2C9C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2E229E4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11F916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3319839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74DB198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6" w:type="pct"/>
            <w:tcBorders>
              <w:top w:val="nil"/>
              <w:left w:val="nil"/>
              <w:bottom w:val="single" w:sz="4" w:space="0" w:color="auto"/>
              <w:right w:val="single" w:sz="4" w:space="0" w:color="auto"/>
            </w:tcBorders>
            <w:shd w:val="clear" w:color="auto" w:fill="auto"/>
            <w:noWrap/>
            <w:vAlign w:val="center"/>
            <w:hideMark/>
          </w:tcPr>
          <w:p w14:paraId="146ECF7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noWrap/>
            <w:vAlign w:val="center"/>
            <w:hideMark/>
          </w:tcPr>
          <w:p w14:paraId="7A1A80E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5D08C0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C993F5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E20A38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752F777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390629C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3C7E922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EB91B6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7E5E5F8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r>
      <w:tr w:rsidR="00ED14C3" w:rsidRPr="00576AA9" w14:paraId="54C9BEBC" w14:textId="77777777" w:rsidTr="00ED14C3">
        <w:trPr>
          <w:trHeight w:val="573"/>
        </w:trPr>
        <w:tc>
          <w:tcPr>
            <w:tcW w:w="642" w:type="pct"/>
            <w:vMerge/>
            <w:tcBorders>
              <w:top w:val="single" w:sz="4" w:space="0" w:color="auto"/>
              <w:left w:val="single" w:sz="4" w:space="0" w:color="auto"/>
              <w:bottom w:val="single" w:sz="4" w:space="0" w:color="auto"/>
              <w:right w:val="single" w:sz="4" w:space="0" w:color="auto"/>
            </w:tcBorders>
            <w:vAlign w:val="center"/>
            <w:hideMark/>
          </w:tcPr>
          <w:p w14:paraId="3C821543"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65767A50"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(ii)</w:t>
            </w:r>
          </w:p>
        </w:tc>
        <w:tc>
          <w:tcPr>
            <w:tcW w:w="289" w:type="pct"/>
            <w:tcBorders>
              <w:top w:val="nil"/>
              <w:left w:val="nil"/>
              <w:bottom w:val="single" w:sz="4" w:space="0" w:color="auto"/>
              <w:right w:val="single" w:sz="4" w:space="0" w:color="auto"/>
            </w:tcBorders>
            <w:shd w:val="clear" w:color="auto" w:fill="auto"/>
            <w:noWrap/>
            <w:vAlign w:val="center"/>
            <w:hideMark/>
          </w:tcPr>
          <w:p w14:paraId="0D3F3A2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4DA619D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single" w:sz="4" w:space="0" w:color="auto"/>
              <w:left w:val="nil"/>
              <w:bottom w:val="single" w:sz="4" w:space="0" w:color="auto"/>
              <w:right w:val="single" w:sz="4" w:space="0" w:color="auto"/>
            </w:tcBorders>
            <w:shd w:val="clear" w:color="auto" w:fill="auto"/>
            <w:noWrap/>
            <w:vAlign w:val="center"/>
            <w:hideMark/>
          </w:tcPr>
          <w:p w14:paraId="783A581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0" w:type="pct"/>
            <w:tcBorders>
              <w:top w:val="nil"/>
              <w:left w:val="nil"/>
              <w:bottom w:val="nil"/>
              <w:right w:val="nil"/>
            </w:tcBorders>
            <w:shd w:val="clear" w:color="auto" w:fill="auto"/>
            <w:vAlign w:val="center"/>
            <w:hideMark/>
          </w:tcPr>
          <w:p w14:paraId="71528EBF" w14:textId="77777777" w:rsidR="00576AA9" w:rsidRPr="00576AA9" w:rsidRDefault="00576AA9" w:rsidP="00B83214">
            <w:pPr>
              <w:spacing w:after="0" w:line="240" w:lineRule="auto"/>
              <w:jc w:val="center"/>
              <w:rPr>
                <w:rFonts w:eastAsia="Times New Roman" w:cstheme="minorHAnsi"/>
                <w:b/>
                <w:bCs/>
                <w:color w:val="000000"/>
                <w:szCs w:val="24"/>
                <w:lang w:eastAsia="pl-PL"/>
              </w:rPr>
            </w:pPr>
            <w:r w:rsidRPr="00576AA9">
              <w:rPr>
                <w:rFonts w:eastAsia="Times New Roman" w:cstheme="minorHAnsi"/>
                <w:b/>
                <w:bCs/>
                <w:color w:val="000000"/>
                <w:szCs w:val="24"/>
                <w:lang w:eastAsia="pl-PL"/>
              </w:rPr>
              <w:t>+/-</w:t>
            </w:r>
          </w:p>
        </w:tc>
        <w:tc>
          <w:tcPr>
            <w:tcW w:w="218" w:type="pct"/>
            <w:tcBorders>
              <w:top w:val="nil"/>
              <w:left w:val="single" w:sz="4" w:space="0" w:color="auto"/>
              <w:bottom w:val="single" w:sz="4" w:space="0" w:color="auto"/>
              <w:right w:val="single" w:sz="4" w:space="0" w:color="auto"/>
            </w:tcBorders>
            <w:shd w:val="clear" w:color="auto" w:fill="auto"/>
            <w:noWrap/>
            <w:vAlign w:val="center"/>
            <w:hideMark/>
          </w:tcPr>
          <w:p w14:paraId="073B234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2C6532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D710DF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453237F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6" w:type="pct"/>
            <w:tcBorders>
              <w:top w:val="nil"/>
              <w:left w:val="nil"/>
              <w:bottom w:val="single" w:sz="4" w:space="0" w:color="auto"/>
              <w:right w:val="single" w:sz="4" w:space="0" w:color="auto"/>
            </w:tcBorders>
            <w:shd w:val="clear" w:color="auto" w:fill="auto"/>
            <w:noWrap/>
            <w:vAlign w:val="center"/>
            <w:hideMark/>
          </w:tcPr>
          <w:p w14:paraId="3299F12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noWrap/>
            <w:vAlign w:val="center"/>
            <w:hideMark/>
          </w:tcPr>
          <w:p w14:paraId="56C5004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EA90DA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67D48F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F64CCE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3916657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2B40012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1798E2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F4F95E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6B37BFE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r>
      <w:tr w:rsidR="00ED14C3" w:rsidRPr="00576AA9" w14:paraId="71FAB397" w14:textId="77777777" w:rsidTr="00ED14C3">
        <w:trPr>
          <w:trHeight w:val="573"/>
        </w:trPr>
        <w:tc>
          <w:tcPr>
            <w:tcW w:w="642" w:type="pct"/>
            <w:vMerge/>
            <w:tcBorders>
              <w:top w:val="single" w:sz="4" w:space="0" w:color="auto"/>
              <w:left w:val="single" w:sz="4" w:space="0" w:color="auto"/>
              <w:bottom w:val="single" w:sz="4" w:space="0" w:color="auto"/>
              <w:right w:val="single" w:sz="4" w:space="0" w:color="auto"/>
            </w:tcBorders>
            <w:vAlign w:val="center"/>
            <w:hideMark/>
          </w:tcPr>
          <w:p w14:paraId="5AA70697"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54B4B5F5"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 xml:space="preserve">cs (iv) </w:t>
            </w:r>
          </w:p>
        </w:tc>
        <w:tc>
          <w:tcPr>
            <w:tcW w:w="289" w:type="pct"/>
            <w:tcBorders>
              <w:top w:val="nil"/>
              <w:left w:val="nil"/>
              <w:bottom w:val="single" w:sz="4" w:space="0" w:color="auto"/>
              <w:right w:val="single" w:sz="4" w:space="0" w:color="auto"/>
            </w:tcBorders>
            <w:shd w:val="clear" w:color="auto" w:fill="auto"/>
            <w:noWrap/>
            <w:vAlign w:val="center"/>
            <w:hideMark/>
          </w:tcPr>
          <w:p w14:paraId="33B54F7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4DB5A14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4BF90AF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single" w:sz="4" w:space="0" w:color="auto"/>
              <w:left w:val="nil"/>
              <w:bottom w:val="single" w:sz="4" w:space="0" w:color="auto"/>
              <w:right w:val="single" w:sz="4" w:space="0" w:color="auto"/>
            </w:tcBorders>
            <w:shd w:val="clear" w:color="auto" w:fill="auto"/>
            <w:vAlign w:val="center"/>
            <w:hideMark/>
          </w:tcPr>
          <w:p w14:paraId="2C268E55" w14:textId="77777777" w:rsidR="00576AA9" w:rsidRPr="00576AA9" w:rsidRDefault="00576AA9" w:rsidP="00B83214">
            <w:pPr>
              <w:spacing w:after="0" w:line="240" w:lineRule="auto"/>
              <w:jc w:val="center"/>
              <w:rPr>
                <w:rFonts w:eastAsia="Times New Roman" w:cstheme="minorHAnsi"/>
                <w:b/>
                <w:bCs/>
                <w:color w:val="000000"/>
                <w:szCs w:val="24"/>
                <w:lang w:eastAsia="pl-PL"/>
              </w:rPr>
            </w:pPr>
            <w:r w:rsidRPr="00576AA9">
              <w:rPr>
                <w:rFonts w:eastAsia="Times New Roman" w:cstheme="minorHAnsi"/>
                <w:b/>
                <w:bCs/>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E2F1C3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05AFCF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4DA7816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E1BEE9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6" w:type="pct"/>
            <w:tcBorders>
              <w:top w:val="nil"/>
              <w:left w:val="nil"/>
              <w:bottom w:val="single" w:sz="4" w:space="0" w:color="auto"/>
              <w:right w:val="single" w:sz="4" w:space="0" w:color="auto"/>
            </w:tcBorders>
            <w:shd w:val="clear" w:color="auto" w:fill="auto"/>
            <w:noWrap/>
            <w:vAlign w:val="center"/>
            <w:hideMark/>
          </w:tcPr>
          <w:p w14:paraId="009CC3B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noWrap/>
            <w:vAlign w:val="center"/>
            <w:hideMark/>
          </w:tcPr>
          <w:p w14:paraId="190DFBE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886C43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752310E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D4CE4B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69EFC05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2DB36EE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7B15EF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A95108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53A8135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r>
      <w:tr w:rsidR="00ED14C3" w:rsidRPr="00576AA9" w14:paraId="2030F4DB" w14:textId="77777777" w:rsidTr="00ED14C3">
        <w:trPr>
          <w:trHeight w:val="573"/>
        </w:trPr>
        <w:tc>
          <w:tcPr>
            <w:tcW w:w="642" w:type="pct"/>
            <w:vMerge/>
            <w:tcBorders>
              <w:top w:val="single" w:sz="4" w:space="0" w:color="auto"/>
              <w:left w:val="single" w:sz="4" w:space="0" w:color="auto"/>
              <w:bottom w:val="single" w:sz="4" w:space="0" w:color="auto"/>
              <w:right w:val="single" w:sz="4" w:space="0" w:color="auto"/>
            </w:tcBorders>
            <w:vAlign w:val="center"/>
            <w:hideMark/>
          </w:tcPr>
          <w:p w14:paraId="39C89088"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5E5D81CE"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(v)</w:t>
            </w:r>
          </w:p>
        </w:tc>
        <w:tc>
          <w:tcPr>
            <w:tcW w:w="289" w:type="pct"/>
            <w:tcBorders>
              <w:top w:val="nil"/>
              <w:left w:val="nil"/>
              <w:bottom w:val="single" w:sz="4" w:space="0" w:color="auto"/>
              <w:right w:val="single" w:sz="4" w:space="0" w:color="auto"/>
            </w:tcBorders>
            <w:shd w:val="clear" w:color="auto" w:fill="auto"/>
            <w:noWrap/>
            <w:vAlign w:val="center"/>
            <w:hideMark/>
          </w:tcPr>
          <w:p w14:paraId="444991D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556D461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C27B24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vAlign w:val="center"/>
            <w:hideMark/>
          </w:tcPr>
          <w:p w14:paraId="79EF55A2" w14:textId="77777777" w:rsidR="00576AA9" w:rsidRPr="00576AA9" w:rsidRDefault="00576AA9" w:rsidP="00B83214">
            <w:pPr>
              <w:spacing w:after="0" w:line="240" w:lineRule="auto"/>
              <w:jc w:val="center"/>
              <w:rPr>
                <w:rFonts w:eastAsia="Times New Roman" w:cstheme="minorHAnsi"/>
                <w:b/>
                <w:bCs/>
                <w:color w:val="000000"/>
                <w:szCs w:val="24"/>
                <w:lang w:eastAsia="pl-PL"/>
              </w:rPr>
            </w:pPr>
            <w:r w:rsidRPr="00576AA9">
              <w:rPr>
                <w:rFonts w:eastAsia="Times New Roman" w:cstheme="minorHAnsi"/>
                <w:b/>
                <w:bCs/>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6DB5341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B9D3DE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3A5DEE5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08D446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0685806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noWrap/>
            <w:vAlign w:val="center"/>
            <w:hideMark/>
          </w:tcPr>
          <w:p w14:paraId="4A9CB61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90301D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36ACC1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3240AF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8C638B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77AB62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79AA985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0A2EE7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25A403C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55F3B6ED" w14:textId="77777777" w:rsidTr="00ED14C3">
        <w:trPr>
          <w:trHeight w:val="573"/>
        </w:trPr>
        <w:tc>
          <w:tcPr>
            <w:tcW w:w="642" w:type="pct"/>
            <w:vMerge/>
            <w:tcBorders>
              <w:top w:val="single" w:sz="4" w:space="0" w:color="auto"/>
              <w:left w:val="single" w:sz="4" w:space="0" w:color="auto"/>
              <w:bottom w:val="single" w:sz="4" w:space="0" w:color="auto"/>
              <w:right w:val="single" w:sz="4" w:space="0" w:color="auto"/>
            </w:tcBorders>
            <w:vAlign w:val="center"/>
            <w:hideMark/>
          </w:tcPr>
          <w:p w14:paraId="112E4510"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371C1F93"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(vi)</w:t>
            </w:r>
          </w:p>
        </w:tc>
        <w:tc>
          <w:tcPr>
            <w:tcW w:w="289" w:type="pct"/>
            <w:tcBorders>
              <w:top w:val="nil"/>
              <w:left w:val="nil"/>
              <w:bottom w:val="single" w:sz="4" w:space="0" w:color="auto"/>
              <w:right w:val="single" w:sz="4" w:space="0" w:color="auto"/>
            </w:tcBorders>
            <w:shd w:val="clear" w:color="auto" w:fill="auto"/>
            <w:noWrap/>
            <w:vAlign w:val="center"/>
            <w:hideMark/>
          </w:tcPr>
          <w:p w14:paraId="4CF41D0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4C0B3C9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6621120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vAlign w:val="center"/>
            <w:hideMark/>
          </w:tcPr>
          <w:p w14:paraId="1DBE4D59" w14:textId="77777777" w:rsidR="00576AA9" w:rsidRPr="00576AA9" w:rsidRDefault="00576AA9" w:rsidP="00B83214">
            <w:pPr>
              <w:spacing w:after="0" w:line="240" w:lineRule="auto"/>
              <w:jc w:val="center"/>
              <w:rPr>
                <w:rFonts w:eastAsia="Times New Roman" w:cstheme="minorHAnsi"/>
                <w:b/>
                <w:bCs/>
                <w:color w:val="000000"/>
                <w:szCs w:val="24"/>
                <w:lang w:eastAsia="pl-PL"/>
              </w:rPr>
            </w:pPr>
            <w:r w:rsidRPr="00576AA9">
              <w:rPr>
                <w:rFonts w:eastAsia="Times New Roman" w:cstheme="minorHAnsi"/>
                <w:b/>
                <w:bCs/>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28AA13E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1FC9F36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218AE37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68456FD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6" w:type="pct"/>
            <w:tcBorders>
              <w:top w:val="nil"/>
              <w:left w:val="nil"/>
              <w:bottom w:val="single" w:sz="4" w:space="0" w:color="auto"/>
              <w:right w:val="single" w:sz="4" w:space="0" w:color="auto"/>
            </w:tcBorders>
            <w:shd w:val="clear" w:color="auto" w:fill="auto"/>
            <w:noWrap/>
            <w:vAlign w:val="center"/>
            <w:hideMark/>
          </w:tcPr>
          <w:p w14:paraId="4AE1B2D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noWrap/>
            <w:vAlign w:val="center"/>
            <w:hideMark/>
          </w:tcPr>
          <w:p w14:paraId="4F96294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EBBA1A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F364BD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108DA8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3BB3B82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78AC342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159149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1785BB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1164754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59E5E9E0" w14:textId="77777777" w:rsidTr="00ED14C3">
        <w:trPr>
          <w:trHeight w:val="573"/>
        </w:trPr>
        <w:tc>
          <w:tcPr>
            <w:tcW w:w="642" w:type="pct"/>
            <w:vMerge/>
            <w:tcBorders>
              <w:top w:val="single" w:sz="4" w:space="0" w:color="auto"/>
              <w:left w:val="single" w:sz="4" w:space="0" w:color="auto"/>
              <w:bottom w:val="single" w:sz="4" w:space="0" w:color="auto"/>
              <w:right w:val="single" w:sz="4" w:space="0" w:color="auto"/>
            </w:tcBorders>
            <w:vAlign w:val="center"/>
            <w:hideMark/>
          </w:tcPr>
          <w:p w14:paraId="01BD7A4B"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5D093AB4"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(vii)</w:t>
            </w:r>
          </w:p>
        </w:tc>
        <w:tc>
          <w:tcPr>
            <w:tcW w:w="289" w:type="pct"/>
            <w:tcBorders>
              <w:top w:val="nil"/>
              <w:left w:val="nil"/>
              <w:bottom w:val="single" w:sz="4" w:space="0" w:color="auto"/>
              <w:right w:val="single" w:sz="4" w:space="0" w:color="auto"/>
            </w:tcBorders>
            <w:shd w:val="clear" w:color="auto" w:fill="auto"/>
            <w:noWrap/>
            <w:vAlign w:val="center"/>
            <w:hideMark/>
          </w:tcPr>
          <w:p w14:paraId="461DF2B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05F559D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308403D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53932EA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072CD8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F43D21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47DEB31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458935D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6" w:type="pct"/>
            <w:tcBorders>
              <w:top w:val="nil"/>
              <w:left w:val="nil"/>
              <w:bottom w:val="single" w:sz="4" w:space="0" w:color="auto"/>
              <w:right w:val="single" w:sz="4" w:space="0" w:color="auto"/>
            </w:tcBorders>
            <w:shd w:val="clear" w:color="auto" w:fill="auto"/>
            <w:noWrap/>
            <w:vAlign w:val="center"/>
            <w:hideMark/>
          </w:tcPr>
          <w:p w14:paraId="3BE2A98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noWrap/>
            <w:vAlign w:val="center"/>
            <w:hideMark/>
          </w:tcPr>
          <w:p w14:paraId="018EA3F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8361C1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2EE08FE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77FC4A6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4C057C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1F4EE1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2C5E14E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05414F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24B54A0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r>
      <w:tr w:rsidR="00ED14C3" w:rsidRPr="00576AA9" w14:paraId="6B5A2B79" w14:textId="77777777" w:rsidTr="00ED14C3">
        <w:trPr>
          <w:trHeight w:val="573"/>
        </w:trPr>
        <w:tc>
          <w:tcPr>
            <w:tcW w:w="642" w:type="pct"/>
            <w:tcBorders>
              <w:top w:val="nil"/>
              <w:left w:val="single" w:sz="4" w:space="0" w:color="auto"/>
              <w:bottom w:val="single" w:sz="4" w:space="0" w:color="auto"/>
              <w:right w:val="single" w:sz="4" w:space="0" w:color="auto"/>
            </w:tcBorders>
            <w:shd w:val="clear" w:color="000000" w:fill="549E39"/>
            <w:vAlign w:val="center"/>
            <w:hideMark/>
          </w:tcPr>
          <w:p w14:paraId="644A0F76" w14:textId="0F0080AD" w:rsidR="00576AA9" w:rsidRPr="00576AA9" w:rsidRDefault="00576AA9" w:rsidP="00B83214">
            <w:pPr>
              <w:spacing w:after="0" w:line="240" w:lineRule="auto"/>
              <w:rPr>
                <w:rFonts w:eastAsia="Times New Roman" w:cstheme="minorHAnsi"/>
                <w:color w:val="FFFFFF"/>
                <w:szCs w:val="24"/>
                <w:lang w:eastAsia="pl-PL"/>
              </w:rPr>
            </w:pPr>
            <w:r w:rsidRPr="00576AA9">
              <w:rPr>
                <w:rFonts w:eastAsia="Times New Roman" w:cstheme="minorHAnsi"/>
                <w:color w:val="FFFFFF"/>
                <w:szCs w:val="24"/>
                <w:lang w:eastAsia="pl-PL"/>
              </w:rPr>
              <w:t>Priorytet 3.</w:t>
            </w:r>
            <w:r w:rsidR="00D4052B">
              <w:rPr>
                <w:rFonts w:eastAsia="Times New Roman" w:cstheme="minorHAnsi"/>
                <w:color w:val="FFFFFF"/>
                <w:szCs w:val="24"/>
                <w:lang w:eastAsia="pl-PL"/>
              </w:rPr>
              <w:t xml:space="preserve"> </w:t>
            </w:r>
            <w:r w:rsidRPr="00576AA9">
              <w:rPr>
                <w:rFonts w:eastAsia="Times New Roman" w:cstheme="minorHAnsi"/>
                <w:color w:val="FFFFFF"/>
                <w:szCs w:val="24"/>
                <w:lang w:eastAsia="pl-PL"/>
              </w:rPr>
              <w:t>Fundusze Europejskie na rzecz mobilnego Pomorza Zachodniego</w:t>
            </w:r>
          </w:p>
        </w:tc>
        <w:tc>
          <w:tcPr>
            <w:tcW w:w="189" w:type="pct"/>
            <w:tcBorders>
              <w:top w:val="nil"/>
              <w:left w:val="nil"/>
              <w:bottom w:val="single" w:sz="4" w:space="0" w:color="auto"/>
              <w:right w:val="single" w:sz="4" w:space="0" w:color="auto"/>
            </w:tcBorders>
            <w:shd w:val="clear" w:color="000000" w:fill="DAEFD3"/>
            <w:vAlign w:val="center"/>
            <w:hideMark/>
          </w:tcPr>
          <w:p w14:paraId="084020F3"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(viii)</w:t>
            </w:r>
          </w:p>
        </w:tc>
        <w:tc>
          <w:tcPr>
            <w:tcW w:w="289" w:type="pct"/>
            <w:tcBorders>
              <w:top w:val="nil"/>
              <w:left w:val="nil"/>
              <w:bottom w:val="single" w:sz="4" w:space="0" w:color="auto"/>
              <w:right w:val="single" w:sz="4" w:space="0" w:color="auto"/>
            </w:tcBorders>
            <w:shd w:val="clear" w:color="auto" w:fill="auto"/>
            <w:noWrap/>
            <w:vAlign w:val="center"/>
            <w:hideMark/>
          </w:tcPr>
          <w:p w14:paraId="1F3CC02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78A462A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56942E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4238BEE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1601ABF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92E239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A17B53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A90C22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6" w:type="pct"/>
            <w:tcBorders>
              <w:top w:val="nil"/>
              <w:left w:val="nil"/>
              <w:bottom w:val="single" w:sz="4" w:space="0" w:color="auto"/>
              <w:right w:val="single" w:sz="4" w:space="0" w:color="auto"/>
            </w:tcBorders>
            <w:shd w:val="clear" w:color="auto" w:fill="auto"/>
            <w:noWrap/>
            <w:vAlign w:val="center"/>
            <w:hideMark/>
          </w:tcPr>
          <w:p w14:paraId="7E74EF3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noWrap/>
            <w:vAlign w:val="center"/>
            <w:hideMark/>
          </w:tcPr>
          <w:p w14:paraId="670AE34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7BE1F3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3BF731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2AE2BF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ED985F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49F40E8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32DED9D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A57E3C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08CAE90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r>
      <w:tr w:rsidR="00ED14C3" w:rsidRPr="00576AA9" w14:paraId="639CAFB8" w14:textId="77777777" w:rsidTr="00ED14C3">
        <w:trPr>
          <w:trHeight w:val="573"/>
        </w:trPr>
        <w:tc>
          <w:tcPr>
            <w:tcW w:w="642" w:type="pct"/>
            <w:tcBorders>
              <w:top w:val="nil"/>
              <w:left w:val="single" w:sz="4" w:space="0" w:color="auto"/>
              <w:bottom w:val="single" w:sz="4" w:space="0" w:color="auto"/>
              <w:right w:val="single" w:sz="4" w:space="0" w:color="auto"/>
            </w:tcBorders>
            <w:shd w:val="clear" w:color="000000" w:fill="549E39"/>
            <w:vAlign w:val="center"/>
            <w:hideMark/>
          </w:tcPr>
          <w:p w14:paraId="7D42A5CF" w14:textId="77777777" w:rsidR="00576AA9" w:rsidRPr="00576AA9" w:rsidRDefault="00576AA9" w:rsidP="00B83214">
            <w:pPr>
              <w:spacing w:after="0" w:line="240" w:lineRule="auto"/>
              <w:rPr>
                <w:rFonts w:eastAsia="Times New Roman" w:cstheme="minorHAnsi"/>
                <w:color w:val="FFFFFF"/>
                <w:szCs w:val="24"/>
                <w:lang w:eastAsia="pl-PL"/>
              </w:rPr>
            </w:pPr>
            <w:r w:rsidRPr="00576AA9">
              <w:rPr>
                <w:rFonts w:eastAsia="Times New Roman" w:cstheme="minorHAnsi"/>
                <w:color w:val="FFFFFF"/>
                <w:szCs w:val="24"/>
                <w:lang w:eastAsia="pl-PL"/>
              </w:rPr>
              <w:t>Priorytet 4. Fundusze Europejskie na rzecz połączonego Pomorza Zachodniego</w:t>
            </w:r>
          </w:p>
        </w:tc>
        <w:tc>
          <w:tcPr>
            <w:tcW w:w="189" w:type="pct"/>
            <w:tcBorders>
              <w:top w:val="nil"/>
              <w:left w:val="nil"/>
              <w:bottom w:val="single" w:sz="4" w:space="0" w:color="auto"/>
              <w:right w:val="single" w:sz="4" w:space="0" w:color="auto"/>
            </w:tcBorders>
            <w:shd w:val="clear" w:color="000000" w:fill="DAEFD3"/>
            <w:vAlign w:val="center"/>
            <w:hideMark/>
          </w:tcPr>
          <w:p w14:paraId="00DFE2ED"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(ii)</w:t>
            </w:r>
          </w:p>
        </w:tc>
        <w:tc>
          <w:tcPr>
            <w:tcW w:w="289" w:type="pct"/>
            <w:tcBorders>
              <w:top w:val="nil"/>
              <w:left w:val="nil"/>
              <w:bottom w:val="single" w:sz="4" w:space="0" w:color="auto"/>
              <w:right w:val="single" w:sz="4" w:space="0" w:color="auto"/>
            </w:tcBorders>
            <w:shd w:val="clear" w:color="auto" w:fill="auto"/>
            <w:noWrap/>
            <w:vAlign w:val="center"/>
            <w:hideMark/>
          </w:tcPr>
          <w:p w14:paraId="281140C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38EF630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2B7844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vAlign w:val="center"/>
            <w:hideMark/>
          </w:tcPr>
          <w:p w14:paraId="655ABA3C" w14:textId="77777777" w:rsidR="00576AA9" w:rsidRPr="00576AA9" w:rsidRDefault="00576AA9" w:rsidP="00B83214">
            <w:pPr>
              <w:spacing w:after="0" w:line="240" w:lineRule="auto"/>
              <w:jc w:val="center"/>
              <w:rPr>
                <w:rFonts w:eastAsia="Times New Roman" w:cstheme="minorHAnsi"/>
                <w:b/>
                <w:bCs/>
                <w:color w:val="000000"/>
                <w:szCs w:val="24"/>
                <w:lang w:eastAsia="pl-PL"/>
              </w:rPr>
            </w:pPr>
            <w:r w:rsidRPr="00576AA9">
              <w:rPr>
                <w:rFonts w:eastAsia="Times New Roman" w:cstheme="minorHAnsi"/>
                <w:b/>
                <w:bCs/>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64A7883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A212F2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3619983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EF2768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6" w:type="pct"/>
            <w:tcBorders>
              <w:top w:val="nil"/>
              <w:left w:val="nil"/>
              <w:bottom w:val="single" w:sz="4" w:space="0" w:color="auto"/>
              <w:right w:val="single" w:sz="4" w:space="0" w:color="auto"/>
            </w:tcBorders>
            <w:shd w:val="clear" w:color="auto" w:fill="auto"/>
            <w:noWrap/>
            <w:vAlign w:val="center"/>
            <w:hideMark/>
          </w:tcPr>
          <w:p w14:paraId="06B9605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noWrap/>
            <w:vAlign w:val="center"/>
            <w:hideMark/>
          </w:tcPr>
          <w:p w14:paraId="10B116B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4C2082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vAlign w:val="center"/>
            <w:hideMark/>
          </w:tcPr>
          <w:p w14:paraId="52C0BD67" w14:textId="77777777" w:rsidR="00576AA9" w:rsidRPr="00576AA9" w:rsidRDefault="00576AA9" w:rsidP="00B83214">
            <w:pPr>
              <w:spacing w:after="0" w:line="240" w:lineRule="auto"/>
              <w:jc w:val="center"/>
              <w:rPr>
                <w:rFonts w:eastAsia="Times New Roman" w:cstheme="minorHAnsi"/>
                <w:b/>
                <w:bCs/>
                <w:color w:val="000000"/>
                <w:szCs w:val="24"/>
                <w:lang w:eastAsia="pl-PL"/>
              </w:rPr>
            </w:pPr>
            <w:r w:rsidRPr="00576AA9">
              <w:rPr>
                <w:rFonts w:eastAsia="Times New Roman" w:cstheme="minorHAnsi"/>
                <w:b/>
                <w:bCs/>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472EF97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7024933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4631323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685F9A6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6B447E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3D36350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r>
      <w:tr w:rsidR="00ED14C3" w:rsidRPr="00576AA9" w14:paraId="1357A3E3" w14:textId="77777777" w:rsidTr="00ED14C3">
        <w:trPr>
          <w:trHeight w:val="573"/>
        </w:trPr>
        <w:tc>
          <w:tcPr>
            <w:tcW w:w="642" w:type="pct"/>
            <w:vMerge w:val="restart"/>
            <w:tcBorders>
              <w:top w:val="nil"/>
              <w:left w:val="single" w:sz="4" w:space="0" w:color="auto"/>
              <w:bottom w:val="single" w:sz="4" w:space="0" w:color="auto"/>
              <w:right w:val="single" w:sz="4" w:space="0" w:color="auto"/>
            </w:tcBorders>
            <w:shd w:val="clear" w:color="000000" w:fill="549E39"/>
            <w:vAlign w:val="center"/>
            <w:hideMark/>
          </w:tcPr>
          <w:p w14:paraId="0D0E1ACF" w14:textId="77777777" w:rsidR="00576AA9" w:rsidRPr="00576AA9" w:rsidRDefault="00576AA9" w:rsidP="00B83214">
            <w:pPr>
              <w:spacing w:after="0" w:line="240" w:lineRule="auto"/>
              <w:rPr>
                <w:rFonts w:eastAsia="Times New Roman" w:cstheme="minorHAnsi"/>
                <w:color w:val="FFFFFF"/>
                <w:szCs w:val="24"/>
                <w:lang w:eastAsia="pl-PL"/>
              </w:rPr>
            </w:pPr>
            <w:r w:rsidRPr="00576AA9">
              <w:rPr>
                <w:rFonts w:eastAsia="Times New Roman" w:cstheme="minorHAnsi"/>
                <w:color w:val="FFFFFF"/>
                <w:szCs w:val="24"/>
                <w:lang w:eastAsia="pl-PL"/>
              </w:rPr>
              <w:t>Priorytet 5. Fundusze Europejskie na rzecz przyjaznego mieszkankom i mieszkańcom Pomorza Zachodniego</w:t>
            </w:r>
          </w:p>
        </w:tc>
        <w:tc>
          <w:tcPr>
            <w:tcW w:w="189" w:type="pct"/>
            <w:tcBorders>
              <w:top w:val="nil"/>
              <w:left w:val="nil"/>
              <w:bottom w:val="single" w:sz="4" w:space="0" w:color="auto"/>
              <w:right w:val="single" w:sz="4" w:space="0" w:color="auto"/>
            </w:tcBorders>
            <w:shd w:val="clear" w:color="000000" w:fill="DAEFD3"/>
            <w:vAlign w:val="center"/>
            <w:hideMark/>
          </w:tcPr>
          <w:p w14:paraId="71273F6D"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(ii)</w:t>
            </w:r>
          </w:p>
        </w:tc>
        <w:tc>
          <w:tcPr>
            <w:tcW w:w="289" w:type="pct"/>
            <w:tcBorders>
              <w:top w:val="nil"/>
              <w:left w:val="nil"/>
              <w:bottom w:val="single" w:sz="4" w:space="0" w:color="auto"/>
              <w:right w:val="single" w:sz="4" w:space="0" w:color="auto"/>
            </w:tcBorders>
            <w:shd w:val="clear" w:color="auto" w:fill="auto"/>
            <w:noWrap/>
            <w:vAlign w:val="center"/>
            <w:hideMark/>
          </w:tcPr>
          <w:p w14:paraId="09B93CB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225A5B7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F74E10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41E9340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2A7E388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74B652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274D91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7B9499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2A48A72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noWrap/>
            <w:vAlign w:val="center"/>
            <w:hideMark/>
          </w:tcPr>
          <w:p w14:paraId="40407A3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49CCED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EB8FA6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96B46D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38A796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25F6A1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2174A9E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3A6BE5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7EE0DBA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35AD86C3" w14:textId="77777777" w:rsidTr="00ED14C3">
        <w:trPr>
          <w:trHeight w:val="573"/>
        </w:trPr>
        <w:tc>
          <w:tcPr>
            <w:tcW w:w="642" w:type="pct"/>
            <w:vMerge/>
            <w:tcBorders>
              <w:top w:val="nil"/>
              <w:left w:val="single" w:sz="4" w:space="0" w:color="auto"/>
              <w:bottom w:val="single" w:sz="4" w:space="0" w:color="auto"/>
              <w:right w:val="single" w:sz="4" w:space="0" w:color="auto"/>
            </w:tcBorders>
            <w:vAlign w:val="center"/>
            <w:hideMark/>
          </w:tcPr>
          <w:p w14:paraId="2436E5A7"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6914F542"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(iii)</w:t>
            </w:r>
          </w:p>
        </w:tc>
        <w:tc>
          <w:tcPr>
            <w:tcW w:w="289" w:type="pct"/>
            <w:tcBorders>
              <w:top w:val="nil"/>
              <w:left w:val="nil"/>
              <w:bottom w:val="single" w:sz="4" w:space="0" w:color="auto"/>
              <w:right w:val="single" w:sz="4" w:space="0" w:color="auto"/>
            </w:tcBorders>
            <w:shd w:val="clear" w:color="auto" w:fill="auto"/>
            <w:noWrap/>
            <w:vAlign w:val="center"/>
            <w:hideMark/>
          </w:tcPr>
          <w:p w14:paraId="6411CAA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80" w:type="pct"/>
            <w:tcBorders>
              <w:top w:val="nil"/>
              <w:left w:val="nil"/>
              <w:bottom w:val="single" w:sz="4" w:space="0" w:color="auto"/>
              <w:right w:val="single" w:sz="4" w:space="0" w:color="auto"/>
            </w:tcBorders>
            <w:shd w:val="clear" w:color="auto" w:fill="auto"/>
            <w:noWrap/>
            <w:vAlign w:val="center"/>
            <w:hideMark/>
          </w:tcPr>
          <w:p w14:paraId="1998552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40806B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42F5BDB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687C1AA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C1663B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1FC131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E740D7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0535D1C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noWrap/>
            <w:vAlign w:val="center"/>
            <w:hideMark/>
          </w:tcPr>
          <w:p w14:paraId="7CBE4CB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B92A90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46B5E9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6179F2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341FAD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540786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558A62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4EB9EC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4E372C5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3635D3CC" w14:textId="77777777" w:rsidTr="00ED14C3">
        <w:trPr>
          <w:trHeight w:val="573"/>
        </w:trPr>
        <w:tc>
          <w:tcPr>
            <w:tcW w:w="642" w:type="pct"/>
            <w:vMerge/>
            <w:tcBorders>
              <w:top w:val="nil"/>
              <w:left w:val="single" w:sz="4" w:space="0" w:color="auto"/>
              <w:bottom w:val="single" w:sz="4" w:space="0" w:color="auto"/>
              <w:right w:val="single" w:sz="4" w:space="0" w:color="auto"/>
            </w:tcBorders>
            <w:vAlign w:val="center"/>
            <w:hideMark/>
          </w:tcPr>
          <w:p w14:paraId="5D17A94D"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6FC6CD3B"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(iv)</w:t>
            </w:r>
          </w:p>
        </w:tc>
        <w:tc>
          <w:tcPr>
            <w:tcW w:w="289" w:type="pct"/>
            <w:tcBorders>
              <w:top w:val="nil"/>
              <w:left w:val="nil"/>
              <w:bottom w:val="single" w:sz="4" w:space="0" w:color="auto"/>
              <w:right w:val="single" w:sz="4" w:space="0" w:color="auto"/>
            </w:tcBorders>
            <w:shd w:val="clear" w:color="auto" w:fill="auto"/>
            <w:noWrap/>
            <w:vAlign w:val="center"/>
            <w:hideMark/>
          </w:tcPr>
          <w:p w14:paraId="38BC3D9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28942FD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7FB037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53C1FD2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41A594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1DEC50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A39F3D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C4C457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6511AF3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noWrap/>
            <w:vAlign w:val="center"/>
            <w:hideMark/>
          </w:tcPr>
          <w:p w14:paraId="727B814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71C939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E578E5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FFC115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4332FD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AC046F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6D70551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97E276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47B9992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6A886803" w14:textId="77777777" w:rsidTr="00ED14C3">
        <w:trPr>
          <w:trHeight w:val="573"/>
        </w:trPr>
        <w:tc>
          <w:tcPr>
            <w:tcW w:w="642" w:type="pct"/>
            <w:vMerge/>
            <w:tcBorders>
              <w:top w:val="nil"/>
              <w:left w:val="single" w:sz="4" w:space="0" w:color="auto"/>
              <w:bottom w:val="single" w:sz="4" w:space="0" w:color="auto"/>
              <w:right w:val="single" w:sz="4" w:space="0" w:color="auto"/>
            </w:tcBorders>
            <w:vAlign w:val="center"/>
            <w:hideMark/>
          </w:tcPr>
          <w:p w14:paraId="4A0B1665"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26670001"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(v)</w:t>
            </w:r>
          </w:p>
        </w:tc>
        <w:tc>
          <w:tcPr>
            <w:tcW w:w="289" w:type="pct"/>
            <w:tcBorders>
              <w:top w:val="nil"/>
              <w:left w:val="nil"/>
              <w:bottom w:val="single" w:sz="4" w:space="0" w:color="auto"/>
              <w:right w:val="single" w:sz="4" w:space="0" w:color="auto"/>
            </w:tcBorders>
            <w:shd w:val="clear" w:color="auto" w:fill="auto"/>
            <w:noWrap/>
            <w:vAlign w:val="center"/>
            <w:hideMark/>
          </w:tcPr>
          <w:p w14:paraId="5877DBA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0931DBA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8C53F0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2210F9A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046D91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902CAC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B2B01F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BF6A99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40D49EF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noWrap/>
            <w:vAlign w:val="center"/>
            <w:hideMark/>
          </w:tcPr>
          <w:p w14:paraId="37E2F12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84A17F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D8664C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7D4FE6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130CD0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8353E1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D9B979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513BEF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519209A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1D78F050" w14:textId="77777777" w:rsidTr="00ED14C3">
        <w:trPr>
          <w:trHeight w:val="573"/>
        </w:trPr>
        <w:tc>
          <w:tcPr>
            <w:tcW w:w="642" w:type="pct"/>
            <w:vMerge/>
            <w:tcBorders>
              <w:top w:val="nil"/>
              <w:left w:val="single" w:sz="4" w:space="0" w:color="auto"/>
              <w:bottom w:val="single" w:sz="4" w:space="0" w:color="auto"/>
              <w:right w:val="single" w:sz="4" w:space="0" w:color="auto"/>
            </w:tcBorders>
            <w:vAlign w:val="center"/>
            <w:hideMark/>
          </w:tcPr>
          <w:p w14:paraId="0E0B24F8"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5C95E475"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(vi)</w:t>
            </w:r>
          </w:p>
        </w:tc>
        <w:tc>
          <w:tcPr>
            <w:tcW w:w="289" w:type="pct"/>
            <w:tcBorders>
              <w:top w:val="nil"/>
              <w:left w:val="nil"/>
              <w:bottom w:val="single" w:sz="4" w:space="0" w:color="auto"/>
              <w:right w:val="single" w:sz="4" w:space="0" w:color="auto"/>
            </w:tcBorders>
            <w:shd w:val="clear" w:color="auto" w:fill="auto"/>
            <w:noWrap/>
            <w:vAlign w:val="center"/>
            <w:hideMark/>
          </w:tcPr>
          <w:p w14:paraId="7D6A365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6EB39FA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7C00301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2E42CB2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377C84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54ACEA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1E63FA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925780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3D79CC5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noWrap/>
            <w:vAlign w:val="center"/>
            <w:hideMark/>
          </w:tcPr>
          <w:p w14:paraId="04A17A8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1E7559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2CBE1B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2A005F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011F40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BCB90D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6B7FD82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294206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6" w:type="pct"/>
            <w:tcBorders>
              <w:top w:val="nil"/>
              <w:left w:val="nil"/>
              <w:bottom w:val="single" w:sz="4" w:space="0" w:color="auto"/>
              <w:right w:val="single" w:sz="4" w:space="0" w:color="auto"/>
            </w:tcBorders>
            <w:shd w:val="clear" w:color="auto" w:fill="auto"/>
            <w:vAlign w:val="center"/>
            <w:hideMark/>
          </w:tcPr>
          <w:p w14:paraId="27AC7107" w14:textId="77777777" w:rsidR="00576AA9" w:rsidRPr="00576AA9" w:rsidRDefault="00576AA9" w:rsidP="00B83214">
            <w:pPr>
              <w:spacing w:after="0" w:line="240" w:lineRule="auto"/>
              <w:jc w:val="center"/>
              <w:rPr>
                <w:rFonts w:eastAsia="Times New Roman" w:cstheme="minorHAnsi"/>
                <w:b/>
                <w:bCs/>
                <w:color w:val="000000"/>
                <w:szCs w:val="24"/>
                <w:lang w:eastAsia="pl-PL"/>
              </w:rPr>
            </w:pPr>
            <w:r w:rsidRPr="00576AA9">
              <w:rPr>
                <w:rFonts w:eastAsia="Times New Roman" w:cstheme="minorHAnsi"/>
                <w:b/>
                <w:bCs/>
                <w:color w:val="000000"/>
                <w:szCs w:val="24"/>
                <w:lang w:eastAsia="pl-PL"/>
              </w:rPr>
              <w:t>+/-</w:t>
            </w:r>
          </w:p>
        </w:tc>
      </w:tr>
      <w:tr w:rsidR="00ED14C3" w:rsidRPr="00576AA9" w14:paraId="6CF01355" w14:textId="77777777" w:rsidTr="00ED14C3">
        <w:trPr>
          <w:trHeight w:val="573"/>
        </w:trPr>
        <w:tc>
          <w:tcPr>
            <w:tcW w:w="642" w:type="pct"/>
            <w:vMerge w:val="restart"/>
            <w:tcBorders>
              <w:top w:val="nil"/>
              <w:left w:val="single" w:sz="4" w:space="0" w:color="auto"/>
              <w:bottom w:val="single" w:sz="4" w:space="0" w:color="000000"/>
              <w:right w:val="single" w:sz="4" w:space="0" w:color="auto"/>
            </w:tcBorders>
            <w:shd w:val="clear" w:color="000000" w:fill="549E39"/>
            <w:vAlign w:val="center"/>
            <w:hideMark/>
          </w:tcPr>
          <w:p w14:paraId="43A7ED93" w14:textId="77777777" w:rsidR="00576AA9" w:rsidRPr="00576AA9" w:rsidRDefault="00576AA9" w:rsidP="00B83214">
            <w:pPr>
              <w:spacing w:after="0" w:line="240" w:lineRule="auto"/>
              <w:rPr>
                <w:rFonts w:eastAsia="Times New Roman" w:cstheme="minorHAnsi"/>
                <w:color w:val="FFFFFF"/>
                <w:szCs w:val="24"/>
                <w:lang w:eastAsia="pl-PL"/>
              </w:rPr>
            </w:pPr>
            <w:r w:rsidRPr="00576AA9">
              <w:rPr>
                <w:rFonts w:eastAsia="Times New Roman" w:cstheme="minorHAnsi"/>
                <w:color w:val="FFFFFF"/>
                <w:szCs w:val="24"/>
                <w:lang w:eastAsia="pl-PL"/>
              </w:rPr>
              <w:t>Priorytet 6. Fundusze Europejskie na rzecz aktywnego Pomorza Zachodniego</w:t>
            </w:r>
          </w:p>
        </w:tc>
        <w:tc>
          <w:tcPr>
            <w:tcW w:w="189" w:type="pct"/>
            <w:tcBorders>
              <w:top w:val="nil"/>
              <w:left w:val="nil"/>
              <w:bottom w:val="single" w:sz="4" w:space="0" w:color="auto"/>
              <w:right w:val="single" w:sz="4" w:space="0" w:color="auto"/>
            </w:tcBorders>
            <w:shd w:val="clear" w:color="000000" w:fill="DAEFD3"/>
            <w:vAlign w:val="center"/>
            <w:hideMark/>
          </w:tcPr>
          <w:p w14:paraId="1C52094E"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 xml:space="preserve">cs (a) </w:t>
            </w:r>
          </w:p>
        </w:tc>
        <w:tc>
          <w:tcPr>
            <w:tcW w:w="289" w:type="pct"/>
            <w:tcBorders>
              <w:top w:val="nil"/>
              <w:left w:val="nil"/>
              <w:bottom w:val="single" w:sz="4" w:space="0" w:color="auto"/>
              <w:right w:val="single" w:sz="4" w:space="0" w:color="auto"/>
            </w:tcBorders>
            <w:shd w:val="clear" w:color="auto" w:fill="auto"/>
            <w:noWrap/>
            <w:vAlign w:val="center"/>
            <w:hideMark/>
          </w:tcPr>
          <w:p w14:paraId="123BB43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80" w:type="pct"/>
            <w:tcBorders>
              <w:top w:val="nil"/>
              <w:left w:val="nil"/>
              <w:bottom w:val="single" w:sz="4" w:space="0" w:color="auto"/>
              <w:right w:val="single" w:sz="4" w:space="0" w:color="auto"/>
            </w:tcBorders>
            <w:shd w:val="clear" w:color="auto" w:fill="auto"/>
            <w:noWrap/>
            <w:vAlign w:val="center"/>
            <w:hideMark/>
          </w:tcPr>
          <w:p w14:paraId="177CF19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F4C879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25F9A67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7574B09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8A7B75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5319C2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B41A28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7004B46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9" w:type="pct"/>
            <w:tcBorders>
              <w:top w:val="nil"/>
              <w:left w:val="nil"/>
              <w:bottom w:val="single" w:sz="4" w:space="0" w:color="auto"/>
              <w:right w:val="single" w:sz="4" w:space="0" w:color="auto"/>
            </w:tcBorders>
            <w:shd w:val="clear" w:color="auto" w:fill="auto"/>
            <w:noWrap/>
            <w:vAlign w:val="center"/>
            <w:hideMark/>
          </w:tcPr>
          <w:p w14:paraId="7F8B0AA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42453C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0ADD7A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837C30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E42438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F2482C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6BA011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8C9497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5D14403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612B2B87" w14:textId="77777777" w:rsidTr="00ED14C3">
        <w:trPr>
          <w:trHeight w:val="573"/>
        </w:trPr>
        <w:tc>
          <w:tcPr>
            <w:tcW w:w="642" w:type="pct"/>
            <w:vMerge/>
            <w:tcBorders>
              <w:top w:val="nil"/>
              <w:left w:val="single" w:sz="4" w:space="0" w:color="auto"/>
              <w:bottom w:val="single" w:sz="4" w:space="0" w:color="000000"/>
              <w:right w:val="single" w:sz="4" w:space="0" w:color="auto"/>
            </w:tcBorders>
            <w:vAlign w:val="center"/>
            <w:hideMark/>
          </w:tcPr>
          <w:p w14:paraId="51229B2A"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37A77AB1"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(b)</w:t>
            </w:r>
          </w:p>
        </w:tc>
        <w:tc>
          <w:tcPr>
            <w:tcW w:w="289" w:type="pct"/>
            <w:tcBorders>
              <w:top w:val="nil"/>
              <w:left w:val="nil"/>
              <w:bottom w:val="single" w:sz="4" w:space="0" w:color="auto"/>
              <w:right w:val="single" w:sz="4" w:space="0" w:color="auto"/>
            </w:tcBorders>
            <w:shd w:val="clear" w:color="auto" w:fill="auto"/>
            <w:noWrap/>
            <w:vAlign w:val="center"/>
            <w:hideMark/>
          </w:tcPr>
          <w:p w14:paraId="2F1AA96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80" w:type="pct"/>
            <w:tcBorders>
              <w:top w:val="nil"/>
              <w:left w:val="nil"/>
              <w:bottom w:val="single" w:sz="4" w:space="0" w:color="auto"/>
              <w:right w:val="single" w:sz="4" w:space="0" w:color="auto"/>
            </w:tcBorders>
            <w:shd w:val="clear" w:color="auto" w:fill="auto"/>
            <w:noWrap/>
            <w:vAlign w:val="center"/>
            <w:hideMark/>
          </w:tcPr>
          <w:p w14:paraId="2CE08FE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DFC99E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1EAA2E9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1C9CBE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5A0BC4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263DBB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BEFF55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3FA49F2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9" w:type="pct"/>
            <w:tcBorders>
              <w:top w:val="nil"/>
              <w:left w:val="nil"/>
              <w:bottom w:val="single" w:sz="4" w:space="0" w:color="auto"/>
              <w:right w:val="single" w:sz="4" w:space="0" w:color="auto"/>
            </w:tcBorders>
            <w:shd w:val="clear" w:color="auto" w:fill="auto"/>
            <w:noWrap/>
            <w:vAlign w:val="center"/>
            <w:hideMark/>
          </w:tcPr>
          <w:p w14:paraId="297AF8E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DAABBC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9F2E50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648799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56D2CA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856251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BD9757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07D149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098C29C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7CBDDE5B" w14:textId="77777777" w:rsidTr="00ED14C3">
        <w:trPr>
          <w:trHeight w:val="573"/>
        </w:trPr>
        <w:tc>
          <w:tcPr>
            <w:tcW w:w="642" w:type="pct"/>
            <w:vMerge/>
            <w:tcBorders>
              <w:top w:val="nil"/>
              <w:left w:val="single" w:sz="4" w:space="0" w:color="auto"/>
              <w:bottom w:val="single" w:sz="4" w:space="0" w:color="000000"/>
              <w:right w:val="single" w:sz="4" w:space="0" w:color="auto"/>
            </w:tcBorders>
            <w:vAlign w:val="center"/>
            <w:hideMark/>
          </w:tcPr>
          <w:p w14:paraId="5031C663"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2094B6D5"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(d)</w:t>
            </w:r>
          </w:p>
        </w:tc>
        <w:tc>
          <w:tcPr>
            <w:tcW w:w="289" w:type="pct"/>
            <w:tcBorders>
              <w:top w:val="nil"/>
              <w:left w:val="nil"/>
              <w:bottom w:val="single" w:sz="4" w:space="0" w:color="auto"/>
              <w:right w:val="single" w:sz="4" w:space="0" w:color="auto"/>
            </w:tcBorders>
            <w:shd w:val="clear" w:color="auto" w:fill="auto"/>
            <w:noWrap/>
            <w:vAlign w:val="center"/>
            <w:hideMark/>
          </w:tcPr>
          <w:p w14:paraId="0436CE5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80" w:type="pct"/>
            <w:tcBorders>
              <w:top w:val="nil"/>
              <w:left w:val="nil"/>
              <w:bottom w:val="single" w:sz="4" w:space="0" w:color="auto"/>
              <w:right w:val="single" w:sz="4" w:space="0" w:color="auto"/>
            </w:tcBorders>
            <w:shd w:val="clear" w:color="auto" w:fill="auto"/>
            <w:noWrap/>
            <w:vAlign w:val="center"/>
            <w:hideMark/>
          </w:tcPr>
          <w:p w14:paraId="4595B11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AB7E45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1BC0032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30449F7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3A684F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6474D9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879A37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1D80790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9" w:type="pct"/>
            <w:tcBorders>
              <w:top w:val="nil"/>
              <w:left w:val="nil"/>
              <w:bottom w:val="single" w:sz="4" w:space="0" w:color="auto"/>
              <w:right w:val="single" w:sz="4" w:space="0" w:color="auto"/>
            </w:tcBorders>
            <w:shd w:val="clear" w:color="auto" w:fill="auto"/>
            <w:noWrap/>
            <w:vAlign w:val="center"/>
            <w:hideMark/>
          </w:tcPr>
          <w:p w14:paraId="64B0AE6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91EA41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789F2E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2394F8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BABE6C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CC1FF4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96AC7C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07E91E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42B033B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47A5B602" w14:textId="77777777" w:rsidTr="00ED14C3">
        <w:trPr>
          <w:trHeight w:val="573"/>
        </w:trPr>
        <w:tc>
          <w:tcPr>
            <w:tcW w:w="642" w:type="pct"/>
            <w:vMerge/>
            <w:tcBorders>
              <w:top w:val="nil"/>
              <w:left w:val="single" w:sz="4" w:space="0" w:color="auto"/>
              <w:bottom w:val="single" w:sz="4" w:space="0" w:color="000000"/>
              <w:right w:val="single" w:sz="4" w:space="0" w:color="auto"/>
            </w:tcBorders>
            <w:vAlign w:val="center"/>
            <w:hideMark/>
          </w:tcPr>
          <w:p w14:paraId="1B083D33"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262095FC"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(f)</w:t>
            </w:r>
          </w:p>
        </w:tc>
        <w:tc>
          <w:tcPr>
            <w:tcW w:w="289" w:type="pct"/>
            <w:tcBorders>
              <w:top w:val="nil"/>
              <w:left w:val="nil"/>
              <w:bottom w:val="single" w:sz="4" w:space="0" w:color="auto"/>
              <w:right w:val="single" w:sz="4" w:space="0" w:color="auto"/>
            </w:tcBorders>
            <w:shd w:val="clear" w:color="auto" w:fill="auto"/>
            <w:noWrap/>
            <w:vAlign w:val="center"/>
            <w:hideMark/>
          </w:tcPr>
          <w:p w14:paraId="4B26B0D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80" w:type="pct"/>
            <w:tcBorders>
              <w:top w:val="nil"/>
              <w:left w:val="nil"/>
              <w:bottom w:val="single" w:sz="4" w:space="0" w:color="auto"/>
              <w:right w:val="single" w:sz="4" w:space="0" w:color="auto"/>
            </w:tcBorders>
            <w:shd w:val="clear" w:color="auto" w:fill="auto"/>
            <w:noWrap/>
            <w:vAlign w:val="center"/>
            <w:hideMark/>
          </w:tcPr>
          <w:p w14:paraId="265A650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4E3416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4D5096D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27B74CD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E0A7C7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3559DD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69565A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5C6966A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9" w:type="pct"/>
            <w:tcBorders>
              <w:top w:val="nil"/>
              <w:left w:val="nil"/>
              <w:bottom w:val="single" w:sz="4" w:space="0" w:color="auto"/>
              <w:right w:val="single" w:sz="4" w:space="0" w:color="auto"/>
            </w:tcBorders>
            <w:shd w:val="clear" w:color="auto" w:fill="auto"/>
            <w:noWrap/>
            <w:vAlign w:val="center"/>
            <w:hideMark/>
          </w:tcPr>
          <w:p w14:paraId="5293C3F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9D10C5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3D3D90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13A80F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C727B3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EEEC87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98E9B3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EE52FD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496876E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69FF9B69" w14:textId="77777777" w:rsidTr="00ED14C3">
        <w:trPr>
          <w:trHeight w:val="573"/>
        </w:trPr>
        <w:tc>
          <w:tcPr>
            <w:tcW w:w="642" w:type="pct"/>
            <w:vMerge/>
            <w:tcBorders>
              <w:top w:val="nil"/>
              <w:left w:val="single" w:sz="4" w:space="0" w:color="auto"/>
              <w:bottom w:val="single" w:sz="4" w:space="0" w:color="000000"/>
              <w:right w:val="single" w:sz="4" w:space="0" w:color="auto"/>
            </w:tcBorders>
            <w:vAlign w:val="center"/>
            <w:hideMark/>
          </w:tcPr>
          <w:p w14:paraId="3B4458DF"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48123D4D"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(g)</w:t>
            </w:r>
          </w:p>
        </w:tc>
        <w:tc>
          <w:tcPr>
            <w:tcW w:w="289" w:type="pct"/>
            <w:tcBorders>
              <w:top w:val="nil"/>
              <w:left w:val="nil"/>
              <w:bottom w:val="single" w:sz="4" w:space="0" w:color="auto"/>
              <w:right w:val="single" w:sz="4" w:space="0" w:color="auto"/>
            </w:tcBorders>
            <w:shd w:val="clear" w:color="auto" w:fill="auto"/>
            <w:noWrap/>
            <w:vAlign w:val="center"/>
            <w:hideMark/>
          </w:tcPr>
          <w:p w14:paraId="7EC6881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80" w:type="pct"/>
            <w:tcBorders>
              <w:top w:val="nil"/>
              <w:left w:val="nil"/>
              <w:bottom w:val="single" w:sz="4" w:space="0" w:color="auto"/>
              <w:right w:val="single" w:sz="4" w:space="0" w:color="auto"/>
            </w:tcBorders>
            <w:shd w:val="clear" w:color="auto" w:fill="auto"/>
            <w:noWrap/>
            <w:vAlign w:val="center"/>
            <w:hideMark/>
          </w:tcPr>
          <w:p w14:paraId="215FC16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18A9D2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6DBB9EC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1C65E4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21CAA7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0C509D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217A98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60CF051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9" w:type="pct"/>
            <w:tcBorders>
              <w:top w:val="nil"/>
              <w:left w:val="nil"/>
              <w:bottom w:val="single" w:sz="4" w:space="0" w:color="auto"/>
              <w:right w:val="single" w:sz="4" w:space="0" w:color="auto"/>
            </w:tcBorders>
            <w:shd w:val="clear" w:color="auto" w:fill="auto"/>
            <w:noWrap/>
            <w:vAlign w:val="center"/>
            <w:hideMark/>
          </w:tcPr>
          <w:p w14:paraId="01024E6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08654C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C6F393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1F235D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4084A8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D20EE1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35A032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F36D3B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05640AD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633AC1CA" w14:textId="77777777" w:rsidTr="00ED14C3">
        <w:trPr>
          <w:trHeight w:val="573"/>
        </w:trPr>
        <w:tc>
          <w:tcPr>
            <w:tcW w:w="642" w:type="pct"/>
            <w:vMerge/>
            <w:tcBorders>
              <w:top w:val="nil"/>
              <w:left w:val="single" w:sz="4" w:space="0" w:color="auto"/>
              <w:bottom w:val="single" w:sz="4" w:space="0" w:color="000000"/>
              <w:right w:val="single" w:sz="4" w:space="0" w:color="auto"/>
            </w:tcBorders>
            <w:vAlign w:val="center"/>
            <w:hideMark/>
          </w:tcPr>
          <w:p w14:paraId="0DFA00C9"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4AFCD93D"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(h)</w:t>
            </w:r>
          </w:p>
        </w:tc>
        <w:tc>
          <w:tcPr>
            <w:tcW w:w="289" w:type="pct"/>
            <w:tcBorders>
              <w:top w:val="nil"/>
              <w:left w:val="nil"/>
              <w:bottom w:val="single" w:sz="4" w:space="0" w:color="auto"/>
              <w:right w:val="single" w:sz="4" w:space="0" w:color="auto"/>
            </w:tcBorders>
            <w:shd w:val="clear" w:color="auto" w:fill="auto"/>
            <w:noWrap/>
            <w:vAlign w:val="center"/>
            <w:hideMark/>
          </w:tcPr>
          <w:p w14:paraId="6126D82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80" w:type="pct"/>
            <w:tcBorders>
              <w:top w:val="nil"/>
              <w:left w:val="nil"/>
              <w:bottom w:val="single" w:sz="4" w:space="0" w:color="auto"/>
              <w:right w:val="single" w:sz="4" w:space="0" w:color="auto"/>
            </w:tcBorders>
            <w:shd w:val="clear" w:color="auto" w:fill="auto"/>
            <w:noWrap/>
            <w:vAlign w:val="center"/>
            <w:hideMark/>
          </w:tcPr>
          <w:p w14:paraId="2A3FCFC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D11C25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5D58F89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39459E3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ED4346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DEBD7C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BC2684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3C283EF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vAlign w:val="center"/>
            <w:hideMark/>
          </w:tcPr>
          <w:p w14:paraId="6F057B2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051673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DF0CAA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99B01D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AA2968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A74C74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vAlign w:val="center"/>
            <w:hideMark/>
          </w:tcPr>
          <w:p w14:paraId="7D0EB94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8E7A12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291D4708" w14:textId="77777777" w:rsidR="00576AA9" w:rsidRPr="00576AA9" w:rsidRDefault="00576AA9" w:rsidP="00B83214">
            <w:pPr>
              <w:spacing w:after="0" w:line="240" w:lineRule="auto"/>
              <w:jc w:val="center"/>
              <w:rPr>
                <w:rFonts w:eastAsia="Times New Roman" w:cstheme="minorHAnsi"/>
                <w:color w:val="000000"/>
                <w:szCs w:val="24"/>
                <w:lang w:eastAsia="pl-PL"/>
              </w:rPr>
            </w:pPr>
          </w:p>
        </w:tc>
      </w:tr>
      <w:tr w:rsidR="00ED14C3" w:rsidRPr="00576AA9" w14:paraId="58D4CB76" w14:textId="77777777" w:rsidTr="00ED14C3">
        <w:trPr>
          <w:trHeight w:val="573"/>
        </w:trPr>
        <w:tc>
          <w:tcPr>
            <w:tcW w:w="642" w:type="pct"/>
            <w:vMerge/>
            <w:tcBorders>
              <w:top w:val="nil"/>
              <w:left w:val="single" w:sz="4" w:space="0" w:color="auto"/>
              <w:bottom w:val="single" w:sz="4" w:space="0" w:color="000000"/>
              <w:right w:val="single" w:sz="4" w:space="0" w:color="auto"/>
            </w:tcBorders>
            <w:vAlign w:val="center"/>
            <w:hideMark/>
          </w:tcPr>
          <w:p w14:paraId="602951F3"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2C39C2E0"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(i)</w:t>
            </w:r>
          </w:p>
        </w:tc>
        <w:tc>
          <w:tcPr>
            <w:tcW w:w="289" w:type="pct"/>
            <w:tcBorders>
              <w:top w:val="nil"/>
              <w:left w:val="nil"/>
              <w:bottom w:val="single" w:sz="4" w:space="0" w:color="auto"/>
              <w:right w:val="single" w:sz="4" w:space="0" w:color="auto"/>
            </w:tcBorders>
            <w:shd w:val="clear" w:color="auto" w:fill="auto"/>
            <w:noWrap/>
            <w:vAlign w:val="center"/>
            <w:hideMark/>
          </w:tcPr>
          <w:p w14:paraId="3EF5DEE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80" w:type="pct"/>
            <w:tcBorders>
              <w:top w:val="nil"/>
              <w:left w:val="nil"/>
              <w:bottom w:val="single" w:sz="4" w:space="0" w:color="auto"/>
              <w:right w:val="single" w:sz="4" w:space="0" w:color="auto"/>
            </w:tcBorders>
            <w:shd w:val="clear" w:color="auto" w:fill="auto"/>
            <w:noWrap/>
            <w:vAlign w:val="center"/>
            <w:hideMark/>
          </w:tcPr>
          <w:p w14:paraId="7975CB8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70D613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17585CB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33E9C67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A7002A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6235DD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5D40DB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23202FE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9" w:type="pct"/>
            <w:tcBorders>
              <w:top w:val="nil"/>
              <w:left w:val="nil"/>
              <w:bottom w:val="single" w:sz="4" w:space="0" w:color="auto"/>
              <w:right w:val="single" w:sz="4" w:space="0" w:color="auto"/>
            </w:tcBorders>
            <w:shd w:val="clear" w:color="auto" w:fill="auto"/>
            <w:noWrap/>
            <w:vAlign w:val="center"/>
            <w:hideMark/>
          </w:tcPr>
          <w:p w14:paraId="24DA90C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FEFFBC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49BD07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89891A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019D27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9AC350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E7A91B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F364E8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216FCB3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708FB9EB" w14:textId="77777777" w:rsidTr="00ED14C3">
        <w:trPr>
          <w:trHeight w:val="573"/>
        </w:trPr>
        <w:tc>
          <w:tcPr>
            <w:tcW w:w="642" w:type="pct"/>
            <w:vMerge/>
            <w:tcBorders>
              <w:top w:val="nil"/>
              <w:left w:val="single" w:sz="4" w:space="0" w:color="auto"/>
              <w:bottom w:val="single" w:sz="4" w:space="0" w:color="000000"/>
              <w:right w:val="single" w:sz="4" w:space="0" w:color="auto"/>
            </w:tcBorders>
            <w:vAlign w:val="center"/>
            <w:hideMark/>
          </w:tcPr>
          <w:p w14:paraId="768E41B5"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4A7BC6C6"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(k)</w:t>
            </w:r>
          </w:p>
        </w:tc>
        <w:tc>
          <w:tcPr>
            <w:tcW w:w="289" w:type="pct"/>
            <w:tcBorders>
              <w:top w:val="nil"/>
              <w:left w:val="nil"/>
              <w:bottom w:val="single" w:sz="4" w:space="0" w:color="auto"/>
              <w:right w:val="single" w:sz="4" w:space="0" w:color="auto"/>
            </w:tcBorders>
            <w:shd w:val="clear" w:color="auto" w:fill="auto"/>
            <w:noWrap/>
            <w:vAlign w:val="center"/>
            <w:hideMark/>
          </w:tcPr>
          <w:p w14:paraId="098563E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80" w:type="pct"/>
            <w:tcBorders>
              <w:top w:val="nil"/>
              <w:left w:val="nil"/>
              <w:bottom w:val="single" w:sz="4" w:space="0" w:color="auto"/>
              <w:right w:val="single" w:sz="4" w:space="0" w:color="auto"/>
            </w:tcBorders>
            <w:shd w:val="clear" w:color="auto" w:fill="auto"/>
            <w:noWrap/>
            <w:vAlign w:val="center"/>
            <w:hideMark/>
          </w:tcPr>
          <w:p w14:paraId="5D55B9A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CC032B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3466FB7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6DC9BB4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F23663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C1545E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72703B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4EC531D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vAlign w:val="center"/>
            <w:hideMark/>
          </w:tcPr>
          <w:p w14:paraId="7E15895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B440F4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D0AE3B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5CFDEC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2A1F0E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9A29BE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vAlign w:val="center"/>
            <w:hideMark/>
          </w:tcPr>
          <w:p w14:paraId="5E433D7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49ABF1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4FA10D8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5BE9E75E" w14:textId="77777777" w:rsidTr="00ED14C3">
        <w:trPr>
          <w:trHeight w:val="573"/>
        </w:trPr>
        <w:tc>
          <w:tcPr>
            <w:tcW w:w="642" w:type="pct"/>
            <w:vMerge/>
            <w:tcBorders>
              <w:top w:val="nil"/>
              <w:left w:val="single" w:sz="4" w:space="0" w:color="auto"/>
              <w:bottom w:val="single" w:sz="4" w:space="0" w:color="000000"/>
              <w:right w:val="single" w:sz="4" w:space="0" w:color="auto"/>
            </w:tcBorders>
            <w:vAlign w:val="center"/>
            <w:hideMark/>
          </w:tcPr>
          <w:p w14:paraId="54DC6514" w14:textId="77777777" w:rsidR="00576AA9" w:rsidRPr="00576AA9" w:rsidRDefault="00576AA9" w:rsidP="00B83214">
            <w:pPr>
              <w:spacing w:after="0" w:line="240" w:lineRule="auto"/>
              <w:rPr>
                <w:rFonts w:eastAsia="Times New Roman" w:cstheme="minorHAnsi"/>
                <w:color w:val="FFFFFF"/>
                <w:szCs w:val="24"/>
                <w:lang w:eastAsia="pl-PL"/>
              </w:rPr>
            </w:pPr>
          </w:p>
        </w:tc>
        <w:tc>
          <w:tcPr>
            <w:tcW w:w="189" w:type="pct"/>
            <w:tcBorders>
              <w:top w:val="nil"/>
              <w:left w:val="nil"/>
              <w:bottom w:val="single" w:sz="4" w:space="0" w:color="auto"/>
              <w:right w:val="single" w:sz="4" w:space="0" w:color="auto"/>
            </w:tcBorders>
            <w:shd w:val="clear" w:color="000000" w:fill="DAEFD3"/>
            <w:vAlign w:val="center"/>
            <w:hideMark/>
          </w:tcPr>
          <w:p w14:paraId="261EA215"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cs (l)</w:t>
            </w:r>
          </w:p>
        </w:tc>
        <w:tc>
          <w:tcPr>
            <w:tcW w:w="289" w:type="pct"/>
            <w:tcBorders>
              <w:top w:val="nil"/>
              <w:left w:val="nil"/>
              <w:bottom w:val="single" w:sz="4" w:space="0" w:color="auto"/>
              <w:right w:val="single" w:sz="4" w:space="0" w:color="auto"/>
            </w:tcBorders>
            <w:shd w:val="clear" w:color="auto" w:fill="auto"/>
            <w:noWrap/>
            <w:vAlign w:val="center"/>
            <w:hideMark/>
          </w:tcPr>
          <w:p w14:paraId="003CD61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80" w:type="pct"/>
            <w:tcBorders>
              <w:top w:val="nil"/>
              <w:left w:val="nil"/>
              <w:bottom w:val="single" w:sz="4" w:space="0" w:color="auto"/>
              <w:right w:val="single" w:sz="4" w:space="0" w:color="auto"/>
            </w:tcBorders>
            <w:shd w:val="clear" w:color="auto" w:fill="auto"/>
            <w:noWrap/>
            <w:vAlign w:val="center"/>
            <w:hideMark/>
          </w:tcPr>
          <w:p w14:paraId="38EE481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850470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2AC1303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0632D3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7CB115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46424F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0EA2D8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12E2920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vAlign w:val="center"/>
            <w:hideMark/>
          </w:tcPr>
          <w:p w14:paraId="1908F08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700710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6FC779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E851DE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3D9AB7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092FD8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vAlign w:val="center"/>
            <w:hideMark/>
          </w:tcPr>
          <w:p w14:paraId="5215A220"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2F97D5E"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584B4D8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ED14C3" w:rsidRPr="00576AA9" w14:paraId="00DDFAE4" w14:textId="77777777" w:rsidTr="00ED14C3">
        <w:trPr>
          <w:trHeight w:val="573"/>
        </w:trPr>
        <w:tc>
          <w:tcPr>
            <w:tcW w:w="642" w:type="pct"/>
            <w:tcBorders>
              <w:top w:val="nil"/>
              <w:left w:val="single" w:sz="4" w:space="0" w:color="auto"/>
              <w:bottom w:val="single" w:sz="4" w:space="0" w:color="auto"/>
              <w:right w:val="single" w:sz="4" w:space="0" w:color="auto"/>
            </w:tcBorders>
            <w:shd w:val="clear" w:color="000000" w:fill="549E39"/>
            <w:vAlign w:val="center"/>
            <w:hideMark/>
          </w:tcPr>
          <w:p w14:paraId="375DEB3F" w14:textId="77777777" w:rsidR="00576AA9" w:rsidRPr="00576AA9" w:rsidRDefault="00576AA9" w:rsidP="00B83214">
            <w:pPr>
              <w:spacing w:after="0" w:line="240" w:lineRule="auto"/>
              <w:rPr>
                <w:rFonts w:eastAsia="Times New Roman" w:cstheme="minorHAnsi"/>
                <w:color w:val="FFFFFF"/>
                <w:szCs w:val="24"/>
                <w:lang w:eastAsia="pl-PL"/>
              </w:rPr>
            </w:pPr>
            <w:r w:rsidRPr="00576AA9">
              <w:rPr>
                <w:rFonts w:eastAsia="Times New Roman" w:cstheme="minorHAnsi"/>
                <w:color w:val="FFFFFF"/>
                <w:szCs w:val="24"/>
                <w:lang w:eastAsia="pl-PL"/>
              </w:rPr>
              <w:t>Priorytet 7. Fundusze Europejskie na rzecz partnerskiego Pomorza Zachodniego</w:t>
            </w:r>
          </w:p>
        </w:tc>
        <w:tc>
          <w:tcPr>
            <w:tcW w:w="189" w:type="pct"/>
            <w:tcBorders>
              <w:top w:val="nil"/>
              <w:left w:val="nil"/>
              <w:bottom w:val="single" w:sz="4" w:space="0" w:color="auto"/>
              <w:right w:val="single" w:sz="4" w:space="0" w:color="auto"/>
            </w:tcBorders>
            <w:shd w:val="clear" w:color="000000" w:fill="DAEFD3"/>
            <w:vAlign w:val="center"/>
            <w:hideMark/>
          </w:tcPr>
          <w:p w14:paraId="2916B185" w14:textId="77777777" w:rsidR="00576AA9" w:rsidRPr="00576AA9" w:rsidRDefault="00576AA9" w:rsidP="00B83214">
            <w:pPr>
              <w:spacing w:after="0" w:line="240" w:lineRule="auto"/>
              <w:rPr>
                <w:rFonts w:eastAsia="Times New Roman" w:cstheme="minorHAnsi"/>
                <w:color w:val="000000"/>
                <w:szCs w:val="24"/>
                <w:lang w:eastAsia="pl-PL"/>
              </w:rPr>
            </w:pPr>
            <w:r w:rsidRPr="00576AA9">
              <w:rPr>
                <w:rFonts w:eastAsia="Times New Roman" w:cstheme="minorHAnsi"/>
                <w:color w:val="000000"/>
                <w:szCs w:val="24"/>
                <w:lang w:eastAsia="pl-PL"/>
              </w:rPr>
              <w:t xml:space="preserve">cs (i) </w:t>
            </w:r>
          </w:p>
        </w:tc>
        <w:tc>
          <w:tcPr>
            <w:tcW w:w="289" w:type="pct"/>
            <w:tcBorders>
              <w:top w:val="nil"/>
              <w:left w:val="nil"/>
              <w:bottom w:val="single" w:sz="4" w:space="0" w:color="auto"/>
              <w:right w:val="single" w:sz="4" w:space="0" w:color="auto"/>
            </w:tcBorders>
            <w:shd w:val="clear" w:color="auto" w:fill="auto"/>
            <w:noWrap/>
            <w:vAlign w:val="center"/>
            <w:hideMark/>
          </w:tcPr>
          <w:p w14:paraId="66A508C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80" w:type="pct"/>
            <w:tcBorders>
              <w:top w:val="nil"/>
              <w:left w:val="nil"/>
              <w:bottom w:val="single" w:sz="4" w:space="0" w:color="auto"/>
              <w:right w:val="single" w:sz="4" w:space="0" w:color="auto"/>
            </w:tcBorders>
            <w:shd w:val="clear" w:color="auto" w:fill="auto"/>
            <w:noWrap/>
            <w:vAlign w:val="center"/>
            <w:hideMark/>
          </w:tcPr>
          <w:p w14:paraId="644F268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4B86715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7FB633E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0BF2DC7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F00CB9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5C907F6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E74A14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4B5D161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9" w:type="pct"/>
            <w:tcBorders>
              <w:top w:val="nil"/>
              <w:left w:val="nil"/>
              <w:bottom w:val="single" w:sz="4" w:space="0" w:color="auto"/>
              <w:right w:val="single" w:sz="4" w:space="0" w:color="auto"/>
            </w:tcBorders>
            <w:shd w:val="clear" w:color="auto" w:fill="auto"/>
            <w:vAlign w:val="center"/>
            <w:hideMark/>
          </w:tcPr>
          <w:p w14:paraId="4D25214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47AB87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1302DFD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051AFD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8D4A80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13FAA7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vAlign w:val="center"/>
            <w:hideMark/>
          </w:tcPr>
          <w:p w14:paraId="627AF2A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1BC4B63"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56" w:type="pct"/>
            <w:tcBorders>
              <w:top w:val="nil"/>
              <w:left w:val="nil"/>
              <w:bottom w:val="single" w:sz="4" w:space="0" w:color="auto"/>
              <w:right w:val="single" w:sz="4" w:space="0" w:color="auto"/>
            </w:tcBorders>
            <w:shd w:val="clear" w:color="auto" w:fill="auto"/>
            <w:noWrap/>
            <w:vAlign w:val="center"/>
            <w:hideMark/>
          </w:tcPr>
          <w:p w14:paraId="4FA4D07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r>
      <w:tr w:rsidR="00576AA9" w:rsidRPr="00576AA9" w14:paraId="4DE40D87" w14:textId="77777777" w:rsidTr="00ED14C3">
        <w:trPr>
          <w:trHeight w:val="256"/>
        </w:trPr>
        <w:tc>
          <w:tcPr>
            <w:tcW w:w="831" w:type="pct"/>
            <w:gridSpan w:val="2"/>
            <w:tcBorders>
              <w:top w:val="nil"/>
              <w:left w:val="single" w:sz="4" w:space="0" w:color="auto"/>
              <w:bottom w:val="single" w:sz="4" w:space="0" w:color="auto"/>
              <w:right w:val="single" w:sz="4" w:space="0" w:color="auto"/>
            </w:tcBorders>
            <w:shd w:val="clear" w:color="000000" w:fill="549E39"/>
            <w:vAlign w:val="center"/>
            <w:hideMark/>
          </w:tcPr>
          <w:p w14:paraId="0305F382" w14:textId="7E0115AF" w:rsidR="00576AA9" w:rsidRPr="00576AA9" w:rsidRDefault="00576AA9" w:rsidP="00B83214">
            <w:pPr>
              <w:spacing w:after="0" w:line="240" w:lineRule="auto"/>
              <w:rPr>
                <w:rFonts w:eastAsia="Times New Roman" w:cstheme="minorHAnsi"/>
                <w:color w:val="FFFFFF"/>
                <w:szCs w:val="24"/>
                <w:lang w:eastAsia="pl-PL"/>
              </w:rPr>
            </w:pPr>
            <w:r w:rsidRPr="00576AA9">
              <w:rPr>
                <w:rFonts w:eastAsia="Times New Roman" w:cstheme="minorHAnsi"/>
                <w:color w:val="FFFFFF"/>
                <w:szCs w:val="24"/>
                <w:lang w:eastAsia="pl-PL"/>
              </w:rPr>
              <w:t>Priorytet 8. Pomoc techniczna (EFRR)</w:t>
            </w:r>
          </w:p>
        </w:tc>
        <w:tc>
          <w:tcPr>
            <w:tcW w:w="289" w:type="pct"/>
            <w:tcBorders>
              <w:top w:val="nil"/>
              <w:left w:val="nil"/>
              <w:bottom w:val="single" w:sz="4" w:space="0" w:color="auto"/>
              <w:right w:val="single" w:sz="4" w:space="0" w:color="auto"/>
            </w:tcBorders>
            <w:shd w:val="clear" w:color="auto" w:fill="auto"/>
            <w:noWrap/>
            <w:vAlign w:val="center"/>
            <w:hideMark/>
          </w:tcPr>
          <w:p w14:paraId="165B79E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80" w:type="pct"/>
            <w:tcBorders>
              <w:top w:val="nil"/>
              <w:left w:val="nil"/>
              <w:bottom w:val="single" w:sz="4" w:space="0" w:color="auto"/>
              <w:right w:val="single" w:sz="4" w:space="0" w:color="auto"/>
            </w:tcBorders>
            <w:shd w:val="clear" w:color="auto" w:fill="auto"/>
            <w:noWrap/>
            <w:vAlign w:val="center"/>
            <w:hideMark/>
          </w:tcPr>
          <w:p w14:paraId="4E6044D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E3D1C1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696B2BC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4F7AEBBF"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9B2EDA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05415C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4D3712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4EA85EB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9" w:type="pct"/>
            <w:tcBorders>
              <w:top w:val="nil"/>
              <w:left w:val="nil"/>
              <w:bottom w:val="single" w:sz="4" w:space="0" w:color="auto"/>
              <w:right w:val="single" w:sz="4" w:space="0" w:color="auto"/>
            </w:tcBorders>
            <w:shd w:val="clear" w:color="auto" w:fill="auto"/>
            <w:noWrap/>
            <w:vAlign w:val="center"/>
            <w:hideMark/>
          </w:tcPr>
          <w:p w14:paraId="2C46C79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26379F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D49F21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8D9002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07E86B15"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A60C8F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6E0A786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2B91A8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323C49B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r w:rsidR="00576AA9" w:rsidRPr="00576AA9" w14:paraId="2CCF27D1" w14:textId="77777777" w:rsidTr="00ED14C3">
        <w:trPr>
          <w:trHeight w:val="573"/>
        </w:trPr>
        <w:tc>
          <w:tcPr>
            <w:tcW w:w="831" w:type="pct"/>
            <w:gridSpan w:val="2"/>
            <w:tcBorders>
              <w:top w:val="nil"/>
              <w:left w:val="single" w:sz="4" w:space="0" w:color="auto"/>
              <w:bottom w:val="single" w:sz="4" w:space="0" w:color="auto"/>
              <w:right w:val="single" w:sz="4" w:space="0" w:color="auto"/>
            </w:tcBorders>
            <w:shd w:val="clear" w:color="000000" w:fill="549E39"/>
            <w:vAlign w:val="center"/>
            <w:hideMark/>
          </w:tcPr>
          <w:p w14:paraId="160BFD36" w14:textId="7CF53E1A" w:rsidR="00576AA9" w:rsidRPr="00576AA9" w:rsidRDefault="00576AA9" w:rsidP="00B83214">
            <w:pPr>
              <w:spacing w:after="0" w:line="240" w:lineRule="auto"/>
              <w:rPr>
                <w:rFonts w:eastAsia="Times New Roman" w:cstheme="minorHAnsi"/>
                <w:color w:val="FFFFFF"/>
                <w:szCs w:val="24"/>
                <w:lang w:eastAsia="pl-PL"/>
              </w:rPr>
            </w:pPr>
            <w:r w:rsidRPr="00576AA9">
              <w:rPr>
                <w:rFonts w:eastAsia="Times New Roman" w:cstheme="minorHAnsi"/>
                <w:color w:val="FFFFFF"/>
                <w:szCs w:val="24"/>
                <w:lang w:eastAsia="pl-PL"/>
              </w:rPr>
              <w:t>Priorytet 9. Pomoc techniczna (EFS+)</w:t>
            </w:r>
          </w:p>
        </w:tc>
        <w:tc>
          <w:tcPr>
            <w:tcW w:w="289" w:type="pct"/>
            <w:tcBorders>
              <w:top w:val="nil"/>
              <w:left w:val="nil"/>
              <w:bottom w:val="single" w:sz="4" w:space="0" w:color="auto"/>
              <w:right w:val="single" w:sz="4" w:space="0" w:color="auto"/>
            </w:tcBorders>
            <w:shd w:val="clear" w:color="auto" w:fill="auto"/>
            <w:noWrap/>
            <w:vAlign w:val="center"/>
            <w:hideMark/>
          </w:tcPr>
          <w:p w14:paraId="64FDB29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80" w:type="pct"/>
            <w:tcBorders>
              <w:top w:val="nil"/>
              <w:left w:val="nil"/>
              <w:bottom w:val="single" w:sz="4" w:space="0" w:color="auto"/>
              <w:right w:val="single" w:sz="4" w:space="0" w:color="auto"/>
            </w:tcBorders>
            <w:shd w:val="clear" w:color="auto" w:fill="auto"/>
            <w:noWrap/>
            <w:vAlign w:val="center"/>
            <w:hideMark/>
          </w:tcPr>
          <w:p w14:paraId="73B950F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76465E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30" w:type="pct"/>
            <w:tcBorders>
              <w:top w:val="nil"/>
              <w:left w:val="nil"/>
              <w:bottom w:val="single" w:sz="4" w:space="0" w:color="auto"/>
              <w:right w:val="single" w:sz="4" w:space="0" w:color="auto"/>
            </w:tcBorders>
            <w:shd w:val="clear" w:color="auto" w:fill="auto"/>
            <w:noWrap/>
            <w:vAlign w:val="center"/>
            <w:hideMark/>
          </w:tcPr>
          <w:p w14:paraId="51A63C1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w:t>
            </w:r>
          </w:p>
        </w:tc>
        <w:tc>
          <w:tcPr>
            <w:tcW w:w="218" w:type="pct"/>
            <w:tcBorders>
              <w:top w:val="nil"/>
              <w:left w:val="nil"/>
              <w:bottom w:val="single" w:sz="4" w:space="0" w:color="auto"/>
              <w:right w:val="single" w:sz="4" w:space="0" w:color="auto"/>
            </w:tcBorders>
            <w:shd w:val="clear" w:color="auto" w:fill="auto"/>
            <w:noWrap/>
            <w:vAlign w:val="center"/>
            <w:hideMark/>
          </w:tcPr>
          <w:p w14:paraId="715C0AC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3167EFC"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1126BC7"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ABD9039"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36" w:type="pct"/>
            <w:tcBorders>
              <w:top w:val="nil"/>
              <w:left w:val="nil"/>
              <w:bottom w:val="single" w:sz="4" w:space="0" w:color="auto"/>
              <w:right w:val="single" w:sz="4" w:space="0" w:color="auto"/>
            </w:tcBorders>
            <w:shd w:val="clear" w:color="auto" w:fill="auto"/>
            <w:noWrap/>
            <w:vAlign w:val="center"/>
            <w:hideMark/>
          </w:tcPr>
          <w:p w14:paraId="5552E03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9" w:type="pct"/>
            <w:tcBorders>
              <w:top w:val="nil"/>
              <w:left w:val="nil"/>
              <w:bottom w:val="single" w:sz="4" w:space="0" w:color="auto"/>
              <w:right w:val="single" w:sz="4" w:space="0" w:color="auto"/>
            </w:tcBorders>
            <w:shd w:val="clear" w:color="auto" w:fill="auto"/>
            <w:noWrap/>
            <w:vAlign w:val="center"/>
            <w:hideMark/>
          </w:tcPr>
          <w:p w14:paraId="67710548"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5E490C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C939C54"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25E1219A"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48D2D7AD"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5BA8F3AB"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7B98CF91"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18" w:type="pct"/>
            <w:tcBorders>
              <w:top w:val="nil"/>
              <w:left w:val="nil"/>
              <w:bottom w:val="single" w:sz="4" w:space="0" w:color="auto"/>
              <w:right w:val="single" w:sz="4" w:space="0" w:color="auto"/>
            </w:tcBorders>
            <w:shd w:val="clear" w:color="auto" w:fill="auto"/>
            <w:noWrap/>
            <w:vAlign w:val="center"/>
            <w:hideMark/>
          </w:tcPr>
          <w:p w14:paraId="305FF5D2"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c>
          <w:tcPr>
            <w:tcW w:w="256" w:type="pct"/>
            <w:tcBorders>
              <w:top w:val="nil"/>
              <w:left w:val="nil"/>
              <w:bottom w:val="single" w:sz="4" w:space="0" w:color="auto"/>
              <w:right w:val="single" w:sz="4" w:space="0" w:color="auto"/>
            </w:tcBorders>
            <w:shd w:val="clear" w:color="auto" w:fill="auto"/>
            <w:noWrap/>
            <w:vAlign w:val="center"/>
            <w:hideMark/>
          </w:tcPr>
          <w:p w14:paraId="6C6654C6" w14:textId="77777777" w:rsidR="00576AA9" w:rsidRPr="00576AA9" w:rsidRDefault="00576AA9" w:rsidP="00B83214">
            <w:pPr>
              <w:spacing w:after="0" w:line="240" w:lineRule="auto"/>
              <w:jc w:val="center"/>
              <w:rPr>
                <w:rFonts w:eastAsia="Times New Roman" w:cstheme="minorHAnsi"/>
                <w:color w:val="000000"/>
                <w:szCs w:val="24"/>
                <w:lang w:eastAsia="pl-PL"/>
              </w:rPr>
            </w:pPr>
            <w:r w:rsidRPr="00576AA9">
              <w:rPr>
                <w:rFonts w:eastAsia="Times New Roman" w:cstheme="minorHAnsi"/>
                <w:color w:val="000000"/>
                <w:szCs w:val="24"/>
                <w:lang w:eastAsia="pl-PL"/>
              </w:rPr>
              <w:t>0</w:t>
            </w:r>
          </w:p>
        </w:tc>
      </w:tr>
    </w:tbl>
    <w:p w14:paraId="22374861" w14:textId="77777777" w:rsidR="00576AA9" w:rsidRPr="00576AA9" w:rsidRDefault="00576AA9" w:rsidP="00576AA9">
      <w:pPr>
        <w:rPr>
          <w:rFonts w:cstheme="minorHAnsi"/>
          <w:szCs w:val="24"/>
        </w:rPr>
      </w:pPr>
    </w:p>
    <w:tbl>
      <w:tblPr>
        <w:tblStyle w:val="Tabelalisty6kolorowaakcent11"/>
        <w:tblW w:w="14601" w:type="dxa"/>
        <w:tblInd w:w="108" w:type="dxa"/>
        <w:tblLook w:val="04A0" w:firstRow="1" w:lastRow="0" w:firstColumn="1" w:lastColumn="0" w:noHBand="0" w:noVBand="1"/>
      </w:tblPr>
      <w:tblGrid>
        <w:gridCol w:w="1932"/>
        <w:gridCol w:w="12669"/>
      </w:tblGrid>
      <w:tr w:rsidR="00576AA9" w:rsidRPr="00576AA9" w14:paraId="775AE67E" w14:textId="77777777" w:rsidTr="00576AA9">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932" w:type="dxa"/>
            <w:hideMark/>
          </w:tcPr>
          <w:p w14:paraId="3DE087B5" w14:textId="77777777" w:rsidR="00576AA9" w:rsidRPr="00576AA9" w:rsidRDefault="00576AA9" w:rsidP="00B83214">
            <w:pPr>
              <w:jc w:val="center"/>
              <w:rPr>
                <w:rFonts w:cstheme="minorHAnsi"/>
                <w:color w:val="000000"/>
                <w:szCs w:val="24"/>
                <w:lang w:eastAsia="en-GB"/>
              </w:rPr>
            </w:pPr>
            <w:r w:rsidRPr="00576AA9">
              <w:rPr>
                <w:rFonts w:cstheme="minorHAnsi"/>
                <w:color w:val="000000"/>
                <w:szCs w:val="24"/>
                <w:lang w:eastAsia="en-GB"/>
              </w:rPr>
              <w:t>+</w:t>
            </w:r>
          </w:p>
        </w:tc>
        <w:tc>
          <w:tcPr>
            <w:tcW w:w="12669" w:type="dxa"/>
            <w:hideMark/>
          </w:tcPr>
          <w:p w14:paraId="69C2F5C1" w14:textId="77777777" w:rsidR="00576AA9" w:rsidRPr="00576AA9" w:rsidRDefault="00576AA9" w:rsidP="00B83214">
            <w:pPr>
              <w:jc w:val="both"/>
              <w:cnfStyle w:val="100000000000" w:firstRow="1" w:lastRow="0" w:firstColumn="0" w:lastColumn="0" w:oddVBand="0" w:evenVBand="0" w:oddHBand="0" w:evenHBand="0" w:firstRowFirstColumn="0" w:firstRowLastColumn="0" w:lastRowFirstColumn="0" w:lastRowLastColumn="0"/>
              <w:rPr>
                <w:rFonts w:cstheme="minorHAnsi"/>
                <w:b w:val="0"/>
                <w:color w:val="000000"/>
                <w:szCs w:val="24"/>
                <w:lang w:eastAsia="en-GB"/>
              </w:rPr>
            </w:pPr>
            <w:r w:rsidRPr="00576AA9">
              <w:rPr>
                <w:rFonts w:cstheme="minorHAnsi"/>
                <w:b w:val="0"/>
                <w:color w:val="000000"/>
                <w:szCs w:val="24"/>
                <w:lang w:eastAsia="en-GB"/>
              </w:rPr>
              <w:t>dominujące oddziaływanie pozytywne</w:t>
            </w:r>
          </w:p>
        </w:tc>
      </w:tr>
      <w:tr w:rsidR="00576AA9" w:rsidRPr="00576AA9" w14:paraId="6E0083AC" w14:textId="77777777" w:rsidTr="00576AA9">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1932" w:type="dxa"/>
            <w:hideMark/>
          </w:tcPr>
          <w:p w14:paraId="754979DD" w14:textId="77777777" w:rsidR="00576AA9" w:rsidRPr="00576AA9" w:rsidRDefault="00576AA9" w:rsidP="00B83214">
            <w:pPr>
              <w:jc w:val="center"/>
              <w:rPr>
                <w:rFonts w:cstheme="minorHAnsi"/>
                <w:color w:val="000000"/>
                <w:szCs w:val="24"/>
                <w:lang w:eastAsia="en-GB"/>
              </w:rPr>
            </w:pPr>
            <w:r w:rsidRPr="00576AA9">
              <w:rPr>
                <w:rFonts w:cstheme="minorHAnsi"/>
                <w:color w:val="000000"/>
                <w:szCs w:val="24"/>
                <w:lang w:eastAsia="en-GB"/>
              </w:rPr>
              <w:t>0</w:t>
            </w:r>
          </w:p>
        </w:tc>
        <w:tc>
          <w:tcPr>
            <w:tcW w:w="12669" w:type="dxa"/>
            <w:hideMark/>
          </w:tcPr>
          <w:p w14:paraId="1ED50A80" w14:textId="77777777" w:rsidR="00576AA9" w:rsidRPr="00576AA9" w:rsidRDefault="00576AA9" w:rsidP="00B83214">
            <w:pPr>
              <w:jc w:val="both"/>
              <w:cnfStyle w:val="000000100000" w:firstRow="0" w:lastRow="0" w:firstColumn="0" w:lastColumn="0" w:oddVBand="0" w:evenVBand="0" w:oddHBand="1" w:evenHBand="0" w:firstRowFirstColumn="0" w:firstRowLastColumn="0" w:lastRowFirstColumn="0" w:lastRowLastColumn="0"/>
              <w:rPr>
                <w:rFonts w:cstheme="minorHAnsi"/>
                <w:color w:val="000000"/>
                <w:szCs w:val="24"/>
                <w:lang w:eastAsia="en-GB"/>
              </w:rPr>
            </w:pPr>
            <w:r w:rsidRPr="00576AA9">
              <w:rPr>
                <w:rFonts w:cstheme="minorHAnsi"/>
                <w:color w:val="000000"/>
                <w:szCs w:val="24"/>
                <w:lang w:eastAsia="en-GB"/>
              </w:rPr>
              <w:t>brak oddziaływania/oddziaływanie neutralne</w:t>
            </w:r>
          </w:p>
        </w:tc>
      </w:tr>
      <w:tr w:rsidR="00576AA9" w:rsidRPr="00576AA9" w14:paraId="552D9E6A" w14:textId="77777777" w:rsidTr="00576AA9">
        <w:trPr>
          <w:trHeight w:val="992"/>
        </w:trPr>
        <w:tc>
          <w:tcPr>
            <w:cnfStyle w:val="001000000000" w:firstRow="0" w:lastRow="0" w:firstColumn="1" w:lastColumn="0" w:oddVBand="0" w:evenVBand="0" w:oddHBand="0" w:evenHBand="0" w:firstRowFirstColumn="0" w:firstRowLastColumn="0" w:lastRowFirstColumn="0" w:lastRowLastColumn="0"/>
            <w:tcW w:w="1932" w:type="dxa"/>
            <w:hideMark/>
          </w:tcPr>
          <w:p w14:paraId="24C86003" w14:textId="77777777" w:rsidR="00576AA9" w:rsidRPr="00576AA9" w:rsidRDefault="00576AA9" w:rsidP="00B83214">
            <w:pPr>
              <w:jc w:val="center"/>
              <w:rPr>
                <w:rFonts w:cstheme="minorHAnsi"/>
                <w:color w:val="000000"/>
                <w:szCs w:val="24"/>
                <w:lang w:eastAsia="en-GB"/>
              </w:rPr>
            </w:pPr>
            <w:r w:rsidRPr="00576AA9">
              <w:rPr>
                <w:rFonts w:cstheme="minorHAnsi"/>
                <w:color w:val="000000"/>
                <w:szCs w:val="24"/>
                <w:lang w:eastAsia="en-GB"/>
              </w:rPr>
              <w:t>+/-</w:t>
            </w:r>
          </w:p>
        </w:tc>
        <w:tc>
          <w:tcPr>
            <w:tcW w:w="12669" w:type="dxa"/>
            <w:hideMark/>
          </w:tcPr>
          <w:p w14:paraId="361816C0" w14:textId="77777777" w:rsidR="00576AA9" w:rsidRPr="00576AA9" w:rsidRDefault="00576AA9" w:rsidP="00B83214">
            <w:pPr>
              <w:jc w:val="both"/>
              <w:cnfStyle w:val="000000000000" w:firstRow="0" w:lastRow="0" w:firstColumn="0" w:lastColumn="0" w:oddVBand="0" w:evenVBand="0" w:oddHBand="0" w:evenHBand="0" w:firstRowFirstColumn="0" w:firstRowLastColumn="0" w:lastRowFirstColumn="0" w:lastRowLastColumn="0"/>
              <w:rPr>
                <w:rFonts w:cstheme="minorHAnsi"/>
                <w:color w:val="000000"/>
                <w:szCs w:val="24"/>
                <w:lang w:eastAsia="en-GB"/>
              </w:rPr>
            </w:pPr>
            <w:r w:rsidRPr="00576AA9">
              <w:rPr>
                <w:rFonts w:cstheme="minorHAnsi"/>
                <w:color w:val="000000"/>
                <w:szCs w:val="24"/>
                <w:lang w:eastAsia="en-GB"/>
              </w:rPr>
              <w:t>realizacja celu może spowodować zarówno pozytywne, jak i negatywne oddziaływania i skutki w zakresie analizowanego zagadnienia. Obydwa rodzaje skutków mogą być znaczące.</w:t>
            </w:r>
          </w:p>
        </w:tc>
      </w:tr>
      <w:tr w:rsidR="00576AA9" w:rsidRPr="00576AA9" w14:paraId="3EEBB9C8" w14:textId="77777777" w:rsidTr="00576A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32" w:type="dxa"/>
            <w:hideMark/>
          </w:tcPr>
          <w:p w14:paraId="52231A1B" w14:textId="77777777" w:rsidR="00576AA9" w:rsidRPr="00576AA9" w:rsidRDefault="00576AA9" w:rsidP="00B83214">
            <w:pPr>
              <w:jc w:val="center"/>
              <w:rPr>
                <w:rFonts w:cstheme="minorHAnsi"/>
                <w:color w:val="000000"/>
                <w:szCs w:val="24"/>
                <w:lang w:eastAsia="en-GB"/>
              </w:rPr>
            </w:pPr>
            <w:r w:rsidRPr="00576AA9">
              <w:rPr>
                <w:rFonts w:cstheme="minorHAnsi"/>
                <w:color w:val="000000"/>
                <w:szCs w:val="24"/>
                <w:lang w:eastAsia="en-GB"/>
              </w:rPr>
              <w:t>-</w:t>
            </w:r>
          </w:p>
        </w:tc>
        <w:tc>
          <w:tcPr>
            <w:tcW w:w="12669" w:type="dxa"/>
            <w:hideMark/>
          </w:tcPr>
          <w:p w14:paraId="27AD503B" w14:textId="77777777" w:rsidR="00576AA9" w:rsidRPr="00576AA9" w:rsidRDefault="00576AA9" w:rsidP="00B83214">
            <w:pPr>
              <w:jc w:val="both"/>
              <w:cnfStyle w:val="000000100000" w:firstRow="0" w:lastRow="0" w:firstColumn="0" w:lastColumn="0" w:oddVBand="0" w:evenVBand="0" w:oddHBand="1" w:evenHBand="0" w:firstRowFirstColumn="0" w:firstRowLastColumn="0" w:lastRowFirstColumn="0" w:lastRowLastColumn="0"/>
              <w:rPr>
                <w:rFonts w:cstheme="minorHAnsi"/>
                <w:color w:val="000000"/>
                <w:szCs w:val="24"/>
                <w:lang w:eastAsia="en-GB"/>
              </w:rPr>
            </w:pPr>
            <w:r w:rsidRPr="00576AA9">
              <w:rPr>
                <w:rFonts w:cstheme="minorHAnsi"/>
                <w:color w:val="000000"/>
                <w:szCs w:val="24"/>
                <w:lang w:eastAsia="en-GB"/>
              </w:rPr>
              <w:t>dominujące oddziaływanie negatywne</w:t>
            </w:r>
          </w:p>
        </w:tc>
      </w:tr>
    </w:tbl>
    <w:p w14:paraId="7442F908" w14:textId="77777777" w:rsidR="00576AA9" w:rsidRPr="00576AA9" w:rsidRDefault="00576AA9" w:rsidP="00576AA9">
      <w:pPr>
        <w:rPr>
          <w:rFonts w:cstheme="minorHAnsi"/>
          <w:szCs w:val="24"/>
        </w:rPr>
      </w:pPr>
    </w:p>
    <w:p w14:paraId="1C6A4FF8" w14:textId="23FAD31F" w:rsidR="00786CBD" w:rsidRDefault="00786CBD" w:rsidP="00786CBD">
      <w:pPr>
        <w:spacing w:after="0" w:line="240" w:lineRule="auto"/>
        <w:rPr>
          <w:bCs/>
          <w:smallCaps/>
          <w:szCs w:val="22"/>
        </w:rPr>
      </w:pPr>
    </w:p>
    <w:p w14:paraId="68821145" w14:textId="60DD6911" w:rsidR="00786CBD" w:rsidRDefault="00786CBD" w:rsidP="00786CBD">
      <w:pPr>
        <w:spacing w:after="0" w:line="240" w:lineRule="auto"/>
        <w:rPr>
          <w:bCs/>
          <w:smallCaps/>
          <w:szCs w:val="22"/>
        </w:rPr>
      </w:pPr>
    </w:p>
    <w:p w14:paraId="2914ABAF" w14:textId="77777777" w:rsidR="00786CBD" w:rsidRPr="00786CBD" w:rsidRDefault="00786CBD" w:rsidP="00786CBD">
      <w:pPr>
        <w:spacing w:after="0" w:line="240" w:lineRule="auto"/>
        <w:rPr>
          <w:bCs/>
          <w:smallCaps/>
          <w:szCs w:val="22"/>
        </w:rPr>
      </w:pPr>
    </w:p>
    <w:p w14:paraId="2CB67E6E" w14:textId="667F226F" w:rsidR="00644D4B" w:rsidRPr="0091280D" w:rsidRDefault="00644D4B" w:rsidP="00B90E51">
      <w:pPr>
        <w:rPr>
          <w:szCs w:val="22"/>
        </w:rPr>
      </w:pPr>
    </w:p>
    <w:p w14:paraId="1AEAAAE5" w14:textId="77777777" w:rsidR="00D4052B" w:rsidRPr="0091280D" w:rsidRDefault="00D4052B">
      <w:pPr>
        <w:rPr>
          <w:szCs w:val="22"/>
        </w:rPr>
      </w:pPr>
    </w:p>
    <w:sectPr w:rsidR="00D4052B" w:rsidRPr="0091280D" w:rsidSect="00057B9A">
      <w:pgSz w:w="16839" w:h="11907" w:orient="landscape" w:code="9"/>
      <w:pgMar w:top="1417" w:right="1417" w:bottom="1417" w:left="1417" w:header="708" w:footer="708" w:gutter="0"/>
      <w:pgNumType w:fmt="lowerRoman"/>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6012F1" w14:textId="77777777" w:rsidR="00900058" w:rsidRDefault="00900058" w:rsidP="009D668D">
      <w:pPr>
        <w:spacing w:before="0" w:after="0" w:line="240" w:lineRule="auto"/>
      </w:pPr>
      <w:r>
        <w:separator/>
      </w:r>
    </w:p>
  </w:endnote>
  <w:endnote w:type="continuationSeparator" w:id="0">
    <w:p w14:paraId="713F36E5" w14:textId="77777777" w:rsidR="00900058" w:rsidRDefault="00900058" w:rsidP="009D668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UnicodeMS">
    <w:altName w:val="MS Mincho"/>
    <w:panose1 w:val="00000000000000000000"/>
    <w:charset w:val="80"/>
    <w:family w:val="auto"/>
    <w:notTrueType/>
    <w:pitch w:val="default"/>
    <w:sig w:usb0="00000005" w:usb1="08070000" w:usb2="00000010" w:usb3="00000000" w:csb0="0002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A9162" w14:textId="1FF6CF09" w:rsidR="00D41923" w:rsidRDefault="00D41923">
    <w:pPr>
      <w:pStyle w:val="Stopka"/>
      <w:jc w:val="right"/>
    </w:pPr>
  </w:p>
  <w:p w14:paraId="68C330EF" w14:textId="77777777" w:rsidR="00D41923" w:rsidRDefault="00D41923">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CAD4CF" w14:textId="77777777" w:rsidR="00D41923" w:rsidRDefault="00D41923">
    <w:pPr>
      <w:pStyle w:val="Stopka"/>
      <w:jc w:val="right"/>
    </w:pPr>
  </w:p>
  <w:p w14:paraId="1252CD2A" w14:textId="77777777" w:rsidR="00D41923" w:rsidRDefault="00D41923">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3673475"/>
      <w:docPartObj>
        <w:docPartGallery w:val="Page Numbers (Bottom of Page)"/>
        <w:docPartUnique/>
      </w:docPartObj>
    </w:sdtPr>
    <w:sdtEndPr/>
    <w:sdtContent>
      <w:p w14:paraId="61B2676C" w14:textId="5B6A1A57" w:rsidR="00D41923" w:rsidRDefault="00D41923">
        <w:pPr>
          <w:pStyle w:val="Stopka"/>
          <w:jc w:val="right"/>
        </w:pPr>
        <w:r>
          <w:fldChar w:fldCharType="begin"/>
        </w:r>
        <w:r>
          <w:instrText>PAGE   \* MERGEFORMAT</w:instrText>
        </w:r>
        <w:r>
          <w:fldChar w:fldCharType="separate"/>
        </w:r>
        <w:r w:rsidR="002B5007">
          <w:rPr>
            <w:noProof/>
          </w:rPr>
          <w:t>149</w:t>
        </w:r>
        <w:r>
          <w:fldChar w:fldCharType="end"/>
        </w:r>
      </w:p>
    </w:sdtContent>
  </w:sdt>
  <w:p w14:paraId="143675F3" w14:textId="77777777" w:rsidR="00D41923" w:rsidRDefault="00D41923">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F1EE50" w14:textId="5F23900C" w:rsidR="00D41923" w:rsidRDefault="00D41923">
    <w:pPr>
      <w:pStyle w:val="Stopka"/>
      <w:jc w:val="right"/>
    </w:pPr>
    <w:r>
      <w:fldChar w:fldCharType="begin"/>
    </w:r>
    <w:r>
      <w:instrText>PAGE   \* MERGEFORMAT</w:instrText>
    </w:r>
    <w:r>
      <w:fldChar w:fldCharType="separate"/>
    </w:r>
    <w:r w:rsidR="002B5007">
      <w:rPr>
        <w:noProof/>
      </w:rPr>
      <w:t>i</w:t>
    </w:r>
    <w:r>
      <w:fldChar w:fldCharType="end"/>
    </w:r>
  </w:p>
  <w:p w14:paraId="65944FB4" w14:textId="77777777" w:rsidR="00D41923" w:rsidRDefault="00D41923">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7128993"/>
      <w:docPartObj>
        <w:docPartGallery w:val="Page Numbers (Bottom of Page)"/>
        <w:docPartUnique/>
      </w:docPartObj>
    </w:sdtPr>
    <w:sdtEndPr/>
    <w:sdtContent>
      <w:p w14:paraId="7FF4ADF2" w14:textId="7DDEB543" w:rsidR="00D41923" w:rsidRDefault="00D41923">
        <w:pPr>
          <w:pStyle w:val="Stopka"/>
          <w:jc w:val="right"/>
        </w:pPr>
        <w:r>
          <w:fldChar w:fldCharType="begin"/>
        </w:r>
        <w:r>
          <w:instrText>PAGE   \* MERGEFORMAT</w:instrText>
        </w:r>
        <w:r>
          <w:fldChar w:fldCharType="separate"/>
        </w:r>
        <w:r w:rsidR="002B5007">
          <w:rPr>
            <w:noProof/>
          </w:rPr>
          <w:t>xl</w:t>
        </w:r>
        <w:r>
          <w:fldChar w:fldCharType="end"/>
        </w:r>
      </w:p>
    </w:sdtContent>
  </w:sdt>
  <w:p w14:paraId="68C220C9" w14:textId="77777777" w:rsidR="00D41923" w:rsidRDefault="00D4192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7A64DF" w14:textId="77777777" w:rsidR="00900058" w:rsidRDefault="00900058" w:rsidP="009D668D">
      <w:pPr>
        <w:spacing w:before="0" w:after="0" w:line="240" w:lineRule="auto"/>
      </w:pPr>
      <w:r>
        <w:separator/>
      </w:r>
    </w:p>
  </w:footnote>
  <w:footnote w:type="continuationSeparator" w:id="0">
    <w:p w14:paraId="70365BBC" w14:textId="77777777" w:rsidR="00900058" w:rsidRDefault="00900058" w:rsidP="009D668D">
      <w:pPr>
        <w:spacing w:before="0" w:after="0" w:line="240" w:lineRule="auto"/>
      </w:pPr>
      <w:r>
        <w:continuationSeparator/>
      </w:r>
    </w:p>
  </w:footnote>
  <w:footnote w:id="1">
    <w:p w14:paraId="125FA923" w14:textId="0EEF58B6" w:rsidR="00D41923" w:rsidRDefault="00D41923">
      <w:pPr>
        <w:pStyle w:val="Tekstprzypisudolnego"/>
      </w:pPr>
      <w:r>
        <w:rPr>
          <w:rStyle w:val="Odwoanieprzypisudolnego"/>
        </w:rPr>
        <w:footnoteRef/>
      </w:r>
      <w:r>
        <w:t xml:space="preserve"> </w:t>
      </w:r>
      <w:r w:rsidRPr="004251AB">
        <w:t>Tekst jednolity Dz.U. 2021 poz. 247</w:t>
      </w:r>
    </w:p>
  </w:footnote>
  <w:footnote w:id="2">
    <w:p w14:paraId="1146457E" w14:textId="1232F408" w:rsidR="00D41923" w:rsidRDefault="00D41923">
      <w:pPr>
        <w:pStyle w:val="Tekstprzypisudolnego"/>
      </w:pPr>
      <w:r>
        <w:rPr>
          <w:rStyle w:val="Odwoanieprzypisudolnego"/>
        </w:rPr>
        <w:footnoteRef/>
      </w:r>
      <w:r>
        <w:t xml:space="preserve"> </w:t>
      </w:r>
      <w:r w:rsidRPr="004251AB">
        <w:t>Dziennik Urzędowy Wspólnot Europejskich L197/30 z dn. 21.07.2001r.</w:t>
      </w:r>
    </w:p>
  </w:footnote>
  <w:footnote w:id="3">
    <w:p w14:paraId="0D3A34D6" w14:textId="77777777" w:rsidR="00D41923" w:rsidRPr="002A6C5F" w:rsidRDefault="00D41923" w:rsidP="00FF6C27">
      <w:pPr>
        <w:pStyle w:val="Tekstprzypisudolnego"/>
        <w:rPr>
          <w:szCs w:val="18"/>
        </w:rPr>
      </w:pPr>
      <w:r w:rsidRPr="00444656">
        <w:rPr>
          <w:rStyle w:val="Odwoanieprzypisudolnego"/>
          <w:rFonts w:cstheme="minorHAnsi"/>
          <w:szCs w:val="18"/>
        </w:rPr>
        <w:footnoteRef/>
      </w:r>
      <w:r w:rsidRPr="00444656">
        <w:rPr>
          <w:szCs w:val="18"/>
        </w:rPr>
        <w:t xml:space="preserve"> Zgodnie z art. 51 ust. 2 pkt 1 lit. f oraz art. 74a ust. 3 ustawy z dnia 3 października 2008r. o udostępnianiu informacji o środowisku i jego ochronie, udziale społeczeństwa w ochronie środowiska oraz o ocenach oddziaływania na środowisko (tekst jednolity Dz.U. 2021 poz. 247) kierownik zespołu autorów przedstawia oświadczenie potwierdzające spełnienie wymagań, o których mowa w art. 74a ust. 2.</w:t>
      </w:r>
    </w:p>
  </w:footnote>
  <w:footnote w:id="4">
    <w:p w14:paraId="6BE61755" w14:textId="77777777" w:rsidR="00D41923" w:rsidRPr="00267350" w:rsidRDefault="00D41923" w:rsidP="00B91B08">
      <w:pPr>
        <w:pStyle w:val="Tekstprzypisudolnego"/>
        <w:jc w:val="left"/>
        <w:rPr>
          <w:rFonts w:cstheme="minorHAnsi"/>
          <w:szCs w:val="24"/>
        </w:rPr>
      </w:pPr>
      <w:r w:rsidRPr="00267350">
        <w:rPr>
          <w:rStyle w:val="Odwoanieprzypisudolnego"/>
          <w:rFonts w:cstheme="minorHAnsi"/>
          <w:szCs w:val="24"/>
        </w:rPr>
        <w:footnoteRef/>
      </w:r>
      <w:r w:rsidRPr="00267350">
        <w:rPr>
          <w:rFonts w:cstheme="minorHAnsi"/>
          <w:szCs w:val="24"/>
        </w:rPr>
        <w:t xml:space="preserve"> Zgodnie z załącznikiem I Dyrektywy 2001/42/WE Parlamentu Europejskiego i Rady z dnia 27 czerwca 2001r. w sprawie oceny wpływu niektórych planów i programów na środowisko, rozumiany jest jako „stan środowiska na obszarach objętych potencjalnym znaczącym zagrożeniem”.</w:t>
      </w:r>
    </w:p>
  </w:footnote>
  <w:footnote w:id="5">
    <w:p w14:paraId="751A0053" w14:textId="77777777" w:rsidR="00D41923" w:rsidRPr="00267350" w:rsidRDefault="00D41923" w:rsidP="00B91B08">
      <w:pPr>
        <w:pStyle w:val="Tekstprzypisudolnego"/>
        <w:jc w:val="left"/>
        <w:rPr>
          <w:rFonts w:cstheme="minorHAnsi"/>
          <w:szCs w:val="24"/>
        </w:rPr>
      </w:pPr>
      <w:r w:rsidRPr="00267350">
        <w:rPr>
          <w:rStyle w:val="Odwoanieprzypisudolnego"/>
          <w:rFonts w:cstheme="minorHAnsi"/>
          <w:szCs w:val="24"/>
        </w:rPr>
        <w:footnoteRef/>
      </w:r>
      <w:r w:rsidRPr="00267350">
        <w:rPr>
          <w:rFonts w:cstheme="minorHAnsi"/>
          <w:szCs w:val="24"/>
        </w:rPr>
        <w:t xml:space="preserve"> w szczególności dotyczące obszarów podlegających ochronie na podstawie ustawy z dnia 16 kwietnia 2004r. o ochronie przyrody</w:t>
      </w:r>
    </w:p>
  </w:footnote>
  <w:footnote w:id="6">
    <w:p w14:paraId="66A5B321" w14:textId="77777777" w:rsidR="00D41923" w:rsidRDefault="00D41923" w:rsidP="009F1607">
      <w:pPr>
        <w:pStyle w:val="Tekstprzypisudolnego"/>
        <w:jc w:val="left"/>
      </w:pPr>
      <w:r>
        <w:rPr>
          <w:rStyle w:val="Odwoanieprzypisudolnego"/>
        </w:rPr>
        <w:footnoteRef/>
      </w:r>
      <w:r>
        <w:t xml:space="preserve"> konieczne prace inwentaryzacyjne powinny być wykonywane w okresie umożliwiającym identyfikację występujących na tym terenie gatunków roślin i zwierząt oraz wystarczającym do oceny znaczenia tego obszaru dla bioróżnorodności i chronionych gatunków (za pismem nr WOPN-OS.411.108.2021.MP Regionalnego Dyrektora Ochrony Środowiska w Szczecinie z dn. 15.10.2021 r.)</w:t>
      </w:r>
    </w:p>
  </w:footnote>
  <w:footnote w:id="7">
    <w:p w14:paraId="7DD5F72A" w14:textId="77777777" w:rsidR="00D41923" w:rsidRDefault="00D41923" w:rsidP="009F1607">
      <w:pPr>
        <w:pStyle w:val="Tekstprzypisudolnego"/>
      </w:pPr>
      <w:r>
        <w:rPr>
          <w:rStyle w:val="Odwoanieprzypisudolnego"/>
        </w:rPr>
        <w:footnoteRef/>
      </w:r>
      <w:r>
        <w:t xml:space="preserve"> Zagrożenia dla gatunków i siedlisk przyrodniczych w województwie zachodniopomorskim, zostały zidentyfikowane w dokumentach planistycznych sporządzanych dla poszczególnych form ochrony przyrody (plany i projekty planów ochrony oraz zadań ochronnych dla parków narodowych, plany zadań ochronnych/plany ochrony i ich projekty dla obszarów Natura 2000, plany ochrony dla parków krajobrazowych)</w:t>
      </w:r>
    </w:p>
  </w:footnote>
  <w:footnote w:id="8">
    <w:p w14:paraId="03A2C369" w14:textId="77777777" w:rsidR="00D41923" w:rsidRDefault="00D41923" w:rsidP="009F1607">
      <w:pPr>
        <w:pStyle w:val="Tekstprzypisudolnego"/>
      </w:pPr>
      <w:r>
        <w:rPr>
          <w:rStyle w:val="Odwoanieprzypisudolnego"/>
        </w:rPr>
        <w:footnoteRef/>
      </w:r>
      <w:r>
        <w:t xml:space="preserve"> Zgodnie z zapisami Programu „Wspierane inwestycje nie mogą powodować znaczącego negatywnego wpływu na stan lub potencjał jednolitych części wód ani znaczącego negatywnego wpływu na sieć Natura 2000. Projekty powinny zachować zgodność z dyrektywą siedliskową, dyrektywą w sprawie ochrony dzikiego ptactwa i ramową dyrektywa wodną”</w:t>
      </w:r>
    </w:p>
  </w:footnote>
  <w:footnote w:id="9">
    <w:p w14:paraId="162F57DB" w14:textId="77777777" w:rsidR="00D41923" w:rsidRDefault="00D41923" w:rsidP="009F1607">
      <w:pPr>
        <w:pStyle w:val="Tekstprzypisudolnego"/>
        <w:spacing w:before="120"/>
      </w:pPr>
      <w:r>
        <w:rPr>
          <w:rStyle w:val="Odwoanieprzypisudolnego"/>
        </w:rPr>
        <w:footnoteRef/>
      </w:r>
      <w:r>
        <w:t xml:space="preserve"> będzie możliwa pod warunkiem spełniania odpowiedniej funkcji drogi, w tym wpływ na zrównoważony transport, ułatwienia dla transportu zbiorowego oraz zapewnieniem minimalnej nośności wynikającej z Traktatu Akcesyjnego</w:t>
      </w:r>
    </w:p>
  </w:footnote>
  <w:footnote w:id="10">
    <w:p w14:paraId="314A35B1" w14:textId="77777777" w:rsidR="00D41923" w:rsidRDefault="00D41923" w:rsidP="009F1607">
      <w:pPr>
        <w:pStyle w:val="Tekstprzypisudolnego"/>
      </w:pPr>
      <w:r>
        <w:rPr>
          <w:rStyle w:val="Odwoanieprzypisudolnego"/>
        </w:rPr>
        <w:footnoteRef/>
      </w:r>
      <w:r>
        <w:t xml:space="preserve"> Ustawa z dnia 16 kwietnia 2004 r. o ochronie przyrody (t.j. Dz.U. 2022 poz. 916)</w:t>
      </w:r>
    </w:p>
  </w:footnote>
  <w:footnote w:id="11">
    <w:p w14:paraId="06FA8592" w14:textId="77777777" w:rsidR="00D41923" w:rsidRDefault="00D41923" w:rsidP="009F1607">
      <w:pPr>
        <w:pStyle w:val="Tekstprzypisudolnego"/>
      </w:pPr>
      <w:r>
        <w:rPr>
          <w:rStyle w:val="Odwoanieprzypisudolnego"/>
        </w:rPr>
        <w:footnoteRef/>
      </w:r>
      <w:r>
        <w:t xml:space="preserve"> Rozporządzenie Rady Ministrów z dnia 10 września 2019 r. w sprawie przedsięwzięć mogących znacząco oddziaływać na środowisko Dz.U. 2019 poz. 1839</w:t>
      </w:r>
    </w:p>
  </w:footnote>
  <w:footnote w:id="12">
    <w:p w14:paraId="53E2E357" w14:textId="77777777" w:rsidR="00D41923" w:rsidRDefault="00D41923" w:rsidP="009F1607">
      <w:pPr>
        <w:pStyle w:val="Tekstprzypisudolnego"/>
      </w:pPr>
      <w:r>
        <w:rPr>
          <w:rStyle w:val="Odwoanieprzypisudolnego"/>
          <w:rFonts w:cs="Calibri"/>
        </w:rPr>
        <w:footnoteRef/>
      </w:r>
      <w:r>
        <w:t xml:space="preserve"> Ustawa z dnia 27 kwietnia 2001 r. Prawo ochrony środowiska (Dz.U. 2021 poz. 1973)</w:t>
      </w:r>
    </w:p>
  </w:footnote>
  <w:footnote w:id="13">
    <w:p w14:paraId="42386E60" w14:textId="77777777" w:rsidR="00D41923" w:rsidRDefault="00D41923" w:rsidP="009F1607">
      <w:pPr>
        <w:pStyle w:val="Tekstprzypisudolnego"/>
        <w:spacing w:before="120"/>
        <w:rPr>
          <w:szCs w:val="18"/>
        </w:rPr>
      </w:pPr>
      <w:r>
        <w:rPr>
          <w:rStyle w:val="Odwoanieprzypisudolnego"/>
        </w:rPr>
        <w:footnoteRef/>
      </w:r>
      <w:r>
        <w:rPr>
          <w:szCs w:val="18"/>
        </w:rPr>
        <w:t xml:space="preserve"> R. T. Kurek, R. Ślusarczyk (2014) Górne przejścia dla zwierząt w Polsce – wspólny sukces drogowców i przyrodników. Budownictwo i Architektura 13(1), 167-180</w:t>
      </w:r>
    </w:p>
  </w:footnote>
  <w:footnote w:id="14">
    <w:p w14:paraId="09EF36B0" w14:textId="77777777" w:rsidR="00D41923" w:rsidRDefault="00D41923" w:rsidP="009F1607">
      <w:pPr>
        <w:pStyle w:val="Tekstprzypisudolnego"/>
      </w:pPr>
      <w:r>
        <w:rPr>
          <w:rStyle w:val="Odwoanieprzypisudolnego"/>
        </w:rPr>
        <w:footnoteRef/>
      </w:r>
      <w:r>
        <w:t xml:space="preserve"> Zgodnie z zapisem projektu Programu „Wszystkie nowo budowane obiekty muszą spełniać normy dla budynków pasywnych”</w:t>
      </w:r>
    </w:p>
  </w:footnote>
  <w:footnote w:id="15">
    <w:p w14:paraId="3911C14C" w14:textId="77777777" w:rsidR="00D41923" w:rsidRDefault="00D41923" w:rsidP="009F1607">
      <w:pPr>
        <w:pStyle w:val="Tekstprzypisudolnego"/>
      </w:pPr>
      <w:r>
        <w:rPr>
          <w:rStyle w:val="Odwoanieprzypisudolnego"/>
        </w:rPr>
        <w:footnoteRef/>
      </w:r>
      <w:r>
        <w:t xml:space="preserve"> </w:t>
      </w:r>
      <w:r>
        <w:rPr>
          <w:szCs w:val="24"/>
        </w:rPr>
        <w:t>W ramach Priorytetu 7 zgodnie z zapisem Programu „Wszystkie nowo budowane obiekty muszą spełniać normy dla budynków pasywnych”</w:t>
      </w:r>
    </w:p>
  </w:footnote>
  <w:footnote w:id="16">
    <w:p w14:paraId="793165C2" w14:textId="77777777" w:rsidR="00D41923" w:rsidRDefault="00D41923" w:rsidP="009F1607">
      <w:pPr>
        <w:pStyle w:val="Tekstprzypisudolnego"/>
        <w:spacing w:before="60"/>
      </w:pPr>
      <w:r>
        <w:rPr>
          <w:rStyle w:val="Odwoanieprzypisudolnego"/>
        </w:rPr>
        <w:footnoteRef/>
      </w:r>
      <w:r>
        <w:t xml:space="preserve"> Rozporządzenie Rady Ministrów z dnia 10 września 2019 r. w sprawie przedsięwzięć mogących znacząco oddziaływać na środowisko Dz.U. 2019 poz. 1839</w:t>
      </w:r>
    </w:p>
  </w:footnote>
  <w:footnote w:id="17">
    <w:p w14:paraId="7719CBEB" w14:textId="77777777" w:rsidR="00D41923" w:rsidRDefault="00D41923" w:rsidP="009F1607">
      <w:pPr>
        <w:pStyle w:val="Tekstprzypisudolnego"/>
      </w:pPr>
      <w:r>
        <w:rPr>
          <w:rStyle w:val="Odwoanieprzypisudolnego"/>
        </w:rPr>
        <w:footnoteRef/>
      </w:r>
      <w:r>
        <w:t xml:space="preserve"> Ustawa z dnia 16 kwietnia 2004 r. o ochronie przyrody (t.j. </w:t>
      </w:r>
      <w:r w:rsidRPr="00291FE0">
        <w:t>Dz.U. 2022 poz. 916</w:t>
      </w:r>
      <w:r>
        <w:t>)</w:t>
      </w:r>
    </w:p>
  </w:footnote>
  <w:footnote w:id="18">
    <w:p w14:paraId="259D0669" w14:textId="77777777" w:rsidR="00D41923" w:rsidRDefault="00D41923" w:rsidP="009F1607">
      <w:pPr>
        <w:pStyle w:val="Tekstprzypisudolnego"/>
        <w:rPr>
          <w:szCs w:val="24"/>
        </w:rPr>
      </w:pPr>
      <w:r>
        <w:rPr>
          <w:rStyle w:val="Odwoanieprzypisudolnego"/>
          <w:szCs w:val="24"/>
        </w:rPr>
        <w:footnoteRef/>
      </w:r>
      <w:r>
        <w:rPr>
          <w:szCs w:val="24"/>
        </w:rPr>
        <w:t xml:space="preserve"> </w:t>
      </w:r>
      <w:r w:rsidRPr="008B0005">
        <w:rPr>
          <w:szCs w:val="24"/>
        </w:rPr>
        <w:t>Program ochrony środowiska województwa zachodniopomorskiego 2030, 2021</w:t>
      </w:r>
    </w:p>
  </w:footnote>
  <w:footnote w:id="19">
    <w:p w14:paraId="140BBE11" w14:textId="77777777" w:rsidR="00D41923" w:rsidRDefault="00D41923" w:rsidP="009F1607">
      <w:pPr>
        <w:pStyle w:val="Tekstprzypisudolnego"/>
        <w:rPr>
          <w:szCs w:val="24"/>
        </w:rPr>
      </w:pPr>
      <w:r>
        <w:rPr>
          <w:rStyle w:val="Odwoanieprzypisudolnego"/>
          <w:szCs w:val="24"/>
        </w:rPr>
        <w:footnoteRef/>
      </w:r>
      <w:r>
        <w:rPr>
          <w:szCs w:val="24"/>
        </w:rPr>
        <w:t xml:space="preserve"> https://www.gov.pl/web/rdos-szczecin/plany-zadan-ochronnych; (dostęp z dn.: 13.05.2022)</w:t>
      </w:r>
    </w:p>
  </w:footnote>
  <w:footnote w:id="20">
    <w:p w14:paraId="21875670" w14:textId="64A5459C" w:rsidR="00D41923" w:rsidRDefault="00D41923" w:rsidP="009F1607">
      <w:pPr>
        <w:pStyle w:val="Tekstprzypisudolnego"/>
      </w:pPr>
      <w:r>
        <w:rPr>
          <w:rStyle w:val="Odwoanieprzypisudolnego"/>
          <w:szCs w:val="24"/>
        </w:rPr>
        <w:footnoteRef/>
      </w:r>
      <w:r>
        <w:rPr>
          <w:szCs w:val="24"/>
        </w:rPr>
        <w:t xml:space="preserve"> https://www.gov.pl/web/rdos-szczecin/tymczasowe-cele-ochrony; (dostęp z dn.: 13.05.2022)</w:t>
      </w:r>
    </w:p>
  </w:footnote>
  <w:footnote w:id="21">
    <w:p w14:paraId="600BCC5F" w14:textId="77777777" w:rsidR="00D41923" w:rsidRDefault="00D41923" w:rsidP="009F1607">
      <w:pPr>
        <w:pStyle w:val="Tekstprzypisudolnego"/>
        <w:jc w:val="left"/>
      </w:pPr>
      <w:r>
        <w:rPr>
          <w:rStyle w:val="Odwoanieprzypisudolnego"/>
        </w:rPr>
        <w:footnoteRef/>
      </w:r>
      <w:r>
        <w:t xml:space="preserve"> Zgodnie z </w:t>
      </w:r>
      <w:r w:rsidRPr="00717787">
        <w:t>Strategią Rozwoju Województwa Zachodniopomorskiego</w:t>
      </w:r>
      <w:r>
        <w:t xml:space="preserve">: Specjalna Strefa Włączenia (SSW) obejmuje obszar na terenie województwa, w którym występuje szczególnie niekorzystna sytuacja społeczno-gospodarcza. Do jej wyznaczenia przyjęto zestaw sześciu mierników syntetycznych wyznaczonych dla poszczególnych obszarów problemowych (dostępność do usług publicznych, demografia, infrastruktura techniczna, problemy miejscowości popegeerowskich, potencjał gospodarczy, ubóstwo). Wyznaczanie SSW ma na celu zaprogramowania odpowiednich instrumentów interwencji odnoszącej się do obszarów problemowych o najbardziej niekorzystnych warunkach rozwojowych. </w:t>
      </w:r>
      <w:r w:rsidRPr="00717787">
        <w:t>Strategią Rozwoju Województwa Zachodniopomorskiego</w:t>
      </w:r>
      <w:r>
        <w:t>.</w:t>
      </w:r>
    </w:p>
  </w:footnote>
  <w:footnote w:id="22">
    <w:p w14:paraId="3FAC2F81" w14:textId="77777777" w:rsidR="00D41923" w:rsidRPr="00267350" w:rsidRDefault="00D41923" w:rsidP="009F1607">
      <w:pPr>
        <w:pStyle w:val="Tekstprzypisudolnego"/>
        <w:jc w:val="left"/>
        <w:rPr>
          <w:rFonts w:cstheme="minorHAnsi"/>
          <w:szCs w:val="24"/>
        </w:rPr>
      </w:pPr>
      <w:r w:rsidRPr="00AA0EAA">
        <w:rPr>
          <w:rStyle w:val="Odwoanieprzypisudolnego"/>
          <w:rFonts w:cstheme="minorHAnsi"/>
          <w:szCs w:val="24"/>
        </w:rPr>
        <w:footnoteRef/>
      </w:r>
      <w:r w:rsidRPr="00267350">
        <w:rPr>
          <w:rFonts w:cstheme="minorHAnsi"/>
          <w:szCs w:val="24"/>
        </w:rPr>
        <w:t xml:space="preserve"> </w:t>
      </w:r>
      <w:r w:rsidRPr="007D023E">
        <w:t>Działania organów administracji publicznej w zakresie usuwania historycznych zanieczyszczeń powierzchni ziemi, informacja i wynikach kontroli, KSI.430.004.2018 (nr ewid. 2/2019/P/18/047/KSI), NIK</w:t>
      </w:r>
    </w:p>
  </w:footnote>
  <w:footnote w:id="23">
    <w:p w14:paraId="4BA73D48" w14:textId="77777777" w:rsidR="00D41923" w:rsidRPr="00267350" w:rsidRDefault="00D41923" w:rsidP="009F1607">
      <w:pPr>
        <w:pStyle w:val="Tekstprzypisudolnego"/>
        <w:jc w:val="left"/>
        <w:rPr>
          <w:rFonts w:cstheme="minorHAnsi"/>
          <w:szCs w:val="24"/>
        </w:rPr>
      </w:pPr>
      <w:r w:rsidRPr="00AA0EAA">
        <w:rPr>
          <w:rStyle w:val="Odwoanieprzypisudolnego"/>
          <w:rFonts w:cstheme="minorHAnsi"/>
          <w:szCs w:val="18"/>
        </w:rPr>
        <w:footnoteRef/>
      </w:r>
      <w:r w:rsidRPr="00AA0EAA">
        <w:rPr>
          <w:rFonts w:cstheme="minorHAnsi"/>
          <w:szCs w:val="18"/>
        </w:rPr>
        <w:t xml:space="preserve"> </w:t>
      </w:r>
      <w:r w:rsidRPr="007D023E">
        <w:t>Rozporządzenie Rady Ministrów z dnia 10 września 2019r. w sprawie przedsięwzięć mogących znacząco oddziaływać na środowisko (Dz.U. 2019 poz. 1839)</w:t>
      </w:r>
    </w:p>
  </w:footnote>
  <w:footnote w:id="24">
    <w:p w14:paraId="69E6CFB1" w14:textId="77777777" w:rsidR="00D41923" w:rsidRPr="00267350" w:rsidRDefault="00D41923" w:rsidP="009F1607">
      <w:pPr>
        <w:pStyle w:val="Tekstprzypisudolnego"/>
        <w:spacing w:before="120"/>
        <w:jc w:val="left"/>
        <w:rPr>
          <w:rFonts w:cstheme="minorHAnsi"/>
          <w:szCs w:val="24"/>
        </w:rPr>
      </w:pPr>
      <w:r w:rsidRPr="009C77FD">
        <w:rPr>
          <w:rStyle w:val="Odwoanieprzypisudolnego"/>
          <w:rFonts w:cstheme="minorHAnsi"/>
          <w:szCs w:val="24"/>
        </w:rPr>
        <w:footnoteRef/>
      </w:r>
      <w:r w:rsidRPr="009C77FD">
        <w:rPr>
          <w:rFonts w:cstheme="minorHAnsi"/>
          <w:szCs w:val="24"/>
        </w:rPr>
        <w:t xml:space="preserve"> </w:t>
      </w:r>
      <w:r w:rsidRPr="009C77FD">
        <w:rPr>
          <w:rFonts w:cstheme="minorHAnsi"/>
          <w:szCs w:val="18"/>
        </w:rPr>
        <w:t>Rozporządzenie Rady Ministrów z dnia 10 września 2019r. w sprawie przedsięwzięć mogących znacząco oddziaływać na środowisko (Dz.U. 2019 poz. 1839)</w:t>
      </w:r>
    </w:p>
  </w:footnote>
  <w:footnote w:id="25">
    <w:p w14:paraId="56BA9FA7" w14:textId="77777777" w:rsidR="00D41923" w:rsidRPr="009C77FD" w:rsidRDefault="00D41923" w:rsidP="009F1607">
      <w:pPr>
        <w:pStyle w:val="Tekstprzypisudolnego"/>
        <w:spacing w:before="120" w:line="360" w:lineRule="auto"/>
        <w:jc w:val="left"/>
        <w:rPr>
          <w:rFonts w:cstheme="minorHAnsi"/>
          <w:sz w:val="20"/>
          <w:szCs w:val="18"/>
        </w:rPr>
      </w:pPr>
      <w:r w:rsidRPr="009C77FD">
        <w:rPr>
          <w:rStyle w:val="Odwoanieprzypisudolnego"/>
          <w:rFonts w:cstheme="minorHAnsi"/>
          <w:szCs w:val="18"/>
        </w:rPr>
        <w:footnoteRef/>
      </w:r>
      <w:r w:rsidRPr="009C77FD">
        <w:rPr>
          <w:rFonts w:cstheme="minorHAnsi"/>
          <w:szCs w:val="18"/>
        </w:rPr>
        <w:t xml:space="preserve"> http://drzewa.org.pl/standardy/; dostęp z dn. 10.05.2022</w:t>
      </w:r>
    </w:p>
  </w:footnote>
  <w:footnote w:id="26">
    <w:p w14:paraId="508BA827" w14:textId="77777777" w:rsidR="00D41923" w:rsidRPr="00477B9C" w:rsidRDefault="00D41923" w:rsidP="009F1607">
      <w:pPr>
        <w:pStyle w:val="Tekstprzypisudolnego"/>
        <w:jc w:val="left"/>
        <w:rPr>
          <w:rFonts w:cstheme="minorHAnsi"/>
          <w:szCs w:val="24"/>
        </w:rPr>
      </w:pPr>
      <w:r w:rsidRPr="00477B9C">
        <w:rPr>
          <w:rStyle w:val="Odwoanieprzypisudolnego"/>
          <w:rFonts w:cstheme="minorHAnsi"/>
          <w:szCs w:val="24"/>
        </w:rPr>
        <w:footnoteRef/>
      </w:r>
      <w:r w:rsidRPr="00477B9C">
        <w:rPr>
          <w:rFonts w:cstheme="minorHAnsi"/>
          <w:szCs w:val="24"/>
        </w:rPr>
        <w:t xml:space="preserve"> http://klimada.mos.gov.pl/ [dostęp:</w:t>
      </w:r>
      <w:r>
        <w:rPr>
          <w:rFonts w:cstheme="minorHAnsi"/>
          <w:szCs w:val="24"/>
        </w:rPr>
        <w:t>05.05.2022</w:t>
      </w:r>
      <w:r w:rsidRPr="00477B9C">
        <w:rPr>
          <w:rFonts w:cstheme="minorHAnsi"/>
          <w:szCs w:val="24"/>
        </w:rPr>
        <w:t>].</w:t>
      </w:r>
    </w:p>
  </w:footnote>
  <w:footnote w:id="27">
    <w:p w14:paraId="18BEBBE2" w14:textId="77777777" w:rsidR="00D41923" w:rsidRPr="00477B9C" w:rsidRDefault="00D41923" w:rsidP="009F1607">
      <w:pPr>
        <w:pStyle w:val="Tekstprzypisudolnego"/>
        <w:jc w:val="left"/>
        <w:rPr>
          <w:rFonts w:cstheme="minorHAnsi"/>
          <w:szCs w:val="24"/>
        </w:rPr>
      </w:pPr>
      <w:r w:rsidRPr="00477B9C">
        <w:rPr>
          <w:rStyle w:val="Odwoanieprzypisudolnego"/>
          <w:rFonts w:cstheme="minorHAnsi"/>
          <w:szCs w:val="24"/>
        </w:rPr>
        <w:footnoteRef/>
      </w:r>
      <w:r w:rsidRPr="00477B9C">
        <w:rPr>
          <w:rFonts w:cstheme="minorHAnsi"/>
          <w:szCs w:val="24"/>
        </w:rPr>
        <w:t xml:space="preserve"> https://ec.europa.eu/environment/eia/sea-support.htm [dostęp: </w:t>
      </w:r>
      <w:r>
        <w:rPr>
          <w:rFonts w:cstheme="minorHAnsi"/>
          <w:szCs w:val="24"/>
        </w:rPr>
        <w:t>05.05.2022</w:t>
      </w:r>
      <w:r w:rsidRPr="00477B9C">
        <w:rPr>
          <w:rFonts w:cstheme="minorHAnsi"/>
          <w:szCs w:val="24"/>
        </w:rPr>
        <w:t>].</w:t>
      </w:r>
    </w:p>
  </w:footnote>
  <w:footnote w:id="28">
    <w:p w14:paraId="683A8D2A" w14:textId="77777777" w:rsidR="00D41923" w:rsidRPr="00477B9C" w:rsidRDefault="00D41923" w:rsidP="009F1607">
      <w:pPr>
        <w:pStyle w:val="Tekstprzypisudolnego"/>
        <w:jc w:val="left"/>
        <w:rPr>
          <w:rFonts w:cstheme="minorHAnsi"/>
          <w:szCs w:val="24"/>
        </w:rPr>
      </w:pPr>
      <w:r w:rsidRPr="00477B9C">
        <w:rPr>
          <w:rStyle w:val="Odwoanieprzypisudolnego"/>
          <w:rFonts w:cstheme="minorHAnsi"/>
          <w:szCs w:val="24"/>
        </w:rPr>
        <w:footnoteRef/>
      </w:r>
      <w:r w:rsidRPr="00477B9C">
        <w:rPr>
          <w:rFonts w:cstheme="minorHAnsi"/>
          <w:szCs w:val="24"/>
        </w:rPr>
        <w:t xml:space="preserve"> http://klimada.mos.gov.pl/ [dostęp: </w:t>
      </w:r>
      <w:r>
        <w:rPr>
          <w:rFonts w:cstheme="minorHAnsi"/>
          <w:szCs w:val="24"/>
        </w:rPr>
        <w:t>05.05.2022</w:t>
      </w:r>
      <w:r w:rsidRPr="00477B9C">
        <w:rPr>
          <w:rFonts w:cstheme="minorHAnsi"/>
          <w:szCs w:val="24"/>
        </w:rPr>
        <w:t>].</w:t>
      </w:r>
    </w:p>
  </w:footnote>
  <w:footnote w:id="29">
    <w:p w14:paraId="294669B6" w14:textId="77777777" w:rsidR="00D41923" w:rsidRPr="00477B9C" w:rsidRDefault="00D41923" w:rsidP="009F1607">
      <w:pPr>
        <w:pStyle w:val="Tekstprzypisudolnego"/>
        <w:jc w:val="left"/>
        <w:rPr>
          <w:rFonts w:cstheme="minorHAnsi"/>
          <w:szCs w:val="24"/>
        </w:rPr>
      </w:pPr>
      <w:r w:rsidRPr="00477B9C">
        <w:rPr>
          <w:rStyle w:val="Odwoanieprzypisudolnego"/>
          <w:rFonts w:cstheme="minorHAnsi"/>
          <w:szCs w:val="24"/>
        </w:rPr>
        <w:footnoteRef/>
      </w:r>
      <w:r w:rsidRPr="00477B9C">
        <w:rPr>
          <w:rFonts w:cstheme="minorHAnsi"/>
          <w:szCs w:val="24"/>
        </w:rPr>
        <w:t xml:space="preserve"> https://ec.europa.eu/environment/eia/sea-support.htm [dostęp: </w:t>
      </w:r>
      <w:r>
        <w:rPr>
          <w:rFonts w:cstheme="minorHAnsi"/>
          <w:szCs w:val="24"/>
        </w:rPr>
        <w:t>05.05.2022</w:t>
      </w:r>
    </w:p>
  </w:footnote>
  <w:footnote w:id="30">
    <w:p w14:paraId="0D5242B6" w14:textId="77777777" w:rsidR="00D41923" w:rsidRPr="005323B9" w:rsidRDefault="00D41923" w:rsidP="009F1607">
      <w:pPr>
        <w:pStyle w:val="Tekstprzypisudolnego"/>
        <w:jc w:val="left"/>
        <w:rPr>
          <w:rFonts w:cstheme="minorHAnsi"/>
          <w:szCs w:val="24"/>
        </w:rPr>
      </w:pPr>
      <w:r w:rsidRPr="00477B9C">
        <w:rPr>
          <w:rStyle w:val="Odwoanieprzypisudolnego"/>
          <w:rFonts w:cstheme="minorHAnsi"/>
          <w:szCs w:val="24"/>
        </w:rPr>
        <w:footnoteRef/>
      </w:r>
      <w:r w:rsidRPr="00477B9C">
        <w:rPr>
          <w:rFonts w:cstheme="minorHAnsi"/>
          <w:szCs w:val="24"/>
        </w:rPr>
        <w:t xml:space="preserve"> Dyrektywa Parlamentu Europejskiego</w:t>
      </w:r>
      <w:r>
        <w:rPr>
          <w:rFonts w:cstheme="minorHAnsi"/>
          <w:szCs w:val="24"/>
        </w:rPr>
        <w:t xml:space="preserve"> </w:t>
      </w:r>
      <w:r w:rsidRPr="00477B9C">
        <w:rPr>
          <w:rFonts w:cstheme="minorHAnsi"/>
          <w:szCs w:val="24"/>
        </w:rPr>
        <w:t>i</w:t>
      </w:r>
      <w:r>
        <w:rPr>
          <w:rFonts w:cstheme="minorHAnsi"/>
          <w:szCs w:val="24"/>
        </w:rPr>
        <w:t xml:space="preserve"> </w:t>
      </w:r>
      <w:r w:rsidRPr="00477B9C">
        <w:rPr>
          <w:rFonts w:cstheme="minorHAnsi"/>
          <w:szCs w:val="24"/>
        </w:rPr>
        <w:t>Rady 2011/92/UE</w:t>
      </w:r>
      <w:r>
        <w:rPr>
          <w:rFonts w:cstheme="minorHAnsi"/>
          <w:szCs w:val="24"/>
        </w:rPr>
        <w:t xml:space="preserve"> </w:t>
      </w:r>
      <w:r w:rsidRPr="00477B9C">
        <w:rPr>
          <w:rFonts w:cstheme="minorHAnsi"/>
          <w:szCs w:val="24"/>
        </w:rPr>
        <w:t>z</w:t>
      </w:r>
      <w:r>
        <w:rPr>
          <w:rFonts w:cstheme="minorHAnsi"/>
          <w:szCs w:val="24"/>
        </w:rPr>
        <w:t xml:space="preserve"> </w:t>
      </w:r>
      <w:r w:rsidRPr="00477B9C">
        <w:rPr>
          <w:rFonts w:cstheme="minorHAnsi"/>
          <w:szCs w:val="24"/>
        </w:rPr>
        <w:t>dnia 13 grudnia 2011 r.</w:t>
      </w:r>
      <w:r>
        <w:rPr>
          <w:rFonts w:cstheme="minorHAnsi"/>
          <w:szCs w:val="24"/>
        </w:rPr>
        <w:t xml:space="preserve"> </w:t>
      </w:r>
      <w:r w:rsidRPr="00477B9C">
        <w:rPr>
          <w:rFonts w:cstheme="minorHAnsi"/>
          <w:szCs w:val="24"/>
        </w:rPr>
        <w:t>w</w:t>
      </w:r>
      <w:r>
        <w:rPr>
          <w:rFonts w:cstheme="minorHAnsi"/>
          <w:szCs w:val="24"/>
        </w:rPr>
        <w:t xml:space="preserve"> </w:t>
      </w:r>
      <w:r w:rsidRPr="00477B9C">
        <w:rPr>
          <w:rFonts w:cstheme="minorHAnsi"/>
          <w:szCs w:val="24"/>
        </w:rPr>
        <w:t>sprawie oceny skutków wywieranych przez niektóre przedsięwzięcia publiczne</w:t>
      </w:r>
      <w:r>
        <w:rPr>
          <w:rFonts w:cstheme="minorHAnsi"/>
          <w:szCs w:val="24"/>
        </w:rPr>
        <w:t xml:space="preserve"> </w:t>
      </w:r>
      <w:r w:rsidRPr="00477B9C">
        <w:rPr>
          <w:rFonts w:cstheme="minorHAnsi"/>
          <w:szCs w:val="24"/>
        </w:rPr>
        <w:t>i</w:t>
      </w:r>
      <w:r>
        <w:rPr>
          <w:rFonts w:cstheme="minorHAnsi"/>
          <w:szCs w:val="24"/>
        </w:rPr>
        <w:t xml:space="preserve"> </w:t>
      </w:r>
      <w:r w:rsidRPr="00477B9C">
        <w:rPr>
          <w:rFonts w:cstheme="minorHAnsi"/>
          <w:szCs w:val="24"/>
        </w:rPr>
        <w:t>prywatne na środowisko, Dz. Urz. UE L 26</w:t>
      </w:r>
      <w:r>
        <w:rPr>
          <w:rFonts w:cstheme="minorHAnsi"/>
          <w:szCs w:val="24"/>
        </w:rPr>
        <w:t xml:space="preserve"> </w:t>
      </w:r>
      <w:r w:rsidRPr="00477B9C">
        <w:rPr>
          <w:rFonts w:cstheme="minorHAnsi"/>
          <w:szCs w:val="24"/>
        </w:rPr>
        <w:t>z</w:t>
      </w:r>
      <w:r>
        <w:rPr>
          <w:rFonts w:cstheme="minorHAnsi"/>
          <w:szCs w:val="24"/>
        </w:rPr>
        <w:t xml:space="preserve"> </w:t>
      </w:r>
      <w:r w:rsidRPr="00477B9C">
        <w:rPr>
          <w:rFonts w:cstheme="minorHAnsi"/>
          <w:szCs w:val="24"/>
        </w:rPr>
        <w:t>28.1.2012.</w:t>
      </w:r>
    </w:p>
  </w:footnote>
  <w:footnote w:id="31">
    <w:p w14:paraId="27D6008F" w14:textId="77777777" w:rsidR="00D41923" w:rsidRPr="00477B9C" w:rsidRDefault="00D41923" w:rsidP="009F1607">
      <w:pPr>
        <w:pStyle w:val="Tekstprzypisudolnego"/>
        <w:jc w:val="left"/>
        <w:rPr>
          <w:rFonts w:cstheme="minorHAnsi"/>
          <w:szCs w:val="24"/>
        </w:rPr>
      </w:pPr>
      <w:r w:rsidRPr="00477B9C">
        <w:rPr>
          <w:rStyle w:val="Odwoanieprzypisudolnego"/>
          <w:rFonts w:cstheme="minorHAnsi"/>
          <w:szCs w:val="24"/>
        </w:rPr>
        <w:footnoteRef/>
      </w:r>
      <w:r w:rsidRPr="00477B9C">
        <w:rPr>
          <w:rFonts w:cstheme="minorHAnsi"/>
          <w:szCs w:val="24"/>
        </w:rPr>
        <w:t xml:space="preserve"> Poradnik dotyczący włączania problematyki zmian klimatu</w:t>
      </w:r>
      <w:r>
        <w:rPr>
          <w:rFonts w:cstheme="minorHAnsi"/>
          <w:szCs w:val="24"/>
        </w:rPr>
        <w:t xml:space="preserve"> i r</w:t>
      </w:r>
      <w:r w:rsidRPr="00477B9C">
        <w:rPr>
          <w:rFonts w:cstheme="minorHAnsi"/>
          <w:szCs w:val="24"/>
        </w:rPr>
        <w:t xml:space="preserve">óżnorodności biologicznej do oceny oddziaływania na środowisko; https://op.europa.eu/en/publication-detail/-/publication/3ed0e578-7f24-4073-81c9-f279c6d4b3cf/language-en [dostęp: </w:t>
      </w:r>
      <w:r>
        <w:rPr>
          <w:rFonts w:cstheme="minorHAnsi"/>
          <w:szCs w:val="24"/>
        </w:rPr>
        <w:t>03.3.2022</w:t>
      </w:r>
      <w:r w:rsidRPr="00477B9C">
        <w:rPr>
          <w:rFonts w:cstheme="minorHAnsi"/>
          <w:szCs w:val="24"/>
        </w:rPr>
        <w:t>].</w:t>
      </w:r>
    </w:p>
  </w:footnote>
  <w:footnote w:id="32">
    <w:p w14:paraId="57E02984" w14:textId="77777777" w:rsidR="00D41923" w:rsidRPr="00B03479" w:rsidRDefault="00D41923" w:rsidP="009F1607">
      <w:pPr>
        <w:pStyle w:val="Tekstprzypisudolnego"/>
        <w:spacing w:before="120"/>
        <w:rPr>
          <w:rFonts w:cstheme="minorHAnsi"/>
          <w:szCs w:val="18"/>
        </w:rPr>
      </w:pPr>
      <w:r w:rsidRPr="00B03479">
        <w:rPr>
          <w:rStyle w:val="Odwoanieprzypisudolnego"/>
          <w:rFonts w:cstheme="minorHAnsi"/>
          <w:szCs w:val="18"/>
        </w:rPr>
        <w:footnoteRef/>
      </w:r>
      <w:r w:rsidRPr="00B03479">
        <w:rPr>
          <w:rFonts w:cstheme="minorHAnsi"/>
          <w:szCs w:val="18"/>
        </w:rPr>
        <w:t xml:space="preserve"> J. Kurpanek, A. Skowrońska. Analiza warunków rozwoju technologii środowiskowych w Polsce, Wyd. Ekonomia i</w:t>
      </w:r>
      <w:r>
        <w:rPr>
          <w:rFonts w:cstheme="minorHAnsi"/>
          <w:szCs w:val="18"/>
        </w:rPr>
        <w:t xml:space="preserve"> </w:t>
      </w:r>
      <w:r w:rsidRPr="00B03479">
        <w:rPr>
          <w:rFonts w:cstheme="minorHAnsi"/>
          <w:szCs w:val="18"/>
        </w:rPr>
        <w:t>Środowisko, Katowice-Białystok 2006</w:t>
      </w:r>
    </w:p>
  </w:footnote>
  <w:footnote w:id="33">
    <w:p w14:paraId="04BF1993" w14:textId="791A5413" w:rsidR="00D41923" w:rsidRDefault="00D41923" w:rsidP="005322A4">
      <w:pPr>
        <w:pStyle w:val="Tekstprzypisudolnego"/>
      </w:pPr>
      <w:r>
        <w:rPr>
          <w:rStyle w:val="Odwoanieprzypisudolnego"/>
        </w:rPr>
        <w:footnoteRef/>
      </w:r>
      <w:r>
        <w:t xml:space="preserve"> </w:t>
      </w:r>
      <w:r w:rsidRPr="00E82168">
        <w:t>https://www.gov.pl/web/gospodarkamorska/strategia-ue-dla-regionu-morza-baltyckiego</w:t>
      </w:r>
      <w:r>
        <w:t xml:space="preserve"> [dostęp: 19.05.2022]</w:t>
      </w:r>
    </w:p>
  </w:footnote>
  <w:footnote w:id="34">
    <w:p w14:paraId="65D10E71" w14:textId="77777777" w:rsidR="00D41923" w:rsidRPr="00967FC7" w:rsidRDefault="00D41923" w:rsidP="00C64385">
      <w:pPr>
        <w:pStyle w:val="Tekstprzypisudolnego"/>
        <w:jc w:val="left"/>
        <w:rPr>
          <w:rFonts w:cstheme="minorHAnsi"/>
          <w:szCs w:val="18"/>
        </w:rPr>
      </w:pPr>
      <w:r w:rsidRPr="00967FC7">
        <w:rPr>
          <w:rFonts w:cstheme="minorHAnsi"/>
          <w:szCs w:val="18"/>
          <w:vertAlign w:val="superscript"/>
        </w:rPr>
        <w:footnoteRef/>
      </w:r>
      <w:r w:rsidRPr="00967FC7">
        <w:rPr>
          <w:rFonts w:cstheme="minorHAnsi"/>
          <w:szCs w:val="18"/>
          <w:vertAlign w:val="superscript"/>
        </w:rPr>
        <w:t xml:space="preserve"> </w:t>
      </w:r>
      <w:r w:rsidRPr="00967FC7">
        <w:rPr>
          <w:rFonts w:cstheme="minorHAnsi"/>
          <w:szCs w:val="18"/>
        </w:rPr>
        <w:t>Ogólne wytyczne w zakresie oceny oddziaływań skumulowanych zostały przygotowane przez DG Środowisko (Hyder Consulting 1999)</w:t>
      </w:r>
    </w:p>
  </w:footnote>
  <w:footnote w:id="35">
    <w:p w14:paraId="2023EBB4" w14:textId="77777777" w:rsidR="00D41923" w:rsidRDefault="00D41923" w:rsidP="00C64385">
      <w:pPr>
        <w:pStyle w:val="Tekstprzypisudolnego"/>
        <w:jc w:val="left"/>
        <w:rPr>
          <w:rFonts w:cstheme="minorHAnsi"/>
          <w:szCs w:val="24"/>
        </w:rPr>
      </w:pPr>
      <w:r w:rsidRPr="00967FC7">
        <w:rPr>
          <w:rFonts w:cstheme="minorHAnsi"/>
          <w:szCs w:val="18"/>
          <w:vertAlign w:val="superscript"/>
        </w:rPr>
        <w:footnoteRef/>
      </w:r>
      <w:r w:rsidRPr="00967FC7">
        <w:rPr>
          <w:rFonts w:cstheme="minorHAnsi"/>
          <w:szCs w:val="18"/>
          <w:vertAlign w:val="superscript"/>
        </w:rPr>
        <w:t xml:space="preserve"> </w:t>
      </w:r>
      <w:r w:rsidRPr="00967FC7">
        <w:rPr>
          <w:rFonts w:cstheme="minorHAnsi"/>
          <w:szCs w:val="18"/>
        </w:rPr>
        <w:t>Ocena planów i przedsięwzięć znacząco oddziałujących na obszary Natura 2000. Wytyczne metodyczne dotyczące przepisów Artykułu 6(3) i (4) Dyrektywy Siedliskowej 92/43/EWG Komisja Europejska, DG Środowisko, 2005; https://ec.europa.eu/environment/nature/natura2000/management/docs/art6/natura_2000_assess_pl.pdf; (dostęp z dn.: 17.05.2022)</w:t>
      </w:r>
    </w:p>
  </w:footnote>
  <w:footnote w:id="36">
    <w:p w14:paraId="1D162C63" w14:textId="77777777" w:rsidR="00D41923" w:rsidRPr="00967FC7" w:rsidRDefault="00D41923" w:rsidP="00C64385">
      <w:pPr>
        <w:pStyle w:val="Tekstprzypisudolnego"/>
        <w:spacing w:before="120"/>
        <w:jc w:val="left"/>
        <w:rPr>
          <w:rFonts w:cstheme="minorHAnsi"/>
          <w:szCs w:val="18"/>
        </w:rPr>
      </w:pPr>
      <w:r w:rsidRPr="00967FC7">
        <w:rPr>
          <w:rStyle w:val="Odwoanieprzypisudolnego"/>
          <w:rFonts w:cstheme="minorHAnsi"/>
          <w:szCs w:val="18"/>
        </w:rPr>
        <w:footnoteRef/>
      </w:r>
      <w:r w:rsidRPr="00967FC7">
        <w:rPr>
          <w:rFonts w:cstheme="minorHAnsi"/>
          <w:szCs w:val="18"/>
        </w:rPr>
        <w:t xml:space="preserve"> Generalna Dyrekcja Dróg Krajowych I Autostrad, Szczegółowe wymagania do dokumentacji P-50.00, Opracowania środowiskowe, Bydgoszcz, 2016</w:t>
      </w:r>
    </w:p>
  </w:footnote>
  <w:footnote w:id="37">
    <w:p w14:paraId="16E848BB" w14:textId="77777777" w:rsidR="00D41923" w:rsidRPr="00B51CE8" w:rsidRDefault="00D41923" w:rsidP="00C64385">
      <w:pPr>
        <w:pStyle w:val="Tekstprzypisudolnego"/>
        <w:rPr>
          <w:szCs w:val="24"/>
        </w:rPr>
      </w:pPr>
      <w:r w:rsidRPr="00967FC7">
        <w:rPr>
          <w:rStyle w:val="Odwoanieprzypisudolnego"/>
          <w:szCs w:val="18"/>
        </w:rPr>
        <w:footnoteRef/>
      </w:r>
      <w:r w:rsidRPr="00967FC7">
        <w:rPr>
          <w:szCs w:val="18"/>
        </w:rPr>
        <w:t>https://ec.europa.eu/environment/nature/natura2000/management/docs/art6/natura_2000_assess_pl.pdf (dostęp z dn.: 17.05.2022)</w:t>
      </w:r>
    </w:p>
  </w:footnote>
  <w:footnote w:id="38">
    <w:p w14:paraId="683ADF02" w14:textId="77777777" w:rsidR="00D41923" w:rsidRPr="00967FC7" w:rsidRDefault="00D41923" w:rsidP="00C64385">
      <w:pPr>
        <w:pStyle w:val="Tekstprzypisudolnego"/>
        <w:rPr>
          <w:szCs w:val="18"/>
        </w:rPr>
      </w:pPr>
      <w:r w:rsidRPr="00967FC7">
        <w:rPr>
          <w:rStyle w:val="Odwoanieprzypisudolnego"/>
          <w:szCs w:val="18"/>
        </w:rPr>
        <w:footnoteRef/>
      </w:r>
      <w:r w:rsidRPr="00967FC7">
        <w:rPr>
          <w:szCs w:val="18"/>
        </w:rPr>
        <w:t xml:space="preserve"> Ustawa z dnia 27 kwietnia 2001 r. Prawo ochrony środowiska (t.j. Dz.U. 2021 poz. 1973)</w:t>
      </w:r>
    </w:p>
  </w:footnote>
  <w:footnote w:id="39">
    <w:p w14:paraId="358A4EF5" w14:textId="77777777" w:rsidR="00D41923" w:rsidRPr="00967FC7" w:rsidRDefault="00D41923" w:rsidP="00C64385">
      <w:pPr>
        <w:pStyle w:val="Tekstprzypisudolnego"/>
        <w:jc w:val="left"/>
        <w:rPr>
          <w:rFonts w:cstheme="minorHAnsi"/>
          <w:szCs w:val="18"/>
        </w:rPr>
      </w:pPr>
      <w:r w:rsidRPr="00967FC7">
        <w:rPr>
          <w:rStyle w:val="Odwoanieprzypisudolnego"/>
          <w:rFonts w:cstheme="minorHAnsi"/>
          <w:szCs w:val="18"/>
        </w:rPr>
        <w:footnoteRef/>
      </w:r>
      <w:r w:rsidRPr="00967FC7">
        <w:rPr>
          <w:rFonts w:cstheme="minorHAnsi"/>
          <w:szCs w:val="18"/>
        </w:rPr>
        <w:t>https://ec.europa.eu/environment/nature/natura2000/management/docs/art6/provision_of_art6_pl.pdf (dostęp z dn.: 17.05.2022)</w:t>
      </w:r>
    </w:p>
  </w:footnote>
  <w:footnote w:id="40">
    <w:p w14:paraId="1603D0D1" w14:textId="77777777" w:rsidR="00D41923" w:rsidRDefault="00D41923" w:rsidP="00C64385">
      <w:pPr>
        <w:pStyle w:val="Tekstprzypisudolnego"/>
        <w:jc w:val="left"/>
        <w:rPr>
          <w:rFonts w:cstheme="minorHAnsi"/>
          <w:szCs w:val="24"/>
        </w:rPr>
      </w:pPr>
      <w:r w:rsidRPr="00967FC7">
        <w:rPr>
          <w:rStyle w:val="Odwoanieprzypisudolnego"/>
          <w:rFonts w:cstheme="minorHAnsi"/>
          <w:szCs w:val="18"/>
        </w:rPr>
        <w:footnoteRef/>
      </w:r>
      <w:r w:rsidRPr="00967FC7">
        <w:rPr>
          <w:rFonts w:cstheme="minorHAnsi"/>
          <w:szCs w:val="18"/>
        </w:rPr>
        <w:t xml:space="preserve"> Ibidem</w:t>
      </w:r>
    </w:p>
  </w:footnote>
  <w:footnote w:id="41">
    <w:p w14:paraId="375E3CD0" w14:textId="77777777" w:rsidR="00D41923" w:rsidRPr="00267350" w:rsidRDefault="00D41923" w:rsidP="009E0BD8">
      <w:pPr>
        <w:pStyle w:val="Tekstprzypisudolnego"/>
        <w:spacing w:line="360" w:lineRule="auto"/>
        <w:jc w:val="left"/>
        <w:rPr>
          <w:rFonts w:cstheme="minorHAnsi"/>
          <w:szCs w:val="24"/>
        </w:rPr>
      </w:pPr>
      <w:r w:rsidRPr="00267350">
        <w:rPr>
          <w:rStyle w:val="Odwoanieprzypisudolnego"/>
          <w:rFonts w:cstheme="minorHAnsi"/>
          <w:szCs w:val="24"/>
        </w:rPr>
        <w:footnoteRef/>
      </w:r>
      <w:r w:rsidRPr="00267350">
        <w:rPr>
          <w:rFonts w:cstheme="minorHAnsi"/>
          <w:szCs w:val="24"/>
        </w:rPr>
        <w:t xml:space="preserve"> Rozporządzenie Parlamentu Europejskiego i Rady (UE) 2020/852 z dnia 18 czerwca 2020 r. w sprawie ustanowienia ram ułatwiających zrównoważone inwestycje, zmieniające rozporządzenie (UE) 2019/2088 (Tekst mający znaczenie dla EOG)</w:t>
      </w:r>
    </w:p>
  </w:footnote>
  <w:footnote w:id="42">
    <w:p w14:paraId="3477BD64" w14:textId="77777777" w:rsidR="00D41923" w:rsidRDefault="00D41923" w:rsidP="00B83214">
      <w:pPr>
        <w:pStyle w:val="Tekstprzypisudolnego"/>
      </w:pPr>
      <w:r>
        <w:rPr>
          <w:rStyle w:val="Odwoanieprzypisudolnego"/>
        </w:rPr>
        <w:footnoteRef/>
      </w:r>
      <w:r>
        <w:t xml:space="preserve"> Rocznik Statystyczny Leśnictwa, </w:t>
      </w:r>
      <w:r w:rsidRPr="007E3454">
        <w:t>Główny Urząd Statystyczny</w:t>
      </w:r>
      <w:r>
        <w:t>, 2021</w:t>
      </w:r>
    </w:p>
  </w:footnote>
  <w:footnote w:id="43">
    <w:p w14:paraId="70A97413" w14:textId="77777777" w:rsidR="00D41923" w:rsidRDefault="00D41923" w:rsidP="00B83214">
      <w:pPr>
        <w:pStyle w:val="Tekstprzypisudolnego"/>
        <w:jc w:val="left"/>
      </w:pPr>
      <w:r>
        <w:rPr>
          <w:rStyle w:val="Odwoanieprzypisudolnego"/>
        </w:rPr>
        <w:footnoteRef/>
      </w:r>
      <w:r>
        <w:t xml:space="preserve"> Leśny kompleks promocyjny to obszar funkcjonalny o znaczeniu ekologicznym, edukacyjnym i społecznym, powołany w celu promocji trwale zrównoważonej gospodarki leśnej oraz ochrony zasobów przyrody w lasach.</w:t>
      </w:r>
    </w:p>
  </w:footnote>
  <w:footnote w:id="44">
    <w:p w14:paraId="2FD6F96F" w14:textId="77777777" w:rsidR="00D41923" w:rsidRPr="005A4ED3" w:rsidRDefault="00D41923" w:rsidP="00B83214">
      <w:pPr>
        <w:pStyle w:val="Tekstprzypisudolnego"/>
        <w:jc w:val="left"/>
      </w:pPr>
      <w:r>
        <w:rPr>
          <w:rStyle w:val="Odwoanieprzypisudolnego"/>
        </w:rPr>
        <w:footnoteRef/>
      </w:r>
      <w:r w:rsidRPr="005A4ED3">
        <w:t xml:space="preserve"> </w:t>
      </w:r>
      <w:r>
        <w:t xml:space="preserve">Raport o stanie lasów w Polsce 2020. Państwowe Gospodarstwo Leśne Lasy Państwowe, Warszawa 2021; </w:t>
      </w:r>
      <w:hyperlink r:id="rId1" w:history="1">
        <w:r w:rsidRPr="00BA14D9">
          <w:rPr>
            <w:rStyle w:val="Hipercze"/>
          </w:rPr>
          <w:t>https://www.lasy.gov.pl/pl/informacje/publikacje/informacje-statystyczne-i-raporty/raport-o-stanie-lasow/raport-o-lasach-2020.pdf/@@download/file/raport_o_stanie_lasow_w_Polsce_2020_NET.pdf</w:t>
        </w:r>
      </w:hyperlink>
      <w:r>
        <w:t>; (dostęp z dn.: 05.05.2022)</w:t>
      </w:r>
    </w:p>
  </w:footnote>
  <w:footnote w:id="45">
    <w:p w14:paraId="652BECD1" w14:textId="77777777" w:rsidR="00D41923" w:rsidRDefault="00D41923" w:rsidP="00B83214">
      <w:pPr>
        <w:pStyle w:val="Tekstprzypisudolnego"/>
        <w:jc w:val="left"/>
      </w:pPr>
      <w:r>
        <w:rPr>
          <w:rStyle w:val="Odwoanieprzypisudolnego"/>
        </w:rPr>
        <w:footnoteRef/>
      </w:r>
      <w:r>
        <w:t xml:space="preserve"> Plan Zagospodarowania Przestrzennego Województwa Zachodniopomorskiego. Tom I Uwarunkowania kształtowania polityki przestrzennej województwa, Szczecin, 2020</w:t>
      </w:r>
    </w:p>
  </w:footnote>
  <w:footnote w:id="46">
    <w:p w14:paraId="6128F16E" w14:textId="77777777" w:rsidR="00D41923" w:rsidRDefault="00D41923" w:rsidP="00B83214">
      <w:pPr>
        <w:pStyle w:val="Tekstprzypisudolnego"/>
        <w:jc w:val="left"/>
      </w:pPr>
      <w:r>
        <w:rPr>
          <w:rStyle w:val="Odwoanieprzypisudolnego"/>
        </w:rPr>
        <w:footnoteRef/>
      </w:r>
      <w:r>
        <w:t xml:space="preserve"> </w:t>
      </w:r>
      <w:r w:rsidRPr="005A4ED3">
        <w:t>Program ochrony środowiska województwa zachodniopomorskiego 2030</w:t>
      </w:r>
      <w:r>
        <w:t xml:space="preserve">, 2021 </w:t>
      </w:r>
    </w:p>
  </w:footnote>
  <w:footnote w:id="47">
    <w:p w14:paraId="7AC2EB30" w14:textId="77777777" w:rsidR="00D41923" w:rsidRDefault="00D41923" w:rsidP="00B83214">
      <w:pPr>
        <w:pStyle w:val="Tekstprzypisudolnego"/>
        <w:jc w:val="left"/>
      </w:pPr>
      <w:r>
        <w:rPr>
          <w:rStyle w:val="Odwoanieprzypisudolnego"/>
        </w:rPr>
        <w:footnoteRef/>
      </w:r>
      <w:r>
        <w:t xml:space="preserve"> Ibidem</w:t>
      </w:r>
    </w:p>
  </w:footnote>
  <w:footnote w:id="48">
    <w:p w14:paraId="22C595A9" w14:textId="77777777" w:rsidR="00D41923" w:rsidRDefault="00D41923" w:rsidP="00B83214">
      <w:pPr>
        <w:pStyle w:val="Tekstprzypisudolnego"/>
        <w:jc w:val="left"/>
      </w:pPr>
      <w:r>
        <w:rPr>
          <w:rStyle w:val="Odwoanieprzypisudolnego"/>
        </w:rPr>
        <w:footnoteRef/>
      </w:r>
      <w:r>
        <w:t xml:space="preserve"> Aktualizacja Opracowania Ekofizjograficznego do Projektu Zmiany Planu Zagospodarowania Przestrzennego Województwa Zachodniopomorskiego, Szczecin, 2018</w:t>
      </w:r>
    </w:p>
  </w:footnote>
  <w:footnote w:id="49">
    <w:p w14:paraId="110B4C97" w14:textId="77777777" w:rsidR="00D41923" w:rsidRPr="002A35C0" w:rsidRDefault="00D41923" w:rsidP="00B83214">
      <w:pPr>
        <w:pStyle w:val="Tekstprzypisudolnego"/>
        <w:jc w:val="left"/>
      </w:pPr>
      <w:r>
        <w:rPr>
          <w:rStyle w:val="Odwoanieprzypisudolnego"/>
        </w:rPr>
        <w:footnoteRef/>
      </w:r>
      <w:r>
        <w:t xml:space="preserve"> </w:t>
      </w:r>
      <w:r w:rsidRPr="002A35C0">
        <w:t>Program ochrony środowiska województwa zachodniopomorskiego 2030, 2021</w:t>
      </w:r>
    </w:p>
  </w:footnote>
  <w:footnote w:id="50">
    <w:p w14:paraId="7985E850" w14:textId="77777777" w:rsidR="00D41923" w:rsidRDefault="00D41923" w:rsidP="00B83214">
      <w:pPr>
        <w:pStyle w:val="Tekstprzypisudolnego"/>
        <w:jc w:val="left"/>
      </w:pPr>
      <w:r>
        <w:rPr>
          <w:rStyle w:val="Odwoanieprzypisudolnego"/>
        </w:rPr>
        <w:footnoteRef/>
      </w:r>
      <w:r>
        <w:t xml:space="preserve"> </w:t>
      </w:r>
      <w:r w:rsidRPr="00D80D84">
        <w:t>Aktualizacja</w:t>
      </w:r>
      <w:r>
        <w:t xml:space="preserve"> Opracowania Ekofizjograficznego do Projektu Zmiany Planu Zagospodarowania Przestrzennego Województwa Zachodniopomorskiego, Szczecin, 2018</w:t>
      </w:r>
    </w:p>
  </w:footnote>
  <w:footnote w:id="51">
    <w:p w14:paraId="212E2C64" w14:textId="77777777" w:rsidR="00D41923" w:rsidRDefault="00D41923" w:rsidP="00B83214">
      <w:pPr>
        <w:pStyle w:val="Tekstprzypisudolnego"/>
        <w:jc w:val="left"/>
      </w:pPr>
      <w:r>
        <w:rPr>
          <w:rStyle w:val="Odwoanieprzypisudolnego"/>
        </w:rPr>
        <w:footnoteRef/>
      </w:r>
      <w:r>
        <w:t xml:space="preserve"> </w:t>
      </w:r>
      <w:hyperlink r:id="rId2" w:history="1">
        <w:r w:rsidRPr="008D2F0E">
          <w:rPr>
            <w:rStyle w:val="Hipercze"/>
          </w:rPr>
          <w:t>http://www.wolinpn.pl/index.php?page=42&amp;artykul=76</w:t>
        </w:r>
      </w:hyperlink>
      <w:r>
        <w:t>; (dostęp z dn.: 05.05.2022)</w:t>
      </w:r>
    </w:p>
  </w:footnote>
  <w:footnote w:id="52">
    <w:p w14:paraId="0369BE64" w14:textId="77777777" w:rsidR="00D41923" w:rsidRDefault="00D41923" w:rsidP="00B83214">
      <w:pPr>
        <w:pStyle w:val="Tekstprzypisudolnego"/>
        <w:jc w:val="left"/>
      </w:pPr>
      <w:r>
        <w:rPr>
          <w:rStyle w:val="Odwoanieprzypisudolnego"/>
        </w:rPr>
        <w:footnoteRef/>
      </w:r>
      <w:r>
        <w:t xml:space="preserve"> </w:t>
      </w:r>
      <w:r w:rsidRPr="00DF0FA9">
        <w:t>Aktualizacja Opracowania Ekofizjograficznego do Projektu Zmiany Planu Zagospodarowania Przestrzennego Województwa Zachodniopomorskiego, Szczecin, 2018</w:t>
      </w:r>
    </w:p>
  </w:footnote>
  <w:footnote w:id="53">
    <w:p w14:paraId="0AB9AF70" w14:textId="77777777" w:rsidR="00D41923" w:rsidRDefault="00D41923" w:rsidP="00B83214">
      <w:pPr>
        <w:pStyle w:val="Tekstprzypisudolnego"/>
        <w:jc w:val="left"/>
      </w:pPr>
      <w:r>
        <w:rPr>
          <w:rStyle w:val="Odwoanieprzypisudolnego"/>
        </w:rPr>
        <w:footnoteRef/>
      </w:r>
      <w:r>
        <w:t xml:space="preserve"> </w:t>
      </w:r>
      <w:r w:rsidRPr="002A35C0">
        <w:t>Ustawa z dnia 16 kwietnia 2004r. o ochronie przyrody (t.j. Dz.U. 2021 poz. 1098 ze zm.)</w:t>
      </w:r>
    </w:p>
  </w:footnote>
  <w:footnote w:id="54">
    <w:p w14:paraId="108C1C81" w14:textId="77777777" w:rsidR="00D41923" w:rsidRPr="000B5A1D" w:rsidRDefault="00D41923" w:rsidP="00B83214">
      <w:pPr>
        <w:pStyle w:val="Tekstprzypisudolnego"/>
        <w:jc w:val="left"/>
      </w:pPr>
      <w:r>
        <w:rPr>
          <w:rStyle w:val="Odwoanieprzypisudolnego"/>
        </w:rPr>
        <w:footnoteRef/>
      </w:r>
      <w:r>
        <w:t xml:space="preserve"> </w:t>
      </w:r>
      <w:r w:rsidRPr="00FE117C">
        <w:t xml:space="preserve">Bernatek-Jakiel A. 2012. Koncepcja korytarzy ekologicznych w planowaniu przestrzennym na szczeblu wojewódzkim. </w:t>
      </w:r>
      <w:r w:rsidRPr="000B5A1D">
        <w:t>Studia KPZK PAN. 142. 48-57.</w:t>
      </w:r>
    </w:p>
  </w:footnote>
  <w:footnote w:id="55">
    <w:p w14:paraId="6A2E38E8" w14:textId="77777777" w:rsidR="00D41923" w:rsidRPr="00FE117C" w:rsidRDefault="00D41923" w:rsidP="00B83214">
      <w:pPr>
        <w:pStyle w:val="Tekstprzypisudolnego"/>
        <w:jc w:val="left"/>
      </w:pPr>
      <w:r>
        <w:rPr>
          <w:rStyle w:val="Odwoanieprzypisudolnego"/>
        </w:rPr>
        <w:footnoteRef/>
      </w:r>
      <w:r w:rsidRPr="00FE117C">
        <w:t xml:space="preserve"> Pyć D. Ochrona ciągłości ekologicznej jako funkcja konstytucyjnej zasady zrównoważonego rozwoju na przykładzie korytarzy ekologicznych. </w:t>
      </w:r>
      <w:r>
        <w:t xml:space="preserve">Gdańskie Studia prawnicze, tom XXXI, 2014; </w:t>
      </w:r>
      <w:hyperlink r:id="rId3" w:history="1">
        <w:r w:rsidRPr="00A76E78">
          <w:rPr>
            <w:rStyle w:val="Hipercze"/>
          </w:rPr>
          <w:t>https://prawo.ug.edu.pl/sites/default/files/_nodes/strona-pia/33461/files/79_ochrona_ciaglosci.pdf</w:t>
        </w:r>
      </w:hyperlink>
      <w:r>
        <w:t>; (dostęp z dn.: 05.05.2022)</w:t>
      </w:r>
    </w:p>
  </w:footnote>
  <w:footnote w:id="56">
    <w:p w14:paraId="0A4A1764" w14:textId="77777777" w:rsidR="00D41923" w:rsidRDefault="00D41923" w:rsidP="00B83214">
      <w:pPr>
        <w:pStyle w:val="Tekstprzypisudolnego"/>
        <w:jc w:val="left"/>
      </w:pPr>
      <w:r>
        <w:rPr>
          <w:rStyle w:val="Odwoanieprzypisudolnego"/>
        </w:rPr>
        <w:footnoteRef/>
      </w:r>
      <w:r>
        <w:t xml:space="preserve"> </w:t>
      </w:r>
      <w:r w:rsidRPr="005D6E9D">
        <w:t>Plan Zagospodarowania Przestrzennego Województwa Zachodniopomorskiego. Tom I Uwarunkowania kształtowania polityki przestrzennej województwa, Szczecin, 2020</w:t>
      </w:r>
    </w:p>
  </w:footnote>
  <w:footnote w:id="57">
    <w:p w14:paraId="57701B83" w14:textId="77777777" w:rsidR="00D41923" w:rsidRDefault="00D41923" w:rsidP="00B83214">
      <w:pPr>
        <w:pStyle w:val="Tekstprzypisudolnego"/>
        <w:jc w:val="left"/>
      </w:pPr>
      <w:r>
        <w:rPr>
          <w:rStyle w:val="Odwoanieprzypisudolnego"/>
        </w:rPr>
        <w:footnoteRef/>
      </w:r>
      <w:r>
        <w:t xml:space="preserve"> Ibidem</w:t>
      </w:r>
    </w:p>
  </w:footnote>
  <w:footnote w:id="58">
    <w:p w14:paraId="02DC55AC" w14:textId="77777777" w:rsidR="00D41923" w:rsidRDefault="00D41923" w:rsidP="00B83214">
      <w:pPr>
        <w:pStyle w:val="Tekstprzypisudolnego"/>
        <w:jc w:val="left"/>
      </w:pPr>
      <w:r>
        <w:rPr>
          <w:rStyle w:val="Odwoanieprzypisudolnego"/>
        </w:rPr>
        <w:footnoteRef/>
      </w:r>
      <w:r>
        <w:t xml:space="preserve"> </w:t>
      </w:r>
      <w:r w:rsidRPr="006F7539">
        <w:t>Plan Zagospodarowania Przestrzennego Województwa Zachodniopomorskiego. Tom I Uwarunkowania kształtowania polityki przestrzennej województwa, Szczecin, 2020</w:t>
      </w:r>
    </w:p>
  </w:footnote>
  <w:footnote w:id="59">
    <w:p w14:paraId="59CF5C3C" w14:textId="77777777" w:rsidR="00D41923" w:rsidRDefault="00D41923" w:rsidP="00B83214">
      <w:pPr>
        <w:pStyle w:val="Tekstprzypisudolnego"/>
        <w:jc w:val="left"/>
      </w:pPr>
      <w:r>
        <w:rPr>
          <w:rStyle w:val="Odwoanieprzypisudolnego"/>
        </w:rPr>
        <w:footnoteRef/>
      </w:r>
      <w:r>
        <w:t xml:space="preserve"> </w:t>
      </w:r>
      <w:r w:rsidRPr="005A4ED3">
        <w:t>Program ochrony środowiska województwa zachodniopomorskiego 2030</w:t>
      </w:r>
      <w:r>
        <w:t>, 2021</w:t>
      </w:r>
    </w:p>
  </w:footnote>
  <w:footnote w:id="60">
    <w:p w14:paraId="03123ED9" w14:textId="77777777" w:rsidR="00D41923" w:rsidRPr="000B5A1D" w:rsidRDefault="00D41923" w:rsidP="00B83214">
      <w:pPr>
        <w:pStyle w:val="Tekstprzypisudolnego"/>
        <w:jc w:val="left"/>
        <w:rPr>
          <w:lang w:val="en-US"/>
        </w:rPr>
      </w:pPr>
      <w:r>
        <w:rPr>
          <w:rStyle w:val="Odwoanieprzypisudolnego"/>
        </w:rPr>
        <w:footnoteRef/>
      </w:r>
      <w:r w:rsidRPr="000B5A1D">
        <w:rPr>
          <w:lang w:val="en-US"/>
        </w:rPr>
        <w:t xml:space="preserve"> Ibidem</w:t>
      </w:r>
    </w:p>
  </w:footnote>
  <w:footnote w:id="61">
    <w:p w14:paraId="6E01B52A" w14:textId="77777777" w:rsidR="00D41923" w:rsidRPr="000B5A1D" w:rsidRDefault="00D41923" w:rsidP="00B83214">
      <w:pPr>
        <w:pStyle w:val="Tekstprzypisudolnego"/>
        <w:jc w:val="left"/>
        <w:rPr>
          <w:lang w:val="en-US"/>
        </w:rPr>
      </w:pPr>
      <w:r>
        <w:rPr>
          <w:rStyle w:val="Odwoanieprzypisudolnego"/>
        </w:rPr>
        <w:footnoteRef/>
      </w:r>
      <w:r w:rsidRPr="000B5A1D">
        <w:rPr>
          <w:lang w:val="en-US"/>
        </w:rPr>
        <w:t xml:space="preserve"> Ibidem</w:t>
      </w:r>
    </w:p>
  </w:footnote>
  <w:footnote w:id="62">
    <w:p w14:paraId="528FFE26" w14:textId="77777777" w:rsidR="00D41923" w:rsidRPr="009B32AD" w:rsidRDefault="00D41923" w:rsidP="00B83214">
      <w:pPr>
        <w:pStyle w:val="Tekstprzypisudolnego"/>
        <w:jc w:val="left"/>
        <w:rPr>
          <w:szCs w:val="24"/>
          <w:lang w:val="en-GB"/>
        </w:rPr>
      </w:pPr>
      <w:r w:rsidRPr="00BF448D">
        <w:rPr>
          <w:rStyle w:val="Odwoanieprzypisudolnego"/>
          <w:sz w:val="18"/>
          <w:szCs w:val="18"/>
        </w:rPr>
        <w:footnoteRef/>
      </w:r>
      <w:r w:rsidRPr="000B5A1D">
        <w:rPr>
          <w:sz w:val="18"/>
          <w:lang w:val="en-US"/>
        </w:rPr>
        <w:t xml:space="preserve"> </w:t>
      </w:r>
      <w:r w:rsidRPr="000B5A1D">
        <w:rPr>
          <w:szCs w:val="24"/>
          <w:lang w:val="en-US"/>
        </w:rPr>
        <w:t xml:space="preserve">European Commission. </w:t>
      </w:r>
      <w:r w:rsidRPr="009B32AD">
        <w:rPr>
          <w:szCs w:val="24"/>
          <w:lang w:val="en-GB"/>
        </w:rPr>
        <w:t>Guidance on Integrating Climate Change and Biodiversity into Strategic Environmental Assessment, 2013</w:t>
      </w:r>
      <w:r>
        <w:rPr>
          <w:szCs w:val="24"/>
          <w:lang w:val="en-GB"/>
        </w:rPr>
        <w:t>;</w:t>
      </w:r>
      <w:r w:rsidRPr="009B32AD">
        <w:rPr>
          <w:szCs w:val="24"/>
          <w:lang w:val="en-GB"/>
        </w:rPr>
        <w:t xml:space="preserve"> </w:t>
      </w:r>
      <w:hyperlink r:id="rId4" w:history="1">
        <w:r w:rsidRPr="009B32AD">
          <w:rPr>
            <w:rStyle w:val="Hipercze"/>
            <w:szCs w:val="24"/>
            <w:lang w:val="en-GB"/>
          </w:rPr>
          <w:t>https://ec.europa.eu/environment/eia/pdf/SEA%20Guidance.pdf</w:t>
        </w:r>
      </w:hyperlink>
      <w:r>
        <w:rPr>
          <w:szCs w:val="24"/>
          <w:lang w:val="en-GB"/>
        </w:rPr>
        <w:t>; (dostęp z dn.</w:t>
      </w:r>
      <w:r w:rsidRPr="009B32AD">
        <w:rPr>
          <w:szCs w:val="24"/>
          <w:lang w:val="en-GB"/>
        </w:rPr>
        <w:t xml:space="preserve"> 02.03.2022)</w:t>
      </w:r>
    </w:p>
  </w:footnote>
  <w:footnote w:id="63">
    <w:p w14:paraId="7915EC2A" w14:textId="77777777" w:rsidR="00D41923" w:rsidRPr="009B32AD" w:rsidRDefault="00D41923" w:rsidP="00B83214">
      <w:pPr>
        <w:pStyle w:val="Tekstprzypisudolnego"/>
        <w:jc w:val="left"/>
        <w:rPr>
          <w:szCs w:val="24"/>
        </w:rPr>
      </w:pPr>
      <w:r w:rsidRPr="009B32AD">
        <w:rPr>
          <w:rStyle w:val="Odwoanieprzypisudolnego"/>
          <w:szCs w:val="24"/>
        </w:rPr>
        <w:footnoteRef/>
      </w:r>
      <w:hyperlink r:id="rId5" w:history="1">
        <w:r w:rsidRPr="009B32AD">
          <w:rPr>
            <w:rStyle w:val="Hipercze"/>
            <w:szCs w:val="24"/>
          </w:rPr>
          <w:t>https://ec.europa.eu/environment/pubs/pdf/factsheets/Eco-systems%20goods%20and%20Services/Ecosystem_PL.pdf</w:t>
        </w:r>
      </w:hyperlink>
      <w:r>
        <w:rPr>
          <w:rStyle w:val="Hipercze"/>
          <w:szCs w:val="24"/>
        </w:rPr>
        <w:t>;</w:t>
      </w:r>
      <w:r>
        <w:rPr>
          <w:szCs w:val="24"/>
        </w:rPr>
        <w:t xml:space="preserve"> (dostęp z dn. 05.05</w:t>
      </w:r>
      <w:r w:rsidRPr="009B32AD">
        <w:rPr>
          <w:szCs w:val="24"/>
        </w:rPr>
        <w:t>.2022)</w:t>
      </w:r>
    </w:p>
  </w:footnote>
  <w:footnote w:id="64">
    <w:p w14:paraId="59120AD5" w14:textId="77777777" w:rsidR="00D41923" w:rsidRPr="00BF448D" w:rsidRDefault="00D41923" w:rsidP="00B83214">
      <w:pPr>
        <w:pStyle w:val="Tekstprzypisudolnego"/>
        <w:jc w:val="left"/>
      </w:pPr>
      <w:r w:rsidRPr="00BF448D">
        <w:rPr>
          <w:rStyle w:val="Odwoanieprzypisudolnego"/>
          <w:szCs w:val="18"/>
        </w:rPr>
        <w:footnoteRef/>
      </w:r>
      <w:r w:rsidRPr="00BF448D">
        <w:t xml:space="preserve"> Podstawy prawne ochrony różnorodności biologicznej. Instytut na rzecz Ekorozwoju, Warszawa, 2014 </w:t>
      </w:r>
    </w:p>
  </w:footnote>
  <w:footnote w:id="65">
    <w:p w14:paraId="243665B9" w14:textId="77777777" w:rsidR="00D41923" w:rsidRDefault="00D41923" w:rsidP="00B83214">
      <w:pPr>
        <w:pStyle w:val="Tekstprzypisudolnego"/>
        <w:jc w:val="left"/>
      </w:pPr>
      <w:r>
        <w:rPr>
          <w:rStyle w:val="Odwoanieprzypisudolnego"/>
        </w:rPr>
        <w:footnoteRef/>
      </w:r>
      <w:r>
        <w:t xml:space="preserve"> </w:t>
      </w:r>
      <w:r w:rsidRPr="00E93CF4">
        <w:t>Program ochrony środowiska województwa zachodniopomorskiego 2030</w:t>
      </w:r>
      <w:r>
        <w:t>, 2021</w:t>
      </w:r>
    </w:p>
  </w:footnote>
  <w:footnote w:id="66">
    <w:p w14:paraId="55E9239A" w14:textId="77777777" w:rsidR="00D41923" w:rsidRDefault="00D41923" w:rsidP="00B83214">
      <w:pPr>
        <w:pStyle w:val="Tekstprzypisudolnego"/>
        <w:jc w:val="left"/>
      </w:pPr>
      <w:r>
        <w:rPr>
          <w:rStyle w:val="Odwoanieprzypisudolnego"/>
        </w:rPr>
        <w:footnoteRef/>
      </w:r>
      <w:r>
        <w:t xml:space="preserve"> </w:t>
      </w:r>
      <w:r w:rsidRPr="004C62A5">
        <w:t>Aktualizacja Opracowania Ekofizjograficznego do Projektu Zmiany Planu Zagospodarowania Przestrzennego Województwa Zachodniopomorskiego, Szczecin, 2018</w:t>
      </w:r>
    </w:p>
  </w:footnote>
  <w:footnote w:id="67">
    <w:p w14:paraId="6C07AA07" w14:textId="77777777" w:rsidR="00D41923" w:rsidRDefault="00D41923" w:rsidP="00B83214">
      <w:pPr>
        <w:pStyle w:val="Tekstprzypisudolnego"/>
        <w:jc w:val="left"/>
      </w:pPr>
      <w:r>
        <w:rPr>
          <w:rStyle w:val="Odwoanieprzypisudolnego"/>
        </w:rPr>
        <w:footnoteRef/>
      </w:r>
      <w:r>
        <w:t xml:space="preserve"> Ibidem</w:t>
      </w:r>
    </w:p>
  </w:footnote>
  <w:footnote w:id="68">
    <w:p w14:paraId="7D12BBA3" w14:textId="77777777" w:rsidR="00D41923" w:rsidRPr="004D3F1B" w:rsidRDefault="00D41923" w:rsidP="00B83214">
      <w:pPr>
        <w:pStyle w:val="Tekstprzypisudolnego"/>
        <w:rPr>
          <w:sz w:val="16"/>
          <w:szCs w:val="16"/>
        </w:rPr>
      </w:pPr>
      <w:r w:rsidRPr="00BF448D">
        <w:rPr>
          <w:rStyle w:val="Odwoanieprzypisudolnego"/>
          <w:szCs w:val="18"/>
        </w:rPr>
        <w:footnoteRef/>
      </w:r>
      <w:r w:rsidRPr="004D3F1B">
        <w:rPr>
          <w:szCs w:val="18"/>
        </w:rPr>
        <w:t xml:space="preserve"> GUS BDL</w:t>
      </w:r>
      <w:r>
        <w:rPr>
          <w:szCs w:val="18"/>
        </w:rPr>
        <w:t>, dane za 2020 r.</w:t>
      </w:r>
    </w:p>
  </w:footnote>
  <w:footnote w:id="69">
    <w:p w14:paraId="52B54809" w14:textId="77777777" w:rsidR="00D41923" w:rsidRDefault="00D41923" w:rsidP="00B83214">
      <w:pPr>
        <w:pStyle w:val="Tekstprzypisudolnego"/>
        <w:jc w:val="left"/>
      </w:pPr>
      <w:r>
        <w:rPr>
          <w:rStyle w:val="Odwoanieprzypisudolnego"/>
        </w:rPr>
        <w:footnoteRef/>
      </w:r>
      <w:r>
        <w:t xml:space="preserve"> </w:t>
      </w:r>
      <w:r w:rsidRPr="00FB5CD3">
        <w:t>Zarządzenie Ministra Klimatu z dnia 23 grudnia 2020 r. w sprawie zadań ochronnych dla Drawieńskiego Parku Narodowego na lata 2021–2022</w:t>
      </w:r>
    </w:p>
  </w:footnote>
  <w:footnote w:id="70">
    <w:p w14:paraId="0F9969CC" w14:textId="77777777" w:rsidR="00D41923" w:rsidRDefault="00D41923" w:rsidP="00B83214">
      <w:pPr>
        <w:pStyle w:val="Tekstprzypisudolnego"/>
        <w:jc w:val="left"/>
      </w:pPr>
      <w:r>
        <w:rPr>
          <w:rStyle w:val="Odwoanieprzypisudolnego"/>
        </w:rPr>
        <w:footnoteRef/>
      </w:r>
      <w:r>
        <w:t xml:space="preserve"> </w:t>
      </w:r>
      <w:r w:rsidRPr="00FB5CD3">
        <w:t>Zarządzenie Ministra Klimatu z dnia 10 stycznia 2020 r. w sprawie zadań ochronnych dla Wolińskiego Parku Narodowego na lata 2020-2023</w:t>
      </w:r>
    </w:p>
  </w:footnote>
  <w:footnote w:id="71">
    <w:p w14:paraId="0B7C7980" w14:textId="77777777" w:rsidR="00D41923" w:rsidRDefault="00D41923" w:rsidP="00B83214">
      <w:pPr>
        <w:pStyle w:val="Tekstprzypisudolnego"/>
        <w:jc w:val="left"/>
      </w:pPr>
      <w:r>
        <w:rPr>
          <w:rStyle w:val="Odwoanieprzypisudolnego"/>
        </w:rPr>
        <w:footnoteRef/>
      </w:r>
      <w:r>
        <w:t xml:space="preserve"> </w:t>
      </w:r>
      <w:hyperlink r:id="rId6" w:history="1">
        <w:r w:rsidRPr="008D2F0E">
          <w:rPr>
            <w:rStyle w:val="Hipercze"/>
          </w:rPr>
          <w:t>http://planochrony.dpn.pl/</w:t>
        </w:r>
      </w:hyperlink>
      <w:r>
        <w:t>; (dostęp z dn.: 05.05.2022)</w:t>
      </w:r>
    </w:p>
  </w:footnote>
  <w:footnote w:id="72">
    <w:p w14:paraId="414DD46E" w14:textId="77777777" w:rsidR="00D41923" w:rsidRDefault="00D41923" w:rsidP="00B83214">
      <w:pPr>
        <w:pStyle w:val="Tekstprzypisudolnego"/>
        <w:jc w:val="left"/>
      </w:pPr>
      <w:r>
        <w:rPr>
          <w:rStyle w:val="Odwoanieprzypisudolnego"/>
        </w:rPr>
        <w:footnoteRef/>
      </w:r>
      <w:r>
        <w:t xml:space="preserve"> </w:t>
      </w:r>
      <w:hyperlink r:id="rId7" w:history="1">
        <w:r w:rsidRPr="008D2F0E">
          <w:rPr>
            <w:rStyle w:val="Hipercze"/>
          </w:rPr>
          <w:t>http://dpn.pl/przyroda</w:t>
        </w:r>
      </w:hyperlink>
      <w:r>
        <w:t>; (dostęp z dn.: 05.05.2022)</w:t>
      </w:r>
    </w:p>
  </w:footnote>
  <w:footnote w:id="73">
    <w:p w14:paraId="61DB4AE3" w14:textId="77777777" w:rsidR="00D41923" w:rsidRDefault="00D41923" w:rsidP="00B83214">
      <w:pPr>
        <w:pStyle w:val="Tekstprzypisudolnego"/>
        <w:jc w:val="left"/>
      </w:pPr>
      <w:r>
        <w:rPr>
          <w:rStyle w:val="Odwoanieprzypisudolnego"/>
        </w:rPr>
        <w:footnoteRef/>
      </w:r>
      <w:r>
        <w:t xml:space="preserve"> </w:t>
      </w:r>
      <w:hyperlink r:id="rId8" w:history="1">
        <w:r w:rsidRPr="008D2F0E">
          <w:rPr>
            <w:rStyle w:val="Hipercze"/>
          </w:rPr>
          <w:t>http://www.wolinpn.pl/</w:t>
        </w:r>
      </w:hyperlink>
      <w:r>
        <w:t>; (dostęp z dn.: 05.05.2022)</w:t>
      </w:r>
    </w:p>
    <w:p w14:paraId="34D4D8E2" w14:textId="77777777" w:rsidR="00D41923" w:rsidRDefault="00D41923" w:rsidP="00B83214">
      <w:pPr>
        <w:pStyle w:val="Tekstprzypisudolnego"/>
      </w:pPr>
    </w:p>
  </w:footnote>
  <w:footnote w:id="74">
    <w:p w14:paraId="64911796" w14:textId="77777777" w:rsidR="00D41923" w:rsidRPr="00BF448D" w:rsidRDefault="00D41923" w:rsidP="00B83214">
      <w:pPr>
        <w:pStyle w:val="Tekstprzypisudolnego"/>
        <w:jc w:val="left"/>
      </w:pPr>
      <w:r w:rsidRPr="0092202A">
        <w:rPr>
          <w:rStyle w:val="Odwoanieprzypisudolnego"/>
          <w:szCs w:val="24"/>
        </w:rPr>
        <w:footnoteRef/>
      </w:r>
      <w:r w:rsidRPr="0092202A">
        <w:rPr>
          <w:szCs w:val="24"/>
        </w:rPr>
        <w:t xml:space="preserve"> Centralny Rejestr Form Ochrony Przyrody, </w:t>
      </w:r>
      <w:r w:rsidRPr="008955B5">
        <w:rPr>
          <w:rStyle w:val="Hipercze"/>
        </w:rPr>
        <w:t>crfop.gdos.gov.pl</w:t>
      </w:r>
      <w:r w:rsidRPr="008955B5">
        <w:rPr>
          <w:szCs w:val="24"/>
        </w:rPr>
        <w:t>;</w:t>
      </w:r>
      <w:r>
        <w:rPr>
          <w:szCs w:val="24"/>
        </w:rPr>
        <w:t xml:space="preserve"> (dostęp z dn.: 05.05</w:t>
      </w:r>
      <w:r w:rsidRPr="0092202A">
        <w:rPr>
          <w:szCs w:val="24"/>
        </w:rPr>
        <w:t>.2022)</w:t>
      </w:r>
    </w:p>
  </w:footnote>
  <w:footnote w:id="75">
    <w:p w14:paraId="4AF647C6" w14:textId="77777777" w:rsidR="00D41923" w:rsidRDefault="00D41923" w:rsidP="00154DC4">
      <w:pPr>
        <w:pStyle w:val="Tekstprzypisudolnego"/>
      </w:pPr>
      <w:r>
        <w:rPr>
          <w:rStyle w:val="Odwoanieprzypisudolnego"/>
        </w:rPr>
        <w:footnoteRef/>
      </w:r>
      <w:r>
        <w:t xml:space="preserve"> Rozporządzenie Nr 113/2006 Wojewody Zachodniopomorskiego z dnia 22 sierpnia 2006 r. w sprawie ustanowienia Planu ochrony dla Szczecińskiego Parku Krajobrazowego "Puszcza</w:t>
      </w:r>
    </w:p>
    <w:p w14:paraId="652C5A22" w14:textId="77777777" w:rsidR="00D41923" w:rsidRDefault="00D41923" w:rsidP="00154DC4">
      <w:pPr>
        <w:pStyle w:val="Tekstprzypisudolnego"/>
      </w:pPr>
      <w:r>
        <w:t>Bukowa".</w:t>
      </w:r>
    </w:p>
  </w:footnote>
  <w:footnote w:id="76">
    <w:p w14:paraId="718AB712" w14:textId="77777777" w:rsidR="00D41923" w:rsidRDefault="00D41923" w:rsidP="00154DC4">
      <w:pPr>
        <w:pStyle w:val="Tekstprzypisudolnego"/>
      </w:pPr>
      <w:r>
        <w:rPr>
          <w:rStyle w:val="Odwoanieprzypisudolnego"/>
        </w:rPr>
        <w:footnoteRef/>
      </w:r>
      <w:r>
        <w:t xml:space="preserve"> Rozporządzenie Nr 36/2005 Wojewody Zachodniopomorskiego z dnia 10 listopada 2005 r. w sprawie planu ochrony Ińskiego Parku Krajobrazowego</w:t>
      </w:r>
    </w:p>
  </w:footnote>
  <w:footnote w:id="77">
    <w:p w14:paraId="719E1CE1" w14:textId="77777777" w:rsidR="00D41923" w:rsidRDefault="00D41923" w:rsidP="00154DC4">
      <w:pPr>
        <w:pStyle w:val="Tekstprzypisudolnego"/>
        <w:spacing w:before="120"/>
      </w:pPr>
      <w:r>
        <w:rPr>
          <w:rStyle w:val="Odwoanieprzypisudolnego"/>
        </w:rPr>
        <w:footnoteRef/>
      </w:r>
      <w:r>
        <w:t xml:space="preserve"> Zarządzenie Ministra Klimatu z dnia 10 stycznia 2020 r. w sprawie zadań ochronnych dla Wolińskiego Parku Narodowego na lata 2020-2023</w:t>
      </w:r>
    </w:p>
  </w:footnote>
  <w:footnote w:id="78">
    <w:p w14:paraId="59C6E0F1" w14:textId="77777777" w:rsidR="00D41923" w:rsidRDefault="00D41923" w:rsidP="00154DC4">
      <w:pPr>
        <w:pStyle w:val="Tekstprzypisudolnego"/>
        <w:spacing w:before="120"/>
      </w:pPr>
      <w:r>
        <w:rPr>
          <w:rStyle w:val="Odwoanieprzypisudolnego"/>
        </w:rPr>
        <w:footnoteRef/>
      </w:r>
      <w:r>
        <w:t xml:space="preserve"> Zarządzenie Ministra Klimatu i Środowiska z dnia 23 grudnia2020 r. w sprawie zadań ochronnych dla Drawieńskiego Parku Narodowego na lata 2021–2022</w:t>
      </w:r>
    </w:p>
  </w:footnote>
  <w:footnote w:id="79">
    <w:p w14:paraId="3DB06B79" w14:textId="77777777" w:rsidR="00D41923" w:rsidRDefault="00D41923" w:rsidP="00154DC4">
      <w:pPr>
        <w:pStyle w:val="Tekstprzypisudolnego"/>
      </w:pPr>
      <w:r>
        <w:rPr>
          <w:rStyle w:val="Odwoanieprzypisudolnego"/>
        </w:rPr>
        <w:footnoteRef/>
      </w:r>
      <w:r>
        <w:t xml:space="preserve"> Projekt planu ochrony dla Drawieńskiego Parku Narodowego http://planochrony.dpn.pl/filemanager/konsultacje%20spoleczne/projekt%20planu%20III/Plan_Ochrony_DPN_projekt_z_31_10_2018.pdf?t=0.998621617982627; (dostęp z dn.: 13.05.2022)</w:t>
      </w:r>
    </w:p>
  </w:footnote>
  <w:footnote w:id="80">
    <w:p w14:paraId="2D42CC41" w14:textId="77777777" w:rsidR="00D41923" w:rsidRPr="005E3B1F" w:rsidRDefault="00D41923" w:rsidP="00B83214">
      <w:pPr>
        <w:pStyle w:val="Tekstprzypisudolnego"/>
        <w:jc w:val="left"/>
        <w:rPr>
          <w:szCs w:val="24"/>
        </w:rPr>
      </w:pPr>
      <w:r w:rsidRPr="005E3B1F">
        <w:rPr>
          <w:rStyle w:val="Odwoanieprzypisudolnego"/>
          <w:szCs w:val="24"/>
        </w:rPr>
        <w:footnoteRef/>
      </w:r>
      <w:r w:rsidRPr="005E3B1F">
        <w:rPr>
          <w:szCs w:val="24"/>
        </w:rPr>
        <w:t xml:space="preserve"> </w:t>
      </w:r>
      <w:hyperlink r:id="rId9" w:history="1">
        <w:r w:rsidRPr="008D2F0E">
          <w:rPr>
            <w:rStyle w:val="Hipercze"/>
            <w:szCs w:val="24"/>
          </w:rPr>
          <w:t>https://natura2000.gdos.gov.pl/cele-tworzenia-obszarow-przedmiot-ochrony</w:t>
        </w:r>
      </w:hyperlink>
      <w:r>
        <w:rPr>
          <w:szCs w:val="24"/>
        </w:rPr>
        <w:t>; (</w:t>
      </w:r>
      <w:r w:rsidRPr="005E3B1F">
        <w:rPr>
          <w:szCs w:val="24"/>
        </w:rPr>
        <w:t>dostęp z dn. 05.05.2022)</w:t>
      </w:r>
    </w:p>
  </w:footnote>
  <w:footnote w:id="81">
    <w:p w14:paraId="76A2AFA1" w14:textId="5AB32F17" w:rsidR="00D41923" w:rsidRPr="00FF0FC1" w:rsidRDefault="00D41923" w:rsidP="00B83214">
      <w:pPr>
        <w:pStyle w:val="Tekstprzypisudolnego"/>
        <w:jc w:val="left"/>
        <w:rPr>
          <w:szCs w:val="24"/>
        </w:rPr>
      </w:pPr>
      <w:r w:rsidRPr="005E3B1F">
        <w:rPr>
          <w:rStyle w:val="Odwoanieprzypisudolnego"/>
          <w:szCs w:val="24"/>
        </w:rPr>
        <w:footnoteRef/>
      </w:r>
      <w:r w:rsidRPr="005E3B1F">
        <w:rPr>
          <w:szCs w:val="24"/>
        </w:rPr>
        <w:t xml:space="preserve"> Centralny Rejestr Form Ochr</w:t>
      </w:r>
      <w:r>
        <w:rPr>
          <w:szCs w:val="24"/>
        </w:rPr>
        <w:t xml:space="preserve">ony Przyrody, </w:t>
      </w:r>
      <w:r w:rsidRPr="00441035">
        <w:rPr>
          <w:rStyle w:val="Hipercze"/>
        </w:rPr>
        <w:t>crfop.gdos.gov.pl</w:t>
      </w:r>
      <w:r w:rsidRPr="00441035">
        <w:rPr>
          <w:szCs w:val="24"/>
        </w:rPr>
        <w:t>;</w:t>
      </w:r>
      <w:r w:rsidRPr="005E3B1F">
        <w:rPr>
          <w:szCs w:val="24"/>
        </w:rPr>
        <w:t xml:space="preserve"> (dostęp z dn.</w:t>
      </w:r>
      <w:r>
        <w:rPr>
          <w:szCs w:val="24"/>
        </w:rPr>
        <w:t>:</w:t>
      </w:r>
      <w:r w:rsidRPr="005E3B1F">
        <w:rPr>
          <w:szCs w:val="24"/>
        </w:rPr>
        <w:t xml:space="preserve"> 12.03.2021)</w:t>
      </w:r>
    </w:p>
  </w:footnote>
  <w:footnote w:id="82">
    <w:p w14:paraId="4810DE30" w14:textId="77777777" w:rsidR="00D41923" w:rsidRDefault="00D41923" w:rsidP="00EE37AB">
      <w:pPr>
        <w:pStyle w:val="Tekstprzypisudolnego"/>
      </w:pPr>
      <w:r>
        <w:rPr>
          <w:rStyle w:val="Odwoanieprzypisudolnego"/>
        </w:rPr>
        <w:footnoteRef/>
      </w:r>
      <w:r>
        <w:t xml:space="preserve"> Ustawa z dnia 16 kwietnia 2004 r. o ochronie przyrody (t.j. Dz. U. 2022 poz. 916)</w:t>
      </w:r>
    </w:p>
  </w:footnote>
  <w:footnote w:id="83">
    <w:p w14:paraId="2DFEB2FF" w14:textId="77777777" w:rsidR="00D41923" w:rsidRDefault="00D41923" w:rsidP="00154DC4">
      <w:pPr>
        <w:pStyle w:val="Tekstprzypisudolnego"/>
      </w:pPr>
      <w:r>
        <w:rPr>
          <w:rStyle w:val="Odwoanieprzypisudolnego"/>
        </w:rPr>
        <w:footnoteRef/>
      </w:r>
      <w:r>
        <w:t xml:space="preserve"> Ibidem</w:t>
      </w:r>
    </w:p>
  </w:footnote>
  <w:footnote w:id="84">
    <w:p w14:paraId="1F259A8F" w14:textId="77777777" w:rsidR="00D41923" w:rsidRDefault="00D41923" w:rsidP="00154DC4">
      <w:pPr>
        <w:pStyle w:val="Tekstprzypisudolnego"/>
      </w:pPr>
      <w:r>
        <w:rPr>
          <w:rStyle w:val="Odwoanieprzypisudolnego"/>
        </w:rPr>
        <w:footnoteRef/>
      </w:r>
      <w:r>
        <w:t xml:space="preserve"> </w:t>
      </w:r>
      <w:r w:rsidRPr="00530820">
        <w:t>https://www.gov.pl/web/rdos-szczecin/plany-zadan-ochronnych</w:t>
      </w:r>
      <w:r>
        <w:t>; (dostęp z dn.: 13.05.2022)</w:t>
      </w:r>
    </w:p>
  </w:footnote>
  <w:footnote w:id="85">
    <w:p w14:paraId="5A38A168" w14:textId="77777777" w:rsidR="00D41923" w:rsidRPr="00267350" w:rsidRDefault="00D41923" w:rsidP="00B83214">
      <w:pPr>
        <w:pStyle w:val="Tekstprzypisudolnego"/>
        <w:jc w:val="left"/>
        <w:rPr>
          <w:rFonts w:cstheme="minorHAnsi"/>
          <w:szCs w:val="24"/>
        </w:rPr>
      </w:pPr>
      <w:r w:rsidRPr="00267350">
        <w:rPr>
          <w:rStyle w:val="Odwoanieprzypisudolnego"/>
          <w:rFonts w:cstheme="minorHAnsi"/>
          <w:szCs w:val="24"/>
        </w:rPr>
        <w:footnoteRef/>
      </w:r>
      <w:r w:rsidRPr="00267350">
        <w:rPr>
          <w:rFonts w:cstheme="minorHAnsi"/>
          <w:szCs w:val="24"/>
        </w:rPr>
        <w:t xml:space="preserve"> </w:t>
      </w:r>
      <w:r w:rsidRPr="00267350">
        <w:rPr>
          <w:rStyle w:val="Odwoanieprzypisudolnego"/>
          <w:rFonts w:cstheme="minorHAnsi"/>
          <w:szCs w:val="24"/>
          <w:vertAlign w:val="baseline"/>
        </w:rPr>
        <w:t>Rocznik Statystyczny Województw 2021, Główny Urząd Statystyczny, Warszawa</w:t>
      </w:r>
    </w:p>
  </w:footnote>
  <w:footnote w:id="86">
    <w:p w14:paraId="4994FE9A"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Informator statystyczny ochrony zdrowia województwa zachodniopomorskiego za rok 2020, Urząd Statystyczny w Krakowie, Kraków 2021</w:t>
      </w:r>
    </w:p>
  </w:footnote>
  <w:footnote w:id="87">
    <w:p w14:paraId="73F84264" w14:textId="77777777" w:rsidR="00D41923" w:rsidRPr="00267350" w:rsidRDefault="00D41923" w:rsidP="00B83214">
      <w:pPr>
        <w:pStyle w:val="Tekstprzypisudolnego"/>
        <w:jc w:val="left"/>
        <w:rPr>
          <w:rFonts w:cstheme="minorHAnsi"/>
          <w:szCs w:val="24"/>
        </w:rPr>
      </w:pPr>
      <w:r w:rsidRPr="00267350">
        <w:rPr>
          <w:rStyle w:val="Odwoanieprzypisudolnego"/>
          <w:rFonts w:cstheme="minorHAnsi"/>
          <w:szCs w:val="24"/>
        </w:rPr>
        <w:footnoteRef/>
      </w:r>
      <w:r w:rsidRPr="00267350">
        <w:rPr>
          <w:rFonts w:cstheme="minorHAnsi"/>
          <w:szCs w:val="24"/>
        </w:rPr>
        <w:t xml:space="preserve"> Jędrak J., Konduracka E., Badyda A.J., Dąbrowicki P. 2017. Wpływ zanieczyszczeń powietrza na zdrowie. Stowarzyszenie Krakowski Alarm Smogowy</w:t>
      </w:r>
    </w:p>
  </w:footnote>
  <w:footnote w:id="88">
    <w:p w14:paraId="1617FE7A" w14:textId="77777777" w:rsidR="00D41923" w:rsidRPr="00267350" w:rsidRDefault="00D41923" w:rsidP="00B83214">
      <w:pPr>
        <w:pStyle w:val="Tekstprzypisudolnego"/>
        <w:jc w:val="left"/>
        <w:rPr>
          <w:rFonts w:cstheme="minorHAnsi"/>
          <w:szCs w:val="24"/>
        </w:rPr>
      </w:pPr>
      <w:r w:rsidRPr="00267350">
        <w:rPr>
          <w:rStyle w:val="Odwoanieprzypisudolnego"/>
          <w:rFonts w:cstheme="minorHAnsi"/>
          <w:szCs w:val="24"/>
        </w:rPr>
        <w:footnoteRef/>
      </w:r>
      <w:r w:rsidRPr="00267350">
        <w:rPr>
          <w:rFonts w:cstheme="minorHAnsi"/>
          <w:szCs w:val="24"/>
        </w:rPr>
        <w:t xml:space="preserve"> Zagrożenie hałasem. Wybrane zagadnienia. Opracowanie tematyczne OT-612. Kancelaria Senatu. Biuro Analiz i Dokumentacji, Warszawa, 2012</w:t>
      </w:r>
    </w:p>
  </w:footnote>
  <w:footnote w:id="89">
    <w:p w14:paraId="318A4372"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Program ochrony przed hałasem dla województwa zachodniopomorskiego</w:t>
      </w:r>
      <w:r>
        <w:rPr>
          <w:szCs w:val="24"/>
        </w:rPr>
        <w:t xml:space="preserve">, Szczecin 2018 </w:t>
      </w:r>
    </w:p>
  </w:footnote>
  <w:footnote w:id="90">
    <w:p w14:paraId="204A3DF0"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Program ochrony środowiska przed hałasem dla miasta Koszalina</w:t>
      </w:r>
      <w:r>
        <w:rPr>
          <w:szCs w:val="24"/>
        </w:rPr>
        <w:t xml:space="preserve">, Koszalin 2018 </w:t>
      </w:r>
    </w:p>
  </w:footnote>
  <w:footnote w:id="91">
    <w:p w14:paraId="5B36EBA4"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Program ochrony środowiska przed hałasem dla miasta Szczecin na lata 2020-2025</w:t>
      </w:r>
      <w:r>
        <w:rPr>
          <w:szCs w:val="24"/>
        </w:rPr>
        <w:t>, Kraków 2020</w:t>
      </w:r>
      <w:r w:rsidRPr="003D1EA7">
        <w:rPr>
          <w:szCs w:val="24"/>
        </w:rPr>
        <w:t xml:space="preserve"> </w:t>
      </w:r>
    </w:p>
  </w:footnote>
  <w:footnote w:id="92">
    <w:p w14:paraId="64FAC90B"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Program ochrony przed hałasem dla województwa zachodniopomorskiego</w:t>
      </w:r>
      <w:r>
        <w:rPr>
          <w:szCs w:val="24"/>
        </w:rPr>
        <w:t xml:space="preserve">, Szczecin 2018 </w:t>
      </w:r>
    </w:p>
  </w:footnote>
  <w:footnote w:id="93">
    <w:p w14:paraId="03FF9C5E"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Program ochrony środowiska przed hałasem dla miasta Koszalina</w:t>
      </w:r>
      <w:r>
        <w:rPr>
          <w:szCs w:val="24"/>
        </w:rPr>
        <w:t xml:space="preserve">, Koszalin 2018 </w:t>
      </w:r>
    </w:p>
  </w:footnote>
  <w:footnote w:id="94">
    <w:p w14:paraId="001E6ECF"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Program ochrony środowiska przed hałasem dla miasta Szczecin na lata 2020-2025</w:t>
      </w:r>
      <w:r>
        <w:rPr>
          <w:szCs w:val="24"/>
        </w:rPr>
        <w:t>, Kraków 2020</w:t>
      </w:r>
    </w:p>
  </w:footnote>
  <w:footnote w:id="95">
    <w:p w14:paraId="2A8DB891"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w:t>
      </w:r>
      <w:r w:rsidRPr="003D1EA7">
        <w:rPr>
          <w:rFonts w:cstheme="minorHAnsi"/>
          <w:szCs w:val="24"/>
        </w:rPr>
        <w:t>Ocena stanu akustycznego środowiska na terenie województwa zachodniopomorskiego w 2020 roku, Szczecin 2021</w:t>
      </w:r>
    </w:p>
  </w:footnote>
  <w:footnote w:id="96">
    <w:p w14:paraId="19EE6374" w14:textId="77777777" w:rsidR="00D41923" w:rsidRPr="003D1EA7" w:rsidRDefault="00D41923" w:rsidP="00B83214">
      <w:pPr>
        <w:pStyle w:val="Tekstprzypisudolnego"/>
        <w:rPr>
          <w:rFonts w:cstheme="minorHAnsi"/>
          <w:szCs w:val="24"/>
        </w:rPr>
      </w:pPr>
      <w:r w:rsidRPr="003D1EA7">
        <w:rPr>
          <w:rStyle w:val="Odwoanieprzypisudolnego"/>
          <w:szCs w:val="24"/>
        </w:rPr>
        <w:footnoteRef/>
      </w:r>
      <w:r w:rsidRPr="003D1EA7">
        <w:rPr>
          <w:szCs w:val="24"/>
        </w:rPr>
        <w:t xml:space="preserve"> </w:t>
      </w:r>
      <w:r w:rsidRPr="003D1EA7">
        <w:rPr>
          <w:rFonts w:cstheme="minorHAnsi"/>
          <w:szCs w:val="24"/>
        </w:rPr>
        <w:t>Aktywność ekonomiczna ludności w województwie zachodniopomorskim w IV kwartale 2020, Urząd Statystyczny w Szczecinie, Szczecin 2021</w:t>
      </w:r>
    </w:p>
  </w:footnote>
  <w:footnote w:id="97">
    <w:p w14:paraId="696A13A8" w14:textId="2F001C01" w:rsidR="00D41923" w:rsidRPr="0028644E" w:rsidRDefault="00D41923" w:rsidP="00B83214">
      <w:pPr>
        <w:pStyle w:val="Tekstprzypisudolnego"/>
        <w:rPr>
          <w:szCs w:val="24"/>
        </w:rPr>
      </w:pPr>
      <w:r w:rsidRPr="003D1EA7">
        <w:rPr>
          <w:rStyle w:val="Odwoanieprzypisudolnego"/>
          <w:szCs w:val="24"/>
        </w:rPr>
        <w:footnoteRef/>
      </w:r>
      <w:r w:rsidRPr="003D1EA7">
        <w:rPr>
          <w:szCs w:val="24"/>
        </w:rPr>
        <w:t xml:space="preserve"> Główny Urząd Statystyczny, Bank Danych Lokalnych, </w:t>
      </w:r>
      <w:r>
        <w:rPr>
          <w:szCs w:val="24"/>
        </w:rPr>
        <w:t>(</w:t>
      </w:r>
      <w:r w:rsidRPr="003D1EA7">
        <w:rPr>
          <w:szCs w:val="24"/>
        </w:rPr>
        <w:t>dostęp z dn</w:t>
      </w:r>
      <w:r>
        <w:rPr>
          <w:szCs w:val="24"/>
        </w:rPr>
        <w:t>.:</w:t>
      </w:r>
      <w:r w:rsidRPr="003D1EA7">
        <w:rPr>
          <w:szCs w:val="24"/>
        </w:rPr>
        <w:t xml:space="preserve"> 05.05.2022</w:t>
      </w:r>
      <w:r>
        <w:rPr>
          <w:szCs w:val="24"/>
        </w:rPr>
        <w:t>)</w:t>
      </w:r>
    </w:p>
  </w:footnote>
  <w:footnote w:id="98">
    <w:p w14:paraId="25810EEA"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Rocznik Statystyczny Województw 2021, Główny Urząd Statystyczny, Warszawa</w:t>
      </w:r>
      <w:r>
        <w:rPr>
          <w:szCs w:val="24"/>
        </w:rPr>
        <w:t>,</w:t>
      </w:r>
      <w:r w:rsidRPr="003D1EA7">
        <w:rPr>
          <w:szCs w:val="24"/>
        </w:rPr>
        <w:t xml:space="preserve"> 2021</w:t>
      </w:r>
    </w:p>
  </w:footnote>
  <w:footnote w:id="99">
    <w:p w14:paraId="6325FCA6" w14:textId="77777777" w:rsidR="00D41923" w:rsidRPr="003D1EA7" w:rsidRDefault="00D41923" w:rsidP="00B83214">
      <w:pPr>
        <w:pStyle w:val="Tekstprzypisudolnego"/>
        <w:jc w:val="left"/>
        <w:rPr>
          <w:rFonts w:cstheme="minorHAnsi"/>
          <w:szCs w:val="24"/>
        </w:rPr>
      </w:pPr>
      <w:r w:rsidRPr="003D1EA7">
        <w:rPr>
          <w:rStyle w:val="Odwoanieprzypisudolnego"/>
          <w:rFonts w:cstheme="minorHAnsi"/>
          <w:szCs w:val="24"/>
        </w:rPr>
        <w:footnoteRef/>
      </w:r>
      <w:r w:rsidRPr="003D1EA7">
        <w:rPr>
          <w:rFonts w:cstheme="minorHAnsi"/>
          <w:szCs w:val="24"/>
        </w:rPr>
        <w:t xml:space="preserve"> Rocznik statystyczny województwa zachodniopomorskiego 2021. Urząd Statystyczny w Szczecinie, Szczecin</w:t>
      </w:r>
      <w:r>
        <w:rPr>
          <w:rFonts w:cstheme="minorHAnsi"/>
          <w:szCs w:val="24"/>
        </w:rPr>
        <w:t>,</w:t>
      </w:r>
      <w:r w:rsidRPr="003D1EA7">
        <w:rPr>
          <w:rFonts w:cstheme="minorHAnsi"/>
          <w:szCs w:val="24"/>
        </w:rPr>
        <w:t xml:space="preserve"> 2021</w:t>
      </w:r>
    </w:p>
  </w:footnote>
  <w:footnote w:id="100">
    <w:p w14:paraId="435A5DBF"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Ibidem</w:t>
      </w:r>
    </w:p>
  </w:footnote>
  <w:footnote w:id="101">
    <w:p w14:paraId="7CCB425F" w14:textId="77777777" w:rsidR="00D41923" w:rsidRDefault="00D41923" w:rsidP="00B83214">
      <w:pPr>
        <w:pStyle w:val="Tekstprzypisudolnego"/>
        <w:jc w:val="left"/>
      </w:pPr>
      <w:r w:rsidRPr="003D1EA7">
        <w:rPr>
          <w:rStyle w:val="Odwoanieprzypisudolnego"/>
          <w:rFonts w:cstheme="minorHAnsi"/>
          <w:szCs w:val="24"/>
        </w:rPr>
        <w:footnoteRef/>
      </w:r>
      <w:r w:rsidRPr="003D1EA7">
        <w:rPr>
          <w:rStyle w:val="Odwoanieprzypisudolnego"/>
          <w:rFonts w:cstheme="minorHAnsi"/>
          <w:szCs w:val="24"/>
          <w:vertAlign w:val="baseline"/>
        </w:rPr>
        <w:t xml:space="preserve"> </w:t>
      </w:r>
      <w:r w:rsidRPr="003D1EA7">
        <w:rPr>
          <w:szCs w:val="24"/>
        </w:rPr>
        <w:t>Rocznik Statystyczny Województw 2021, Główny Urząd Statystyczny, Warszawa</w:t>
      </w:r>
      <w:r>
        <w:rPr>
          <w:szCs w:val="24"/>
        </w:rPr>
        <w:t>,</w:t>
      </w:r>
      <w:r w:rsidRPr="003D1EA7">
        <w:rPr>
          <w:szCs w:val="24"/>
        </w:rPr>
        <w:t xml:space="preserve"> 2021</w:t>
      </w:r>
    </w:p>
  </w:footnote>
  <w:footnote w:id="102">
    <w:p w14:paraId="1CBE3C7C"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w:t>
      </w:r>
      <w:r w:rsidRPr="003D1EA7">
        <w:rPr>
          <w:rFonts w:cstheme="minorHAnsi"/>
          <w:szCs w:val="24"/>
        </w:rPr>
        <w:t>Rocznik statystyczny województwa zachodniopomorskiego 2021. Urząd Statystyczny w Szczecinie, Szczecin 2021</w:t>
      </w:r>
    </w:p>
  </w:footnote>
  <w:footnote w:id="103">
    <w:p w14:paraId="49233232" w14:textId="77777777" w:rsidR="00D41923" w:rsidRPr="005C52F6" w:rsidRDefault="00D41923" w:rsidP="00B83214">
      <w:pPr>
        <w:pStyle w:val="Tekstprzypisudolnego"/>
        <w:jc w:val="left"/>
        <w:rPr>
          <w:rFonts w:cstheme="minorHAnsi"/>
          <w:szCs w:val="24"/>
        </w:rPr>
      </w:pPr>
      <w:r w:rsidRPr="003D1EA7">
        <w:rPr>
          <w:rStyle w:val="Odwoanieprzypisudolnego"/>
          <w:rFonts w:cstheme="minorHAnsi"/>
          <w:szCs w:val="24"/>
        </w:rPr>
        <w:footnoteRef/>
      </w:r>
      <w:r w:rsidRPr="003D1EA7">
        <w:rPr>
          <w:rFonts w:cstheme="minorHAnsi"/>
          <w:szCs w:val="24"/>
        </w:rPr>
        <w:t xml:space="preserve"> Rocznik statystyczny województwa zachodniopomorskiego 2021. Urząd Statystyczny </w:t>
      </w:r>
      <w:r w:rsidRPr="005C52F6">
        <w:rPr>
          <w:rFonts w:cstheme="minorHAnsi"/>
          <w:szCs w:val="24"/>
        </w:rPr>
        <w:t>w Szczecinie, Szczecin</w:t>
      </w:r>
      <w:r>
        <w:rPr>
          <w:rFonts w:cstheme="minorHAnsi"/>
          <w:szCs w:val="24"/>
        </w:rPr>
        <w:t>,</w:t>
      </w:r>
      <w:r w:rsidRPr="005C52F6">
        <w:rPr>
          <w:rFonts w:cstheme="minorHAnsi"/>
          <w:szCs w:val="24"/>
        </w:rPr>
        <w:t xml:space="preserve"> 2021</w:t>
      </w:r>
    </w:p>
  </w:footnote>
  <w:footnote w:id="104">
    <w:p w14:paraId="66497723" w14:textId="77777777" w:rsidR="00D41923" w:rsidRPr="00AA7F3B" w:rsidRDefault="00D41923" w:rsidP="00B83214">
      <w:pPr>
        <w:pStyle w:val="Tekstprzypisudolnego"/>
        <w:rPr>
          <w:szCs w:val="24"/>
        </w:rPr>
      </w:pPr>
      <w:r w:rsidRPr="00AA7F3B">
        <w:rPr>
          <w:rStyle w:val="Odwoanieprzypisudolnego"/>
          <w:szCs w:val="24"/>
        </w:rPr>
        <w:footnoteRef/>
      </w:r>
      <w:r w:rsidRPr="00AA7F3B">
        <w:rPr>
          <w:szCs w:val="24"/>
        </w:rPr>
        <w:t xml:space="preserve"> Plan zagospodarowania przestrzennego województwa zachodniopomorskiego, Tom I, Uwarunkowania kształtowania polityki przestrzennej województwa</w:t>
      </w:r>
      <w:r>
        <w:rPr>
          <w:szCs w:val="24"/>
        </w:rPr>
        <w:t>, Szczecin, 2020</w:t>
      </w:r>
    </w:p>
  </w:footnote>
  <w:footnote w:id="105">
    <w:p w14:paraId="2B6C64CA" w14:textId="77777777" w:rsidR="00D41923" w:rsidRPr="00AA7F3B" w:rsidRDefault="00D41923" w:rsidP="00B83214">
      <w:pPr>
        <w:pStyle w:val="Tekstprzypisudolnego"/>
        <w:rPr>
          <w:szCs w:val="24"/>
        </w:rPr>
      </w:pPr>
      <w:r w:rsidRPr="00AA7F3B">
        <w:rPr>
          <w:rStyle w:val="Odwoanieprzypisudolnego"/>
          <w:szCs w:val="24"/>
        </w:rPr>
        <w:footnoteRef/>
      </w:r>
      <w:r w:rsidRPr="00AA7F3B">
        <w:rPr>
          <w:szCs w:val="24"/>
        </w:rPr>
        <w:t xml:space="preserve"> Program ochrony środowiska województwa zachodniopomorskiego 2030</w:t>
      </w:r>
      <w:r>
        <w:rPr>
          <w:szCs w:val="24"/>
        </w:rPr>
        <w:t xml:space="preserve">, 2021 </w:t>
      </w:r>
    </w:p>
  </w:footnote>
  <w:footnote w:id="106">
    <w:p w14:paraId="78636282" w14:textId="77777777" w:rsidR="00D41923" w:rsidRDefault="00D41923" w:rsidP="00B83214">
      <w:pPr>
        <w:pStyle w:val="Tekstprzypisudolnego"/>
      </w:pPr>
      <w:r w:rsidRPr="00AA7F3B">
        <w:rPr>
          <w:rStyle w:val="Odwoanieprzypisudolnego"/>
          <w:szCs w:val="24"/>
        </w:rPr>
        <w:footnoteRef/>
      </w:r>
      <w:r w:rsidRPr="00AA7F3B">
        <w:rPr>
          <w:szCs w:val="24"/>
        </w:rPr>
        <w:t xml:space="preserve"> Plan zagospodarowania przestrzennego województwa zachodniopomorskiego, Tom I, Uwarunkowania kształtowania polityki przestrzennej województwa</w:t>
      </w:r>
      <w:r>
        <w:rPr>
          <w:szCs w:val="24"/>
        </w:rPr>
        <w:t>, Szczecin,2020</w:t>
      </w:r>
    </w:p>
  </w:footnote>
  <w:footnote w:id="107">
    <w:p w14:paraId="17C72039" w14:textId="77777777" w:rsidR="00D41923" w:rsidRPr="00AA7F3B" w:rsidRDefault="00D41923" w:rsidP="00B83214">
      <w:pPr>
        <w:pStyle w:val="Tekstprzypisudolnego"/>
        <w:rPr>
          <w:szCs w:val="24"/>
        </w:rPr>
      </w:pPr>
      <w:r w:rsidRPr="00AA7F3B">
        <w:rPr>
          <w:rStyle w:val="Odwoanieprzypisudolnego"/>
          <w:szCs w:val="24"/>
        </w:rPr>
        <w:footnoteRef/>
      </w:r>
      <w:r w:rsidRPr="00AA7F3B">
        <w:rPr>
          <w:szCs w:val="24"/>
        </w:rPr>
        <w:t xml:space="preserve"> Program ochrony środowiska województwa zachodniopomorskiego 2030</w:t>
      </w:r>
    </w:p>
  </w:footnote>
  <w:footnote w:id="108">
    <w:p w14:paraId="4D2BDC16" w14:textId="77777777" w:rsidR="00D41923" w:rsidRDefault="00D41923" w:rsidP="00B83214">
      <w:pPr>
        <w:pStyle w:val="Tekstprzypisudolnego"/>
      </w:pPr>
      <w:r w:rsidRPr="00AA7F3B">
        <w:rPr>
          <w:rStyle w:val="Odwoanieprzypisudolnego"/>
          <w:szCs w:val="24"/>
        </w:rPr>
        <w:footnoteRef/>
      </w:r>
      <w:r w:rsidRPr="00AA7F3B">
        <w:rPr>
          <w:szCs w:val="24"/>
        </w:rPr>
        <w:t xml:space="preserve"> Plan zagospodarowania przestrzennego województwa zachodniopomorskiego, Tom I, Uwarunkowania kształtowania polityki przestrzennej województwa</w:t>
      </w:r>
    </w:p>
  </w:footnote>
  <w:footnote w:id="109">
    <w:p w14:paraId="26A7065E" w14:textId="77777777" w:rsidR="00D41923" w:rsidRPr="00AA7F3B" w:rsidRDefault="00D41923" w:rsidP="00B83214">
      <w:pPr>
        <w:pStyle w:val="Tekstprzypisudolnego"/>
        <w:jc w:val="left"/>
        <w:rPr>
          <w:szCs w:val="24"/>
        </w:rPr>
      </w:pPr>
      <w:r w:rsidRPr="00AA7F3B">
        <w:rPr>
          <w:rStyle w:val="Odwoanieprzypisudolnego"/>
          <w:szCs w:val="24"/>
        </w:rPr>
        <w:footnoteRef/>
      </w:r>
      <w:r w:rsidRPr="00AA7F3B">
        <w:rPr>
          <w:szCs w:val="24"/>
        </w:rPr>
        <w:t xml:space="preserve"> </w:t>
      </w:r>
      <w:hyperlink r:id="rId10" w:history="1">
        <w:r w:rsidRPr="00AA7F3B">
          <w:rPr>
            <w:rStyle w:val="Hipercze"/>
            <w:szCs w:val="24"/>
          </w:rPr>
          <w:t>http://eregion.wzp.pl/obszary/stan-i-ochrona-srodowiska</w:t>
        </w:r>
      </w:hyperlink>
      <w:r w:rsidRPr="00AA7F3B">
        <w:rPr>
          <w:szCs w:val="24"/>
        </w:rPr>
        <w:t xml:space="preserve">; </w:t>
      </w:r>
      <w:r>
        <w:rPr>
          <w:szCs w:val="24"/>
        </w:rPr>
        <w:t>(</w:t>
      </w:r>
      <w:r w:rsidRPr="00AA7F3B">
        <w:rPr>
          <w:szCs w:val="24"/>
        </w:rPr>
        <w:t>dostęp z dn.</w:t>
      </w:r>
      <w:r>
        <w:rPr>
          <w:szCs w:val="24"/>
        </w:rPr>
        <w:t>:</w:t>
      </w:r>
      <w:r w:rsidRPr="00AA7F3B">
        <w:rPr>
          <w:szCs w:val="24"/>
        </w:rPr>
        <w:t xml:space="preserve"> 01.05.2022 r.</w:t>
      </w:r>
      <w:r>
        <w:rPr>
          <w:szCs w:val="24"/>
        </w:rPr>
        <w:t>)</w:t>
      </w:r>
    </w:p>
  </w:footnote>
  <w:footnote w:id="110">
    <w:p w14:paraId="70AC1DD6" w14:textId="77777777" w:rsidR="00D41923" w:rsidRPr="00AA7F3B" w:rsidRDefault="00D41923" w:rsidP="00B83214">
      <w:pPr>
        <w:pStyle w:val="Tekstprzypisudolnego"/>
        <w:rPr>
          <w:szCs w:val="24"/>
        </w:rPr>
      </w:pPr>
      <w:r w:rsidRPr="00AA7F3B">
        <w:rPr>
          <w:rStyle w:val="Odwoanieprzypisudolnego"/>
          <w:szCs w:val="24"/>
        </w:rPr>
        <w:footnoteRef/>
      </w:r>
      <w:r w:rsidRPr="00AA7F3B">
        <w:rPr>
          <w:szCs w:val="24"/>
        </w:rPr>
        <w:t xml:space="preserve"> Jerzy Kondracki: Geografia regionalna Polski. Warszawa: Wydawnictwo Naukowe PWN, 2014. ISBN 978-83-01-16022-7</w:t>
      </w:r>
    </w:p>
  </w:footnote>
  <w:footnote w:id="111">
    <w:p w14:paraId="160184D8" w14:textId="323F1041" w:rsidR="00D41923" w:rsidRDefault="00D41923" w:rsidP="00B83214">
      <w:pPr>
        <w:pStyle w:val="Tekstprzypisudolnego"/>
        <w:jc w:val="left"/>
      </w:pPr>
      <w:r w:rsidRPr="002B1D1D">
        <w:rPr>
          <w:rStyle w:val="Odwoanieprzypisudolnego"/>
          <w:szCs w:val="24"/>
        </w:rPr>
        <w:footnoteRef/>
      </w:r>
      <w:r w:rsidRPr="002B1D1D">
        <w:rPr>
          <w:szCs w:val="24"/>
        </w:rPr>
        <w:t xml:space="preserve"> Państwowy Instytut Geologiczny – Państwowy Instytut Badawczy</w:t>
      </w:r>
      <w:r>
        <w:rPr>
          <w:szCs w:val="24"/>
        </w:rPr>
        <w:t>; (</w:t>
      </w:r>
      <w:r w:rsidRPr="002B1D1D">
        <w:rPr>
          <w:szCs w:val="24"/>
        </w:rPr>
        <w:t xml:space="preserve">dostęp z dn. </w:t>
      </w:r>
      <w:r>
        <w:rPr>
          <w:szCs w:val="24"/>
        </w:rPr>
        <w:t>01</w:t>
      </w:r>
      <w:r w:rsidRPr="002B1D1D">
        <w:rPr>
          <w:szCs w:val="24"/>
        </w:rPr>
        <w:t>.0</w:t>
      </w:r>
      <w:r>
        <w:rPr>
          <w:szCs w:val="24"/>
        </w:rPr>
        <w:t>5</w:t>
      </w:r>
      <w:r w:rsidRPr="002B1D1D">
        <w:rPr>
          <w:szCs w:val="24"/>
        </w:rPr>
        <w:t>.202</w:t>
      </w:r>
      <w:r>
        <w:rPr>
          <w:szCs w:val="24"/>
        </w:rPr>
        <w:t>2)</w:t>
      </w:r>
    </w:p>
  </w:footnote>
  <w:footnote w:id="112">
    <w:p w14:paraId="53520DBC" w14:textId="77777777" w:rsidR="00D41923" w:rsidRDefault="00D41923" w:rsidP="00B83214">
      <w:pPr>
        <w:pStyle w:val="Tekstprzypisudolnego"/>
      </w:pPr>
      <w:r w:rsidRPr="002B1D1D">
        <w:rPr>
          <w:rStyle w:val="Odwoanieprzypisudolnego"/>
          <w:szCs w:val="24"/>
        </w:rPr>
        <w:footnoteRef/>
      </w:r>
      <w:r w:rsidRPr="002B1D1D">
        <w:rPr>
          <w:szCs w:val="24"/>
        </w:rPr>
        <w:t xml:space="preserve"> W skali V stopniowej, gdzie: I klasa – najlepsza jakość, V klasa – najsłabsza jakość</w:t>
      </w:r>
    </w:p>
  </w:footnote>
  <w:footnote w:id="113">
    <w:p w14:paraId="0DE5D924" w14:textId="77777777" w:rsidR="00D41923" w:rsidRPr="007D5399" w:rsidRDefault="00D41923" w:rsidP="00B83214">
      <w:pPr>
        <w:pStyle w:val="Tekstprzypisudolnego"/>
        <w:rPr>
          <w:szCs w:val="24"/>
        </w:rPr>
      </w:pPr>
      <w:r w:rsidRPr="007D5399">
        <w:rPr>
          <w:rStyle w:val="Odwoanieprzypisudolnego"/>
          <w:szCs w:val="24"/>
        </w:rPr>
        <w:footnoteRef/>
      </w:r>
      <w:r w:rsidRPr="007D5399">
        <w:rPr>
          <w:szCs w:val="24"/>
        </w:rPr>
        <w:t xml:space="preserve"> Ustawa z dnia 20 lipca 2017 r. – Prawo Wodne (t.j. Dz.U. 2021 poz. 2233)</w:t>
      </w:r>
    </w:p>
  </w:footnote>
  <w:footnote w:id="114">
    <w:p w14:paraId="45C7E683" w14:textId="77777777" w:rsidR="00D41923" w:rsidRPr="00DA738D" w:rsidRDefault="00D41923" w:rsidP="00B83214">
      <w:pPr>
        <w:pStyle w:val="Tekstprzypisudolnego"/>
        <w:rPr>
          <w:szCs w:val="24"/>
        </w:rPr>
      </w:pPr>
      <w:r w:rsidRPr="00DA738D">
        <w:rPr>
          <w:rStyle w:val="Odwoanieprzypisudolnego"/>
          <w:szCs w:val="24"/>
        </w:rPr>
        <w:footnoteRef/>
      </w:r>
      <w:r w:rsidRPr="00DA738D">
        <w:rPr>
          <w:szCs w:val="24"/>
        </w:rPr>
        <w:t xml:space="preserve"> </w:t>
      </w:r>
      <w:hyperlink r:id="rId11" w:history="1">
        <w:r w:rsidRPr="00DA738D">
          <w:rPr>
            <w:rStyle w:val="Hipercze"/>
            <w:szCs w:val="24"/>
          </w:rPr>
          <w:t>https://apgw.gov.pl/pl/news/show/445</w:t>
        </w:r>
      </w:hyperlink>
      <w:r w:rsidRPr="00DA738D">
        <w:rPr>
          <w:szCs w:val="24"/>
        </w:rPr>
        <w:t xml:space="preserve">; </w:t>
      </w:r>
      <w:r>
        <w:rPr>
          <w:szCs w:val="24"/>
        </w:rPr>
        <w:t>(</w:t>
      </w:r>
      <w:r w:rsidRPr="00DA738D">
        <w:rPr>
          <w:szCs w:val="24"/>
        </w:rPr>
        <w:t>dostęp z dn. 01.05.2022 r.</w:t>
      </w:r>
      <w:r>
        <w:rPr>
          <w:szCs w:val="24"/>
        </w:rPr>
        <w:t>)</w:t>
      </w:r>
    </w:p>
  </w:footnote>
  <w:footnote w:id="115">
    <w:p w14:paraId="20E2FE6B" w14:textId="385F68CD" w:rsidR="00D41923" w:rsidRPr="00AA7F3B" w:rsidRDefault="00D41923" w:rsidP="00B83214">
      <w:pPr>
        <w:pStyle w:val="Tekstprzypisudolnego"/>
        <w:rPr>
          <w:szCs w:val="24"/>
        </w:rPr>
      </w:pPr>
      <w:r w:rsidRPr="00AA7F3B">
        <w:rPr>
          <w:rStyle w:val="Odwoanieprzypisudolnego"/>
          <w:szCs w:val="24"/>
        </w:rPr>
        <w:footnoteRef/>
      </w:r>
      <w:r w:rsidRPr="00AA7F3B">
        <w:rPr>
          <w:szCs w:val="24"/>
        </w:rPr>
        <w:t xml:space="preserve"> Bank Danych Lokalnych, </w:t>
      </w:r>
      <w:hyperlink r:id="rId12" w:history="1">
        <w:r w:rsidRPr="00AA7F3B">
          <w:rPr>
            <w:rStyle w:val="Hipercze"/>
            <w:szCs w:val="24"/>
          </w:rPr>
          <w:t>www.bdl.stat.gov.pl</w:t>
        </w:r>
      </w:hyperlink>
      <w:r w:rsidRPr="00AA7F3B">
        <w:rPr>
          <w:szCs w:val="24"/>
        </w:rPr>
        <w:t xml:space="preserve">; </w:t>
      </w:r>
      <w:r>
        <w:rPr>
          <w:szCs w:val="24"/>
        </w:rPr>
        <w:t>(</w:t>
      </w:r>
      <w:r w:rsidRPr="00AA7F3B">
        <w:rPr>
          <w:szCs w:val="24"/>
        </w:rPr>
        <w:t>dostęp z dn.</w:t>
      </w:r>
      <w:r>
        <w:rPr>
          <w:szCs w:val="24"/>
        </w:rPr>
        <w:t>:</w:t>
      </w:r>
      <w:r w:rsidRPr="00AA7F3B">
        <w:rPr>
          <w:szCs w:val="24"/>
        </w:rPr>
        <w:t xml:space="preserve"> 01.05.2022</w:t>
      </w:r>
      <w:r>
        <w:rPr>
          <w:szCs w:val="24"/>
        </w:rPr>
        <w:t>)</w:t>
      </w:r>
    </w:p>
  </w:footnote>
  <w:footnote w:id="116">
    <w:p w14:paraId="3F4705A5" w14:textId="738CD7F0" w:rsidR="00D41923" w:rsidRPr="004D4676" w:rsidRDefault="00D41923" w:rsidP="00B83214">
      <w:pPr>
        <w:pStyle w:val="Tekstprzypisudolnego"/>
        <w:rPr>
          <w:rFonts w:cstheme="minorHAnsi"/>
          <w:szCs w:val="24"/>
        </w:rPr>
      </w:pPr>
      <w:r w:rsidRPr="004D4676">
        <w:rPr>
          <w:rStyle w:val="Odwoanieprzypisudolnego"/>
          <w:rFonts w:cstheme="minorHAnsi"/>
          <w:szCs w:val="24"/>
        </w:rPr>
        <w:footnoteRef/>
      </w:r>
      <w:r w:rsidRPr="004D4676">
        <w:rPr>
          <w:rFonts w:cstheme="minorHAnsi"/>
          <w:szCs w:val="24"/>
        </w:rPr>
        <w:t xml:space="preserve"> </w:t>
      </w:r>
      <w:hyperlink r:id="rId13" w:history="1">
        <w:r w:rsidRPr="004D4676">
          <w:rPr>
            <w:rStyle w:val="Hipercze"/>
            <w:rFonts w:cstheme="minorHAnsi"/>
            <w:szCs w:val="24"/>
          </w:rPr>
          <w:t>http://www.rzgw.szczecin.pl/komunalne-i-przemyslowe</w:t>
        </w:r>
      </w:hyperlink>
      <w:r w:rsidRPr="004D4676">
        <w:rPr>
          <w:rFonts w:cstheme="minorHAnsi"/>
          <w:szCs w:val="24"/>
        </w:rPr>
        <w:t xml:space="preserve">; </w:t>
      </w:r>
      <w:r>
        <w:rPr>
          <w:rFonts w:cstheme="minorHAnsi"/>
          <w:szCs w:val="24"/>
        </w:rPr>
        <w:t>(</w:t>
      </w:r>
      <w:r w:rsidRPr="004D4676">
        <w:rPr>
          <w:rFonts w:cstheme="minorHAnsi"/>
          <w:szCs w:val="24"/>
        </w:rPr>
        <w:t>dostęp z dn.</w:t>
      </w:r>
      <w:r>
        <w:rPr>
          <w:rFonts w:cstheme="minorHAnsi"/>
          <w:szCs w:val="24"/>
        </w:rPr>
        <w:t>:</w:t>
      </w:r>
      <w:r w:rsidRPr="004D4676">
        <w:rPr>
          <w:rFonts w:cstheme="minorHAnsi"/>
          <w:szCs w:val="24"/>
        </w:rPr>
        <w:t xml:space="preserve"> 01.05.2022</w:t>
      </w:r>
      <w:r>
        <w:rPr>
          <w:rFonts w:cstheme="minorHAnsi"/>
          <w:szCs w:val="24"/>
        </w:rPr>
        <w:t>)</w:t>
      </w:r>
    </w:p>
  </w:footnote>
  <w:footnote w:id="117">
    <w:p w14:paraId="22B05C51" w14:textId="77777777" w:rsidR="00D41923" w:rsidRPr="004D4676" w:rsidRDefault="00D41923" w:rsidP="00B83214">
      <w:pPr>
        <w:pStyle w:val="Tekstprzypisudolnego"/>
        <w:jc w:val="left"/>
        <w:rPr>
          <w:rFonts w:cstheme="minorHAnsi"/>
          <w:szCs w:val="24"/>
        </w:rPr>
      </w:pPr>
      <w:r w:rsidRPr="004D4676">
        <w:rPr>
          <w:rStyle w:val="Odwoanieprzypisudolnego"/>
          <w:rFonts w:cstheme="minorHAnsi"/>
          <w:szCs w:val="24"/>
        </w:rPr>
        <w:footnoteRef/>
      </w:r>
      <w:r w:rsidRPr="004D4676">
        <w:rPr>
          <w:rFonts w:cstheme="minorHAnsi"/>
          <w:szCs w:val="24"/>
        </w:rPr>
        <w:t xml:space="preserve"> </w:t>
      </w:r>
      <w:r>
        <w:rPr>
          <w:rFonts w:cstheme="minorHAnsi"/>
          <w:szCs w:val="24"/>
        </w:rPr>
        <w:t>Uchwała</w:t>
      </w:r>
      <w:r w:rsidRPr="004D4676">
        <w:rPr>
          <w:rFonts w:cstheme="minorHAnsi"/>
          <w:szCs w:val="24"/>
        </w:rPr>
        <w:t xml:space="preserve"> </w:t>
      </w:r>
      <w:r>
        <w:rPr>
          <w:rFonts w:cstheme="minorHAnsi"/>
          <w:szCs w:val="24"/>
        </w:rPr>
        <w:t>nr</w:t>
      </w:r>
      <w:r w:rsidRPr="004D4676">
        <w:rPr>
          <w:rFonts w:cstheme="minorHAnsi"/>
          <w:szCs w:val="24"/>
        </w:rPr>
        <w:t xml:space="preserve"> XXXVIII/556/2017 Rady Miejskiej </w:t>
      </w:r>
      <w:r>
        <w:rPr>
          <w:rFonts w:cstheme="minorHAnsi"/>
          <w:szCs w:val="24"/>
        </w:rPr>
        <w:t>w</w:t>
      </w:r>
      <w:r w:rsidRPr="004D4676">
        <w:rPr>
          <w:rFonts w:cstheme="minorHAnsi"/>
          <w:szCs w:val="24"/>
        </w:rPr>
        <w:t xml:space="preserve"> Koszalinie z dnia 21 grudnia 2017 r. w sprawie przyjęcia „Programu Ochrony Środowiska Miasta Koszalina na lata 2017-2020 z perspektywą na lata 2021-2024”</w:t>
      </w:r>
    </w:p>
  </w:footnote>
  <w:footnote w:id="118">
    <w:p w14:paraId="62D24CF1" w14:textId="77777777" w:rsidR="00D41923" w:rsidRPr="004D4676" w:rsidRDefault="00D41923" w:rsidP="00B83214">
      <w:pPr>
        <w:pStyle w:val="Tekstprzypisudolnego"/>
        <w:jc w:val="left"/>
        <w:rPr>
          <w:szCs w:val="24"/>
        </w:rPr>
      </w:pPr>
      <w:r w:rsidRPr="004D4676">
        <w:rPr>
          <w:rStyle w:val="Odwoanieprzypisudolnego"/>
          <w:szCs w:val="24"/>
        </w:rPr>
        <w:footnoteRef/>
      </w:r>
      <w:r w:rsidRPr="004D4676">
        <w:rPr>
          <w:szCs w:val="24"/>
        </w:rPr>
        <w:t xml:space="preserve"> </w:t>
      </w:r>
      <w:r>
        <w:rPr>
          <w:szCs w:val="24"/>
        </w:rPr>
        <w:t>Uchwała</w:t>
      </w:r>
      <w:r w:rsidRPr="004D4676">
        <w:rPr>
          <w:szCs w:val="24"/>
        </w:rPr>
        <w:t xml:space="preserve"> </w:t>
      </w:r>
      <w:r>
        <w:rPr>
          <w:szCs w:val="24"/>
        </w:rPr>
        <w:t>nr</w:t>
      </w:r>
      <w:r w:rsidRPr="004D4676">
        <w:rPr>
          <w:szCs w:val="24"/>
        </w:rPr>
        <w:t xml:space="preserve"> IX/120/19 Rady Miasta Kołobrzeg z dnia 30 maja 2019 r. w sprawie uchwalenia Programu Ochrony Środowiska na lata 2019 - 2022 dla miasta Kołobrzeg z perspektywą na lata 2023 - 2026.</w:t>
      </w:r>
    </w:p>
  </w:footnote>
  <w:footnote w:id="119">
    <w:p w14:paraId="38DE9843" w14:textId="77777777" w:rsidR="00D41923" w:rsidRPr="004D4676" w:rsidRDefault="00D41923" w:rsidP="00B83214">
      <w:pPr>
        <w:pStyle w:val="Tekstprzypisudolnego"/>
        <w:jc w:val="left"/>
        <w:rPr>
          <w:rFonts w:cstheme="minorHAnsi"/>
          <w:szCs w:val="24"/>
        </w:rPr>
      </w:pPr>
      <w:r w:rsidRPr="004D4676">
        <w:rPr>
          <w:rStyle w:val="Odwoanieprzypisudolnego"/>
          <w:rFonts w:cstheme="minorHAnsi"/>
          <w:szCs w:val="24"/>
        </w:rPr>
        <w:footnoteRef/>
      </w:r>
      <w:r w:rsidRPr="004D4676">
        <w:rPr>
          <w:rFonts w:cstheme="minorHAnsi"/>
          <w:szCs w:val="24"/>
        </w:rPr>
        <w:t xml:space="preserve"> Plan zagospodarowania przestrzennego województwa zachodniopomorskiego, Tom I, Uwarunkowania kształtowania polityki przestrzennej województwa</w:t>
      </w:r>
      <w:r>
        <w:rPr>
          <w:rFonts w:cstheme="minorHAnsi"/>
          <w:szCs w:val="24"/>
        </w:rPr>
        <w:t xml:space="preserve">, Szczecin, 2020 </w:t>
      </w:r>
    </w:p>
  </w:footnote>
  <w:footnote w:id="120">
    <w:p w14:paraId="4E840C98" w14:textId="77777777" w:rsidR="00D41923" w:rsidRDefault="00D41923" w:rsidP="00B83214">
      <w:pPr>
        <w:pStyle w:val="Tekstprzypisudolnego"/>
        <w:jc w:val="left"/>
      </w:pPr>
      <w:r w:rsidRPr="002B1D1D">
        <w:rPr>
          <w:rStyle w:val="Odwoanieprzypisudolnego"/>
          <w:szCs w:val="24"/>
        </w:rPr>
        <w:footnoteRef/>
      </w:r>
      <w:r>
        <w:rPr>
          <w:szCs w:val="24"/>
        </w:rPr>
        <w:t xml:space="preserve"> </w:t>
      </w:r>
      <w:r w:rsidRPr="00F9126E">
        <w:rPr>
          <w:szCs w:val="24"/>
        </w:rPr>
        <w:t xml:space="preserve">Bank Danych Lokalnych, </w:t>
      </w:r>
      <w:hyperlink r:id="rId14" w:history="1">
        <w:r w:rsidRPr="008E430A">
          <w:rPr>
            <w:rStyle w:val="Hipercze"/>
            <w:szCs w:val="24"/>
          </w:rPr>
          <w:t>www.bdl.stat.gov.pl</w:t>
        </w:r>
      </w:hyperlink>
      <w:r>
        <w:rPr>
          <w:szCs w:val="24"/>
        </w:rPr>
        <w:t xml:space="preserve">; </w:t>
      </w:r>
      <w:r w:rsidRPr="00F9126E">
        <w:rPr>
          <w:szCs w:val="24"/>
        </w:rPr>
        <w:t>dostęp</w:t>
      </w:r>
      <w:r>
        <w:rPr>
          <w:szCs w:val="24"/>
        </w:rPr>
        <w:t xml:space="preserve"> z dn.</w:t>
      </w:r>
      <w:r w:rsidRPr="00F9126E">
        <w:rPr>
          <w:szCs w:val="24"/>
        </w:rPr>
        <w:t xml:space="preserve"> 01.0</w:t>
      </w:r>
      <w:r>
        <w:rPr>
          <w:szCs w:val="24"/>
        </w:rPr>
        <w:t>5</w:t>
      </w:r>
      <w:r w:rsidRPr="00F9126E">
        <w:rPr>
          <w:szCs w:val="24"/>
        </w:rPr>
        <w:t>.2022</w:t>
      </w:r>
      <w:r>
        <w:rPr>
          <w:szCs w:val="24"/>
        </w:rPr>
        <w:t xml:space="preserve"> r.</w:t>
      </w:r>
    </w:p>
  </w:footnote>
  <w:footnote w:id="121">
    <w:p w14:paraId="3AE3FD48" w14:textId="77777777" w:rsidR="00D41923" w:rsidRDefault="00D41923" w:rsidP="00B83214">
      <w:pPr>
        <w:pStyle w:val="Tekstprzypisudolnego"/>
        <w:jc w:val="left"/>
      </w:pPr>
      <w:r>
        <w:rPr>
          <w:rStyle w:val="Odwoanieprzypisudolnego"/>
        </w:rPr>
        <w:footnoteRef/>
      </w:r>
      <w:r>
        <w:t xml:space="preserve"> Program Ochrony Środowiska Województwa Zachodniopomorskiego 2030, 2021</w:t>
      </w:r>
    </w:p>
  </w:footnote>
  <w:footnote w:id="122">
    <w:p w14:paraId="577899BB" w14:textId="77777777" w:rsidR="00D41923" w:rsidRDefault="00D41923" w:rsidP="00B83214">
      <w:pPr>
        <w:pStyle w:val="Tekstprzypisudolnego"/>
        <w:jc w:val="left"/>
      </w:pPr>
      <w:r>
        <w:rPr>
          <w:rStyle w:val="Odwoanieprzypisudolnego"/>
        </w:rPr>
        <w:footnoteRef/>
      </w:r>
      <w:r>
        <w:t xml:space="preserve"> </w:t>
      </w:r>
      <w:r w:rsidRPr="00595954">
        <w:t xml:space="preserve">Roczna ocena jakości powietrza w województwie </w:t>
      </w:r>
      <w:r>
        <w:t>zachodniopomorskim</w:t>
      </w:r>
      <w:r w:rsidRPr="00595954">
        <w:t xml:space="preserve"> - raport wojewódzki za rok 2020. GIOŚ, </w:t>
      </w:r>
      <w:r>
        <w:t xml:space="preserve">Szczecin; </w:t>
      </w:r>
      <w:hyperlink r:id="rId15" w:history="1">
        <w:r w:rsidRPr="008D2F0E">
          <w:rPr>
            <w:rStyle w:val="Hipercze"/>
          </w:rPr>
          <w:t>https://powietrze.gios.gov.pl/pjp/rwms/publications/card/1426</w:t>
        </w:r>
      </w:hyperlink>
      <w:r>
        <w:t>: (dostęp z dn.: 06.05.2022)</w:t>
      </w:r>
    </w:p>
  </w:footnote>
  <w:footnote w:id="123">
    <w:p w14:paraId="48AE8E53" w14:textId="77777777" w:rsidR="00D41923" w:rsidRDefault="00D41923" w:rsidP="00B83214">
      <w:pPr>
        <w:pStyle w:val="Tekstprzypisudolnego"/>
        <w:jc w:val="left"/>
      </w:pPr>
      <w:r>
        <w:rPr>
          <w:rStyle w:val="Odwoanieprzypisudolnego"/>
        </w:rPr>
        <w:footnoteRef/>
      </w:r>
      <w:r>
        <w:t xml:space="preserve"> </w:t>
      </w:r>
      <w:r w:rsidRPr="00E35BB7">
        <w:t>Rozporządzenie Ministra Środowiska z dnia 2 sierpnia 2012r. w sprawie stref, w których dokonuje się oceny jakości powietrza (Dz.U.2012.914)</w:t>
      </w:r>
    </w:p>
  </w:footnote>
  <w:footnote w:id="124">
    <w:p w14:paraId="6B96D580" w14:textId="77777777" w:rsidR="00D41923" w:rsidRDefault="00D41923" w:rsidP="00B83214">
      <w:pPr>
        <w:pStyle w:val="Tekstprzypisudolnego"/>
        <w:jc w:val="left"/>
      </w:pPr>
      <w:r>
        <w:rPr>
          <w:rStyle w:val="Odwoanieprzypisudolnego"/>
        </w:rPr>
        <w:footnoteRef/>
      </w:r>
      <w:r>
        <w:t xml:space="preserve"> Ministra Klimatu i Środowiska z dnia 11 grudnia 2020 r. w sprawie dokonywania oceny poziomów substancji w powietrzu (Dz. U. z 2020 r. poz. 2279).</w:t>
      </w:r>
    </w:p>
  </w:footnote>
  <w:footnote w:id="125">
    <w:p w14:paraId="1489770E" w14:textId="77777777" w:rsidR="00D41923" w:rsidRDefault="00D41923" w:rsidP="00B83214">
      <w:pPr>
        <w:pStyle w:val="Tekstprzypisudolnego"/>
        <w:jc w:val="left"/>
      </w:pPr>
      <w:r>
        <w:rPr>
          <w:rStyle w:val="Odwoanieprzypisudolnego"/>
        </w:rPr>
        <w:footnoteRef/>
      </w:r>
      <w:r>
        <w:t xml:space="preserve"> </w:t>
      </w:r>
      <w:r w:rsidRPr="000E06DE">
        <w:t>Roczna ocena jakości powietrza w województwie zachodniopomorskim - raport wojewódzki za rok 2020. GIOŚ, Szczecin</w:t>
      </w:r>
      <w:r>
        <w:t xml:space="preserve">; </w:t>
      </w:r>
      <w:hyperlink r:id="rId16" w:history="1">
        <w:r w:rsidRPr="008D2F0E">
          <w:rPr>
            <w:rStyle w:val="Hipercze"/>
          </w:rPr>
          <w:t>https://powietrze.gios.gov.pl/pjp/rwms/publications/card/1426</w:t>
        </w:r>
      </w:hyperlink>
      <w:r>
        <w:t>: (</w:t>
      </w:r>
      <w:r w:rsidRPr="000E06DE">
        <w:t>dostęp</w:t>
      </w:r>
      <w:r>
        <w:t xml:space="preserve"> z dn.: 06.05.2022)</w:t>
      </w:r>
    </w:p>
  </w:footnote>
  <w:footnote w:id="126">
    <w:p w14:paraId="78A9089C" w14:textId="77777777" w:rsidR="00D41923" w:rsidRDefault="00D41923" w:rsidP="00B83214">
      <w:pPr>
        <w:pStyle w:val="Tekstprzypisudolnego"/>
        <w:jc w:val="left"/>
      </w:pPr>
      <w:r>
        <w:rPr>
          <w:rStyle w:val="Odwoanieprzypisudolnego"/>
        </w:rPr>
        <w:footnoteRef/>
      </w:r>
      <w:r>
        <w:t xml:space="preserve"> Ibidem</w:t>
      </w:r>
    </w:p>
  </w:footnote>
  <w:footnote w:id="127">
    <w:p w14:paraId="07BC2F2D" w14:textId="77777777" w:rsidR="00D41923" w:rsidRDefault="00D41923" w:rsidP="00B83214">
      <w:pPr>
        <w:pStyle w:val="Tekstprzypisudolnego"/>
        <w:jc w:val="left"/>
      </w:pPr>
      <w:r>
        <w:rPr>
          <w:rStyle w:val="Odwoanieprzypisudolnego"/>
        </w:rPr>
        <w:footnoteRef/>
      </w:r>
      <w:r>
        <w:t xml:space="preserve"> </w:t>
      </w:r>
      <w:r w:rsidRPr="005E451C">
        <w:t>Roczna ocena jakości powietrza w województwie zachodniopomorskim - raport wojewódzki za rok 2020. GIOŚ, Szczecin</w:t>
      </w:r>
      <w:r>
        <w:t xml:space="preserve">; </w:t>
      </w:r>
      <w:hyperlink r:id="rId17" w:history="1">
        <w:r w:rsidRPr="008D2F0E">
          <w:rPr>
            <w:rStyle w:val="Hipercze"/>
          </w:rPr>
          <w:t>https://powietrze.gios.gov.pl/pjp/rwms/publications/card/1426</w:t>
        </w:r>
      </w:hyperlink>
      <w:r>
        <w:t>; (dostęp z dn.: 06.05.2022)</w:t>
      </w:r>
    </w:p>
  </w:footnote>
  <w:footnote w:id="128">
    <w:p w14:paraId="596A9768" w14:textId="77777777" w:rsidR="00D41923" w:rsidRPr="00CA7117" w:rsidRDefault="00D41923" w:rsidP="00B83214">
      <w:pPr>
        <w:pStyle w:val="Tekstprzypisudolnego"/>
        <w:rPr>
          <w:szCs w:val="24"/>
        </w:rPr>
      </w:pPr>
      <w:r w:rsidRPr="00CA7117">
        <w:rPr>
          <w:rStyle w:val="Odwoanieprzypisudolnego"/>
          <w:szCs w:val="24"/>
        </w:rPr>
        <w:footnoteRef/>
      </w:r>
      <w:r w:rsidRPr="00CA7117">
        <w:rPr>
          <w:szCs w:val="24"/>
        </w:rPr>
        <w:t xml:space="preserve"> </w:t>
      </w:r>
      <w:r w:rsidRPr="00CD15EE">
        <w:rPr>
          <w:szCs w:val="24"/>
        </w:rPr>
        <w:t>Prognoza oddziaływania na środowisko do projektu zmiany planu zagospodarowania przestrzennego województwa zachodniopomorskiego</w:t>
      </w:r>
      <w:r>
        <w:rPr>
          <w:szCs w:val="24"/>
        </w:rPr>
        <w:t>,</w:t>
      </w:r>
      <w:r w:rsidRPr="00CD15EE">
        <w:t xml:space="preserve"> </w:t>
      </w:r>
      <w:r>
        <w:rPr>
          <w:szCs w:val="24"/>
        </w:rPr>
        <w:t>Szczecin, 2019</w:t>
      </w:r>
    </w:p>
  </w:footnote>
  <w:footnote w:id="129">
    <w:p w14:paraId="693F4440" w14:textId="77777777" w:rsidR="00D41923" w:rsidRDefault="00D41923" w:rsidP="00B83214">
      <w:pPr>
        <w:pStyle w:val="Tekstprzypisudolnego"/>
      </w:pPr>
      <w:r>
        <w:rPr>
          <w:rStyle w:val="Odwoanieprzypisudolnego"/>
        </w:rPr>
        <w:footnoteRef/>
      </w:r>
      <w:r>
        <w:t xml:space="preserve"> Aktualizacja opracowania ekofizjograficznego do projektu zmiany planu zagospodarowania przestrzennego województwa zachodniopomorskiego, Szczecin, 2018</w:t>
      </w:r>
    </w:p>
  </w:footnote>
  <w:footnote w:id="130">
    <w:p w14:paraId="3B2A326D" w14:textId="77777777" w:rsidR="00D41923" w:rsidRDefault="00D41923" w:rsidP="00B83214">
      <w:pPr>
        <w:pStyle w:val="Tekstprzypisudolnego"/>
      </w:pPr>
      <w:r>
        <w:rPr>
          <w:rStyle w:val="Odwoanieprzypisudolnego"/>
        </w:rPr>
        <w:footnoteRef/>
      </w:r>
      <w:r>
        <w:t xml:space="preserve"> </w:t>
      </w:r>
      <w:r w:rsidRPr="00006C6F">
        <w:t>Prognoza oddziaływania na środowisko do projektu zmiany planu zagospodarowania przestrzennego województwa zachodniopomorski</w:t>
      </w:r>
      <w:r>
        <w:t>ego, Szczecin, 2019</w:t>
      </w:r>
    </w:p>
  </w:footnote>
  <w:footnote w:id="131">
    <w:p w14:paraId="5CDD5E02" w14:textId="77777777" w:rsidR="00D41923" w:rsidRDefault="00D41923" w:rsidP="00B83214">
      <w:pPr>
        <w:pStyle w:val="Tekstprzypisudolnego"/>
      </w:pPr>
      <w:r>
        <w:rPr>
          <w:rStyle w:val="Odwoanieprzypisudolnego"/>
        </w:rPr>
        <w:footnoteRef/>
      </w:r>
      <w:r>
        <w:t xml:space="preserve"> </w:t>
      </w:r>
      <w:hyperlink r:id="rId18" w:history="1">
        <w:r w:rsidRPr="008D2F0E">
          <w:rPr>
            <w:rStyle w:val="Hipercze"/>
          </w:rPr>
          <w:t>https://www.gios.gov.pl/chemizm_gleb/</w:t>
        </w:r>
      </w:hyperlink>
      <w:r>
        <w:t>; (dostęp z dn.: 05.05.2022)</w:t>
      </w:r>
    </w:p>
  </w:footnote>
  <w:footnote w:id="132">
    <w:p w14:paraId="336C4779" w14:textId="77777777" w:rsidR="00D41923" w:rsidRPr="0094317E" w:rsidRDefault="00D41923" w:rsidP="00B83214">
      <w:pPr>
        <w:pStyle w:val="Tekstprzypisudolnego"/>
        <w:rPr>
          <w:sz w:val="16"/>
          <w:szCs w:val="16"/>
        </w:rPr>
      </w:pPr>
      <w:r w:rsidRPr="00CA7117">
        <w:rPr>
          <w:rStyle w:val="Odwoanieprzypisudolnego"/>
          <w:szCs w:val="24"/>
        </w:rPr>
        <w:footnoteRef/>
      </w:r>
      <w:r w:rsidRPr="00CA7117">
        <w:rPr>
          <w:szCs w:val="24"/>
        </w:rPr>
        <w:t xml:space="preserve"> Działania organów administracji publicznej w zakresie usuwania historycznych zanieczyszczeń powierzchni ziemi, informacja i wynikach kontroli, KSI.430.004.2018 (nr ewid. 2/2019/P/18/047/KSI), NIK</w:t>
      </w:r>
      <w:r>
        <w:rPr>
          <w:szCs w:val="24"/>
        </w:rPr>
        <w:t>)</w:t>
      </w:r>
    </w:p>
  </w:footnote>
  <w:footnote w:id="133">
    <w:p w14:paraId="5BFEB124" w14:textId="77777777" w:rsidR="00D41923" w:rsidRDefault="00D41923" w:rsidP="00B83214">
      <w:pPr>
        <w:pStyle w:val="Tekstprzypisudolnego"/>
        <w:rPr>
          <w:szCs w:val="24"/>
        </w:rPr>
      </w:pPr>
      <w:r w:rsidRPr="005C52F6">
        <w:rPr>
          <w:rStyle w:val="Odwoanieprzypisudolnego"/>
          <w:szCs w:val="24"/>
        </w:rPr>
        <w:footnoteRef/>
      </w:r>
      <w:r w:rsidRPr="005C52F6">
        <w:rPr>
          <w:szCs w:val="24"/>
        </w:rPr>
        <w:t xml:space="preserve"> Regionalna Dyrekcja Ochrony Środowiska w Szczecinie</w:t>
      </w:r>
      <w:r>
        <w:rPr>
          <w:szCs w:val="24"/>
        </w:rPr>
        <w:t>;</w:t>
      </w:r>
    </w:p>
    <w:p w14:paraId="54DE9728" w14:textId="77777777" w:rsidR="00D41923" w:rsidRPr="00E51FDB" w:rsidRDefault="000F4A05" w:rsidP="00B83214">
      <w:pPr>
        <w:pStyle w:val="Tekstprzypisudolnego"/>
        <w:rPr>
          <w:szCs w:val="24"/>
        </w:rPr>
      </w:pPr>
      <w:hyperlink r:id="rId19" w:history="1">
        <w:r w:rsidR="00D41923" w:rsidRPr="008D2F0E">
          <w:rPr>
            <w:rStyle w:val="Hipercze"/>
            <w:szCs w:val="24"/>
          </w:rPr>
          <w:t>http://szczecin.rdos.gov.pl/zachodniopomorskie-w-liczbach</w:t>
        </w:r>
      </w:hyperlink>
      <w:r w:rsidR="00D41923">
        <w:rPr>
          <w:szCs w:val="24"/>
        </w:rPr>
        <w:t>; (dostęp z dn.: 05.05.2022)</w:t>
      </w:r>
    </w:p>
  </w:footnote>
  <w:footnote w:id="134">
    <w:p w14:paraId="7A59B4A4" w14:textId="77777777" w:rsidR="00D41923" w:rsidRDefault="00D41923" w:rsidP="00B83214">
      <w:pPr>
        <w:pStyle w:val="Tekstprzypisudolnego"/>
      </w:pPr>
      <w:r>
        <w:rPr>
          <w:rStyle w:val="Odwoanieprzypisudolnego"/>
        </w:rPr>
        <w:footnoteRef/>
      </w:r>
      <w:r>
        <w:t xml:space="preserve"> </w:t>
      </w:r>
      <w:r>
        <w:rPr>
          <w:szCs w:val="24"/>
        </w:rPr>
        <w:t>Ibidem</w:t>
      </w:r>
    </w:p>
  </w:footnote>
  <w:footnote w:id="135">
    <w:p w14:paraId="5E73F2FC" w14:textId="77777777" w:rsidR="00D41923" w:rsidRPr="00E51FDB" w:rsidRDefault="00D41923" w:rsidP="00B83214">
      <w:pPr>
        <w:pStyle w:val="Tekstprzypisudolnego"/>
        <w:rPr>
          <w:szCs w:val="24"/>
        </w:rPr>
      </w:pPr>
      <w:r>
        <w:rPr>
          <w:rStyle w:val="Odwoanieprzypisudolnego"/>
        </w:rPr>
        <w:footnoteRef/>
      </w:r>
      <w:r>
        <w:t xml:space="preserve"> </w:t>
      </w:r>
      <w:hyperlink r:id="rId20" w:history="1">
        <w:r w:rsidRPr="008D2F0E">
          <w:rPr>
            <w:rStyle w:val="Hipercze"/>
            <w:szCs w:val="24"/>
          </w:rPr>
          <w:t>http://eregion.wzp.pl/obszary/krajobraz-i-gleby</w:t>
        </w:r>
      </w:hyperlink>
      <w:r>
        <w:rPr>
          <w:szCs w:val="24"/>
        </w:rPr>
        <w:t>; (dostęp z dn.: 05.05.2022)</w:t>
      </w:r>
    </w:p>
  </w:footnote>
  <w:footnote w:id="136">
    <w:p w14:paraId="213D8DAF" w14:textId="77777777" w:rsidR="00D41923" w:rsidRDefault="00D41923" w:rsidP="00B83214">
      <w:pPr>
        <w:pStyle w:val="Tekstprzypisudolnego"/>
      </w:pPr>
      <w:r>
        <w:rPr>
          <w:rStyle w:val="Odwoanieprzypisudolnego"/>
        </w:rPr>
        <w:footnoteRef/>
      </w:r>
      <w:r>
        <w:t xml:space="preserve"> </w:t>
      </w:r>
      <w:r w:rsidRPr="00CB24A6">
        <w:rPr>
          <w:szCs w:val="24"/>
        </w:rPr>
        <w:t>Program ochrony środowiska województwa zachodniopomorskiego 2030</w:t>
      </w:r>
      <w:r>
        <w:rPr>
          <w:szCs w:val="24"/>
        </w:rPr>
        <w:t>, 2021</w:t>
      </w:r>
    </w:p>
  </w:footnote>
  <w:footnote w:id="137">
    <w:p w14:paraId="517127C6" w14:textId="77777777" w:rsidR="00D41923" w:rsidRPr="000472C1" w:rsidRDefault="00D41923" w:rsidP="00B83214">
      <w:pPr>
        <w:pStyle w:val="Tekstprzypisudolnego"/>
        <w:rPr>
          <w:szCs w:val="24"/>
          <w:lang w:val="en-US"/>
        </w:rPr>
      </w:pPr>
      <w:r w:rsidRPr="00482469">
        <w:rPr>
          <w:rStyle w:val="Odwoanieprzypisudolnego"/>
          <w:szCs w:val="24"/>
        </w:rPr>
        <w:footnoteRef/>
      </w:r>
      <w:r w:rsidRPr="000472C1">
        <w:rPr>
          <w:szCs w:val="24"/>
          <w:lang w:val="en-US"/>
        </w:rPr>
        <w:t xml:space="preserve"> Ibidem</w:t>
      </w:r>
    </w:p>
  </w:footnote>
  <w:footnote w:id="138">
    <w:p w14:paraId="7D0FAF6B" w14:textId="77777777" w:rsidR="00D41923" w:rsidRDefault="00D41923" w:rsidP="00B83214">
      <w:pPr>
        <w:pStyle w:val="Tekstprzypisudolnego"/>
        <w:rPr>
          <w:lang w:val="en-US"/>
        </w:rPr>
      </w:pPr>
      <w:r>
        <w:rPr>
          <w:rStyle w:val="Odwoanieprzypisudolnego"/>
        </w:rPr>
        <w:footnoteRef/>
      </w:r>
      <w:r w:rsidRPr="00310A74">
        <w:rPr>
          <w:lang w:val="en-US"/>
        </w:rPr>
        <w:t xml:space="preserve">General characteristics </w:t>
      </w:r>
      <w:r>
        <w:rPr>
          <w:lang w:val="en-US"/>
        </w:rPr>
        <w:t xml:space="preserve">of West Pomeranian Voivodeship; </w:t>
      </w:r>
      <w:hyperlink r:id="rId21" w:history="1">
        <w:r w:rsidRPr="008D2F0E">
          <w:rPr>
            <w:rStyle w:val="Hipercze"/>
            <w:lang w:val="en-US"/>
          </w:rPr>
          <w:t>https://wios.szczecin.pl/bip/files/C6A90FB140574816BF3714D9D70B12EF/02.%20Og%C3%B3lna%20charakterystyka%20wojew%C3%B3dztwa%20zachodniopomorskiego.pdf</w:t>
        </w:r>
      </w:hyperlink>
      <w:r>
        <w:rPr>
          <w:lang w:val="en-US"/>
        </w:rPr>
        <w:t>;</w:t>
      </w:r>
    </w:p>
    <w:p w14:paraId="5DC98991" w14:textId="77777777" w:rsidR="00D41923" w:rsidRPr="007B6366" w:rsidRDefault="00D41923" w:rsidP="00B83214">
      <w:pPr>
        <w:pStyle w:val="Tekstprzypisudolnego"/>
      </w:pPr>
      <w:r w:rsidRPr="007B6366">
        <w:t>(dostęp z dn.</w:t>
      </w:r>
      <w:r>
        <w:t>: 06.05.2022)</w:t>
      </w:r>
    </w:p>
  </w:footnote>
  <w:footnote w:id="139">
    <w:p w14:paraId="17AF5685" w14:textId="77777777" w:rsidR="00D41923" w:rsidRDefault="00D41923" w:rsidP="00B83214">
      <w:pPr>
        <w:pStyle w:val="Tekstprzypisudolnego"/>
        <w:jc w:val="left"/>
      </w:pPr>
      <w:r>
        <w:rPr>
          <w:rStyle w:val="Odwoanieprzypisudolnego"/>
        </w:rPr>
        <w:footnoteRef/>
      </w:r>
      <w:r>
        <w:t xml:space="preserve"> Prognoza oddziaływania na środowisko zmiany Studium uwarunkowań i kierunków zagospodarowania przestrzennego Szczecina.; </w:t>
      </w:r>
      <w:hyperlink r:id="rId22" w:history="1">
        <w:r w:rsidRPr="008D2F0E">
          <w:rPr>
            <w:rStyle w:val="Hipercze"/>
          </w:rPr>
          <w:t>http://bip.um.szczecin.pl/UMSzczecinFiles/file/BPPM/STUDIUM/PROGNOZA_CALOSC.pdf</w:t>
        </w:r>
      </w:hyperlink>
      <w:r>
        <w:t>;</w:t>
      </w:r>
    </w:p>
    <w:p w14:paraId="3C96F3CC" w14:textId="77777777" w:rsidR="00D41923" w:rsidRDefault="00D41923" w:rsidP="00B83214">
      <w:pPr>
        <w:pStyle w:val="Tekstprzypisudolnego"/>
        <w:jc w:val="left"/>
      </w:pPr>
      <w:r>
        <w:t>(dostęp z dn.: 06.05.2022)</w:t>
      </w:r>
    </w:p>
  </w:footnote>
  <w:footnote w:id="140">
    <w:p w14:paraId="0613BDE4" w14:textId="77777777" w:rsidR="00D41923" w:rsidRDefault="00D41923" w:rsidP="00B83214">
      <w:pPr>
        <w:pStyle w:val="Tekstprzypisudolnego"/>
        <w:jc w:val="left"/>
      </w:pPr>
      <w:r>
        <w:rPr>
          <w:rStyle w:val="Odwoanieprzypisudolnego"/>
        </w:rPr>
        <w:footnoteRef/>
      </w:r>
      <w:r>
        <w:t xml:space="preserve"> </w:t>
      </w:r>
      <w:r w:rsidRPr="0014302C">
        <w:t>Roczna ocena jakości powietrza w województwie zachodniopomorskim - raport wojewódz</w:t>
      </w:r>
      <w:r>
        <w:t xml:space="preserve">ki za rok 2020. GIOŚ, Szczecin; </w:t>
      </w:r>
      <w:hyperlink r:id="rId23" w:history="1">
        <w:r w:rsidRPr="008D2F0E">
          <w:rPr>
            <w:rStyle w:val="Hipercze"/>
          </w:rPr>
          <w:t>https://powietrze.gios.gov.pl/pjp/rwms/publications/card/1426</w:t>
        </w:r>
      </w:hyperlink>
      <w:r>
        <w:t>; (</w:t>
      </w:r>
      <w:r w:rsidRPr="0014302C">
        <w:t>dostęp</w:t>
      </w:r>
      <w:r>
        <w:t xml:space="preserve"> z dn.: 06.05.2022)</w:t>
      </w:r>
    </w:p>
  </w:footnote>
  <w:footnote w:id="141">
    <w:p w14:paraId="3E689311" w14:textId="77777777" w:rsidR="00D41923" w:rsidRPr="00511D0D" w:rsidRDefault="00D41923" w:rsidP="00B83214">
      <w:pPr>
        <w:pStyle w:val="Tekstprzypisudolnego"/>
        <w:rPr>
          <w:szCs w:val="24"/>
        </w:rPr>
      </w:pPr>
      <w:r w:rsidRPr="00511D0D">
        <w:rPr>
          <w:rStyle w:val="Odwoanieprzypisudolnego"/>
          <w:szCs w:val="24"/>
        </w:rPr>
        <w:footnoteRef/>
      </w:r>
      <w:r w:rsidRPr="00511D0D">
        <w:rPr>
          <w:szCs w:val="24"/>
        </w:rPr>
        <w:t xml:space="preserve"> Bilans zasobów złóż kopalin w Polsce wg stanu na 31 XII 2020r., Państwowy Instytut Geologiczny – PIB, Warszawa, 2021</w:t>
      </w:r>
    </w:p>
  </w:footnote>
  <w:footnote w:id="142">
    <w:p w14:paraId="4CDED8B4" w14:textId="77777777" w:rsidR="00D41923" w:rsidRPr="00D971ED" w:rsidRDefault="00D41923" w:rsidP="00B83214">
      <w:pPr>
        <w:pStyle w:val="Tekstprzypisudolnego"/>
        <w:rPr>
          <w:szCs w:val="24"/>
        </w:rPr>
      </w:pPr>
      <w:r w:rsidRPr="00D971ED">
        <w:rPr>
          <w:rStyle w:val="Odwoanieprzypisudolnego"/>
          <w:szCs w:val="24"/>
        </w:rPr>
        <w:footnoteRef/>
      </w:r>
      <w:r w:rsidRPr="00D971ED">
        <w:rPr>
          <w:szCs w:val="24"/>
        </w:rPr>
        <w:t xml:space="preserve"> Ibidem</w:t>
      </w:r>
    </w:p>
  </w:footnote>
  <w:footnote w:id="143">
    <w:p w14:paraId="1C2C4FF4" w14:textId="77777777" w:rsidR="00D41923" w:rsidRDefault="00D41923" w:rsidP="00B83214">
      <w:pPr>
        <w:pStyle w:val="Tekstprzypisudolnego"/>
      </w:pPr>
      <w:r>
        <w:rPr>
          <w:rStyle w:val="Odwoanieprzypisudolnego"/>
        </w:rPr>
        <w:footnoteRef/>
      </w:r>
      <w:r>
        <w:t xml:space="preserve"> </w:t>
      </w:r>
      <w:hyperlink r:id="rId24" w:history="1">
        <w:r w:rsidRPr="008D2F0E">
          <w:rPr>
            <w:rStyle w:val="Hipercze"/>
          </w:rPr>
          <w:t>http://eregion.wzp.pl/obszary/zloza-naturalnych-surowcow-energetycznych</w:t>
        </w:r>
      </w:hyperlink>
      <w:r>
        <w:t>; (dostęp z dn.: 05.05.2022)</w:t>
      </w:r>
    </w:p>
  </w:footnote>
  <w:footnote w:id="144">
    <w:p w14:paraId="6B03FFF5" w14:textId="77777777" w:rsidR="00D41923" w:rsidRPr="00D971ED" w:rsidRDefault="00D41923" w:rsidP="00B83214">
      <w:pPr>
        <w:pStyle w:val="Tekstprzypisudolnego"/>
        <w:rPr>
          <w:szCs w:val="24"/>
        </w:rPr>
      </w:pPr>
      <w:r w:rsidRPr="00D971ED">
        <w:rPr>
          <w:rStyle w:val="Odwoanieprzypisudolnego"/>
          <w:szCs w:val="24"/>
        </w:rPr>
        <w:footnoteRef/>
      </w:r>
      <w:r w:rsidRPr="00D971ED">
        <w:rPr>
          <w:szCs w:val="24"/>
        </w:rPr>
        <w:t xml:space="preserve"> Rocznik Statystyczny Województwa Zachodniopomorskiego 2021, GUS</w:t>
      </w:r>
    </w:p>
  </w:footnote>
  <w:footnote w:id="145">
    <w:p w14:paraId="137F3C50" w14:textId="77777777" w:rsidR="00D41923" w:rsidRPr="00D55E0E" w:rsidRDefault="00D41923" w:rsidP="00B83214">
      <w:pPr>
        <w:pStyle w:val="Tekstprzypisudolnego"/>
        <w:jc w:val="left"/>
        <w:rPr>
          <w:szCs w:val="24"/>
        </w:rPr>
      </w:pPr>
      <w:r w:rsidRPr="00D55E0E">
        <w:rPr>
          <w:rStyle w:val="Odwoanieprzypisudolnego"/>
          <w:szCs w:val="24"/>
        </w:rPr>
        <w:footnoteRef/>
      </w:r>
      <w:r w:rsidRPr="00D55E0E">
        <w:rPr>
          <w:szCs w:val="24"/>
        </w:rPr>
        <w:t xml:space="preserve"> https://stat.gov.pl/metainformacje/slownik-pojec/pojecia-stosowane-w-statystyce-publicznej/2412,pojecie.html</w:t>
      </w:r>
    </w:p>
  </w:footnote>
  <w:footnote w:id="146">
    <w:p w14:paraId="13398888" w14:textId="77777777" w:rsidR="00D41923" w:rsidRPr="00D55E0E" w:rsidRDefault="00D41923" w:rsidP="00B83214">
      <w:pPr>
        <w:pStyle w:val="Tekstprzypisudolnego"/>
        <w:rPr>
          <w:szCs w:val="24"/>
        </w:rPr>
      </w:pPr>
      <w:r w:rsidRPr="00D55E0E">
        <w:rPr>
          <w:rStyle w:val="Odwoanieprzypisudolnego"/>
          <w:szCs w:val="24"/>
        </w:rPr>
        <w:footnoteRef/>
      </w:r>
      <w:r w:rsidRPr="00D55E0E">
        <w:rPr>
          <w:szCs w:val="24"/>
        </w:rPr>
        <w:t xml:space="preserve"> Internetowa Baza Danych o Odpadach, </w:t>
      </w:r>
      <w:hyperlink r:id="rId25" w:history="1">
        <w:r w:rsidRPr="008D2F0E">
          <w:rPr>
            <w:rStyle w:val="Hipercze"/>
            <w:szCs w:val="24"/>
          </w:rPr>
          <w:t>https://ibdo.pl/baza-instalacji/</w:t>
        </w:r>
      </w:hyperlink>
      <w:r>
        <w:rPr>
          <w:szCs w:val="24"/>
        </w:rPr>
        <w:t>; (</w:t>
      </w:r>
      <w:r w:rsidRPr="00D55E0E">
        <w:rPr>
          <w:szCs w:val="24"/>
        </w:rPr>
        <w:t>dostęp z dn.: 05.2022</w:t>
      </w:r>
      <w:r>
        <w:rPr>
          <w:szCs w:val="24"/>
        </w:rPr>
        <w:t>)</w:t>
      </w:r>
    </w:p>
  </w:footnote>
  <w:footnote w:id="147">
    <w:p w14:paraId="67E165BB" w14:textId="77777777" w:rsidR="00D41923" w:rsidRPr="00267350" w:rsidRDefault="00D41923" w:rsidP="00B83214">
      <w:pPr>
        <w:spacing w:before="0" w:after="0" w:line="240" w:lineRule="auto"/>
        <w:rPr>
          <w:rFonts w:cstheme="minorHAnsi"/>
          <w:szCs w:val="24"/>
        </w:rPr>
      </w:pPr>
      <w:r w:rsidRPr="003D1EA7">
        <w:rPr>
          <w:rStyle w:val="Odwoanieprzypisudolnego"/>
          <w:rFonts w:cstheme="minorHAnsi"/>
          <w:szCs w:val="24"/>
        </w:rPr>
        <w:footnoteRef/>
      </w:r>
      <w:r w:rsidRPr="003D1EA7">
        <w:rPr>
          <w:rFonts w:cstheme="minorHAnsi"/>
          <w:szCs w:val="24"/>
        </w:rPr>
        <w:t xml:space="preserve"> Oficjalna strona Prezydenta Rzeczypospolitej Polskiej, </w:t>
      </w:r>
      <w:hyperlink r:id="rId26" w:history="1">
        <w:r w:rsidRPr="003D1EA7">
          <w:rPr>
            <w:rStyle w:val="Hipercze"/>
            <w:rFonts w:cstheme="minorHAnsi"/>
            <w:szCs w:val="24"/>
          </w:rPr>
          <w:t>https://www.prezydent.pl/aktualnosci/polityka-historyczna/pomniki-historii/obiekty-wpisane-na-liste-pomnikow-historii/podzial-wg-wojewodztw</w:t>
        </w:r>
      </w:hyperlink>
      <w:r>
        <w:rPr>
          <w:rStyle w:val="Hipercze"/>
          <w:rFonts w:cstheme="minorHAnsi"/>
          <w:szCs w:val="24"/>
        </w:rPr>
        <w:t>;</w:t>
      </w:r>
      <w:r w:rsidRPr="003D1EA7">
        <w:rPr>
          <w:rFonts w:cstheme="minorHAnsi"/>
          <w:szCs w:val="24"/>
        </w:rPr>
        <w:t xml:space="preserve"> (dostęp z dn.</w:t>
      </w:r>
      <w:r>
        <w:rPr>
          <w:rFonts w:cstheme="minorHAnsi"/>
          <w:szCs w:val="24"/>
        </w:rPr>
        <w:t>:</w:t>
      </w:r>
      <w:r w:rsidRPr="003D1EA7">
        <w:rPr>
          <w:rFonts w:cstheme="minorHAnsi"/>
          <w:szCs w:val="24"/>
        </w:rPr>
        <w:t xml:space="preserve"> 05.05.2022)</w:t>
      </w:r>
    </w:p>
  </w:footnote>
  <w:footnote w:id="148">
    <w:p w14:paraId="4D089ABD"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Wojewódzki Program Opieki nad Zabytkami Województwa Zachodniopomorskiego na lata 2017-2020, Szczecin 2017</w:t>
      </w:r>
    </w:p>
  </w:footnote>
  <w:footnote w:id="149">
    <w:p w14:paraId="5E251C66" w14:textId="77777777" w:rsidR="00D41923" w:rsidRPr="00267350" w:rsidRDefault="00D41923" w:rsidP="00B83214">
      <w:pPr>
        <w:pStyle w:val="Tekstprzypisudolnego"/>
        <w:jc w:val="left"/>
        <w:rPr>
          <w:rFonts w:cstheme="minorHAnsi"/>
          <w:szCs w:val="24"/>
        </w:rPr>
      </w:pPr>
      <w:r w:rsidRPr="003D1EA7">
        <w:rPr>
          <w:rStyle w:val="Odwoanieprzypisudolnego"/>
          <w:rFonts w:cstheme="minorHAnsi"/>
          <w:szCs w:val="24"/>
        </w:rPr>
        <w:footnoteRef/>
      </w:r>
      <w:r w:rsidRPr="003D1EA7">
        <w:rPr>
          <w:rFonts w:cstheme="minorHAnsi"/>
          <w:szCs w:val="24"/>
        </w:rPr>
        <w:t xml:space="preserve"> Narodowy Instytut Dziedzictwa - stan na 11.01.2022r. </w:t>
      </w:r>
      <w:hyperlink r:id="rId27" w:history="1">
        <w:r w:rsidRPr="003D1EA7">
          <w:rPr>
            <w:rStyle w:val="Hipercze"/>
            <w:rFonts w:cstheme="minorHAnsi"/>
            <w:szCs w:val="24"/>
          </w:rPr>
          <w:t>https://dane.gov.pl/dataset/154,zestawienie-danych-statystycznych-z-rejestru-zabytkow-zabytki-nieruchome</w:t>
        </w:r>
      </w:hyperlink>
      <w:r>
        <w:rPr>
          <w:rStyle w:val="Hipercze"/>
          <w:rFonts w:cstheme="minorHAnsi"/>
          <w:szCs w:val="24"/>
        </w:rPr>
        <w:t>;</w:t>
      </w:r>
      <w:r w:rsidRPr="003D1EA7">
        <w:rPr>
          <w:rFonts w:cstheme="minorHAnsi"/>
          <w:szCs w:val="24"/>
        </w:rPr>
        <w:t xml:space="preserve"> (dostęp z dn.</w:t>
      </w:r>
      <w:r>
        <w:rPr>
          <w:rFonts w:cstheme="minorHAnsi"/>
          <w:szCs w:val="24"/>
        </w:rPr>
        <w:t>:</w:t>
      </w:r>
      <w:r w:rsidRPr="003D1EA7">
        <w:rPr>
          <w:rFonts w:cstheme="minorHAnsi"/>
          <w:szCs w:val="24"/>
        </w:rPr>
        <w:t xml:space="preserve"> 05.05.2022)</w:t>
      </w:r>
    </w:p>
  </w:footnote>
  <w:footnote w:id="150">
    <w:p w14:paraId="50BF69CB"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Narodowy Instytut Dziedzictwa - stan na 13.12.2021 r.; </w:t>
      </w:r>
      <w:r>
        <w:rPr>
          <w:szCs w:val="24"/>
        </w:rPr>
        <w:t>(dostęp z dn.: 05.05.2022)</w:t>
      </w:r>
    </w:p>
    <w:p w14:paraId="5A4A6A6F" w14:textId="77777777" w:rsidR="00D41923" w:rsidRDefault="00D41923" w:rsidP="00B83214">
      <w:pPr>
        <w:pStyle w:val="Tekstprzypisudolnego"/>
        <w:rPr>
          <w:szCs w:val="24"/>
        </w:rPr>
      </w:pPr>
      <w:r w:rsidRPr="003D1EA7">
        <w:rPr>
          <w:szCs w:val="24"/>
        </w:rPr>
        <w:t>https://dane.gov.pl/pl/dataset/223,zestawienie-danych-statystycznych-z-rejestru-zabytkow-zabytki-ruchome/resource/35864/table?page=1&amp;per_page=20&amp;q=&amp;sort=</w:t>
      </w:r>
    </w:p>
    <w:p w14:paraId="73E20E6B" w14:textId="77777777" w:rsidR="00D41923" w:rsidRPr="005F4269" w:rsidRDefault="00D41923" w:rsidP="00B83214">
      <w:pPr>
        <w:pStyle w:val="Tekstprzypisudolnego"/>
        <w:rPr>
          <w:szCs w:val="24"/>
        </w:rPr>
      </w:pPr>
    </w:p>
  </w:footnote>
  <w:footnote w:id="151">
    <w:p w14:paraId="425026DE" w14:textId="77777777" w:rsidR="00D41923" w:rsidRPr="003D1EA7" w:rsidRDefault="00D41923" w:rsidP="00B83214">
      <w:pPr>
        <w:pStyle w:val="Tekstprzypisudolnego"/>
        <w:rPr>
          <w:szCs w:val="24"/>
        </w:rPr>
      </w:pPr>
      <w:r w:rsidRPr="003D1EA7">
        <w:rPr>
          <w:rStyle w:val="Odwoanieprzypisudolnego"/>
          <w:szCs w:val="24"/>
        </w:rPr>
        <w:footnoteRef/>
      </w:r>
      <w:r w:rsidRPr="003D1EA7">
        <w:rPr>
          <w:szCs w:val="24"/>
        </w:rPr>
        <w:t xml:space="preserve"> Wojewódzki Program Opieki nad Zabytkami Województwa Zachodniopomorskiego na lata 2017-2020, Szczecin</w:t>
      </w:r>
      <w:r>
        <w:rPr>
          <w:szCs w:val="24"/>
        </w:rPr>
        <w:t>,</w:t>
      </w:r>
      <w:r w:rsidRPr="003D1EA7">
        <w:rPr>
          <w:szCs w:val="24"/>
        </w:rPr>
        <w:t xml:space="preserve"> 2017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F279A"/>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0E7498B"/>
    <w:multiLevelType w:val="hybridMultilevel"/>
    <w:tmpl w:val="5EE27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6A76DB"/>
    <w:multiLevelType w:val="hybridMultilevel"/>
    <w:tmpl w:val="17A43D2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 w15:restartNumberingAfterBreak="0">
    <w:nsid w:val="04CC23C3"/>
    <w:multiLevelType w:val="hybridMultilevel"/>
    <w:tmpl w:val="537642A0"/>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 w15:restartNumberingAfterBreak="0">
    <w:nsid w:val="05536110"/>
    <w:multiLevelType w:val="hybridMultilevel"/>
    <w:tmpl w:val="FA9E15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6D426BB"/>
    <w:multiLevelType w:val="hybridMultilevel"/>
    <w:tmpl w:val="3084A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72A7570"/>
    <w:multiLevelType w:val="hybridMultilevel"/>
    <w:tmpl w:val="4C3E3CC8"/>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7" w15:restartNumberingAfterBreak="0">
    <w:nsid w:val="08211D9F"/>
    <w:multiLevelType w:val="hybridMultilevel"/>
    <w:tmpl w:val="47DE8720"/>
    <w:lvl w:ilvl="0" w:tplc="04150001">
      <w:start w:val="1"/>
      <w:numFmt w:val="bullet"/>
      <w:lvlText w:val=""/>
      <w:lvlJc w:val="left"/>
      <w:pPr>
        <w:ind w:left="720" w:hanging="360"/>
      </w:pPr>
      <w:rPr>
        <w:rFonts w:ascii="Symbol" w:hAnsi="Symbol" w:hint="default"/>
      </w:rPr>
    </w:lvl>
    <w:lvl w:ilvl="1" w:tplc="F00EF2F0">
      <w:start w:val="6"/>
      <w:numFmt w:val="bullet"/>
      <w:lvlText w:val="•"/>
      <w:lvlJc w:val="left"/>
      <w:pPr>
        <w:ind w:left="1785" w:hanging="705"/>
      </w:pPr>
      <w:rPr>
        <w:rFonts w:ascii="Calibri" w:eastAsiaTheme="minorEastAsia" w:hAnsi="Calibri" w:cstheme="minorBidi" w:hint="default"/>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 w15:restartNumberingAfterBreak="0">
    <w:nsid w:val="0D082489"/>
    <w:multiLevelType w:val="hybridMultilevel"/>
    <w:tmpl w:val="55201036"/>
    <w:lvl w:ilvl="0" w:tplc="AFD04B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D290E5C"/>
    <w:multiLevelType w:val="hybridMultilevel"/>
    <w:tmpl w:val="22F8DA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EC41A67"/>
    <w:multiLevelType w:val="hybridMultilevel"/>
    <w:tmpl w:val="349A4B92"/>
    <w:lvl w:ilvl="0" w:tplc="AFD04B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FC40DC0"/>
    <w:multiLevelType w:val="hybridMultilevel"/>
    <w:tmpl w:val="79AC1686"/>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2" w15:restartNumberingAfterBreak="0">
    <w:nsid w:val="12102B08"/>
    <w:multiLevelType w:val="hybridMultilevel"/>
    <w:tmpl w:val="029EE0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2283B5A"/>
    <w:multiLevelType w:val="hybridMultilevel"/>
    <w:tmpl w:val="17544A74"/>
    <w:lvl w:ilvl="0" w:tplc="0415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5714B46"/>
    <w:multiLevelType w:val="hybridMultilevel"/>
    <w:tmpl w:val="E95E47AC"/>
    <w:lvl w:ilvl="0" w:tplc="9610814E">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 w15:restartNumberingAfterBreak="0">
    <w:nsid w:val="166676DA"/>
    <w:multiLevelType w:val="hybridMultilevel"/>
    <w:tmpl w:val="97A64D28"/>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6" w15:restartNumberingAfterBreak="0">
    <w:nsid w:val="1A0E43CC"/>
    <w:multiLevelType w:val="hybridMultilevel"/>
    <w:tmpl w:val="4322015C"/>
    <w:lvl w:ilvl="0" w:tplc="A198E990">
      <w:start w:val="1"/>
      <w:numFmt w:val="lowerLetter"/>
      <w:lvlText w:val="%1)"/>
      <w:lvlJc w:val="left"/>
      <w:pPr>
        <w:ind w:left="720" w:hanging="360"/>
      </w:pPr>
      <w:rPr>
        <w:b w:val="0"/>
        <w:bCs w:val="0"/>
        <w:i w:val="0"/>
        <w:iCs/>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 w15:restartNumberingAfterBreak="0">
    <w:nsid w:val="1AF719F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51F5203"/>
    <w:multiLevelType w:val="hybridMultilevel"/>
    <w:tmpl w:val="2884AA98"/>
    <w:lvl w:ilvl="0" w:tplc="D19E287E">
      <w:start w:val="1"/>
      <w:numFmt w:val="bullet"/>
      <w:lvlText w:val="-"/>
      <w:lvlJc w:val="left"/>
      <w:rPr>
        <w:rFonts w:ascii="Courier New" w:hAnsi="Courier New"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2B144C18"/>
    <w:multiLevelType w:val="hybridMultilevel"/>
    <w:tmpl w:val="D7BCDC74"/>
    <w:lvl w:ilvl="0" w:tplc="FAEE47A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EDF5D35"/>
    <w:multiLevelType w:val="hybridMultilevel"/>
    <w:tmpl w:val="1676FF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2CD17C4"/>
    <w:multiLevelType w:val="hybridMultilevel"/>
    <w:tmpl w:val="E5E2A5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77243AA"/>
    <w:multiLevelType w:val="hybridMultilevel"/>
    <w:tmpl w:val="41B64432"/>
    <w:lvl w:ilvl="0" w:tplc="FAEE47A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CB646A4"/>
    <w:multiLevelType w:val="hybridMultilevel"/>
    <w:tmpl w:val="43F6828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3DB92EA3"/>
    <w:multiLevelType w:val="hybridMultilevel"/>
    <w:tmpl w:val="D8802854"/>
    <w:lvl w:ilvl="0" w:tplc="AFD04B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E8943DC"/>
    <w:multiLevelType w:val="hybridMultilevel"/>
    <w:tmpl w:val="8E34053E"/>
    <w:lvl w:ilvl="0" w:tplc="08090001">
      <w:start w:val="1"/>
      <w:numFmt w:val="bullet"/>
      <w:lvlText w:val=""/>
      <w:lvlJc w:val="left"/>
      <w:pPr>
        <w:ind w:left="1068" w:hanging="360"/>
      </w:pPr>
      <w:rPr>
        <w:rFonts w:ascii="Symbol" w:hAnsi="Symbol" w:hint="default"/>
      </w:rPr>
    </w:lvl>
    <w:lvl w:ilvl="1" w:tplc="08090003">
      <w:start w:val="1"/>
      <w:numFmt w:val="bullet"/>
      <w:lvlText w:val="o"/>
      <w:lvlJc w:val="left"/>
      <w:pPr>
        <w:ind w:left="1788" w:hanging="360"/>
      </w:pPr>
      <w:rPr>
        <w:rFonts w:ascii="Courier New" w:hAnsi="Courier New" w:cs="Courier New" w:hint="default"/>
      </w:rPr>
    </w:lvl>
    <w:lvl w:ilvl="2" w:tplc="08090005">
      <w:start w:val="1"/>
      <w:numFmt w:val="bullet"/>
      <w:lvlText w:val=""/>
      <w:lvlJc w:val="left"/>
      <w:pPr>
        <w:ind w:left="2508" w:hanging="360"/>
      </w:pPr>
      <w:rPr>
        <w:rFonts w:ascii="Wingdings" w:hAnsi="Wingdings" w:hint="default"/>
      </w:rPr>
    </w:lvl>
    <w:lvl w:ilvl="3" w:tplc="08090001">
      <w:start w:val="1"/>
      <w:numFmt w:val="bullet"/>
      <w:lvlText w:val=""/>
      <w:lvlJc w:val="left"/>
      <w:pPr>
        <w:ind w:left="3228" w:hanging="360"/>
      </w:pPr>
      <w:rPr>
        <w:rFonts w:ascii="Symbol" w:hAnsi="Symbol" w:hint="default"/>
      </w:rPr>
    </w:lvl>
    <w:lvl w:ilvl="4" w:tplc="08090003">
      <w:start w:val="1"/>
      <w:numFmt w:val="bullet"/>
      <w:lvlText w:val="o"/>
      <w:lvlJc w:val="left"/>
      <w:pPr>
        <w:ind w:left="3948" w:hanging="360"/>
      </w:pPr>
      <w:rPr>
        <w:rFonts w:ascii="Courier New" w:hAnsi="Courier New" w:cs="Courier New" w:hint="default"/>
      </w:rPr>
    </w:lvl>
    <w:lvl w:ilvl="5" w:tplc="08090005">
      <w:start w:val="1"/>
      <w:numFmt w:val="bullet"/>
      <w:lvlText w:val=""/>
      <w:lvlJc w:val="left"/>
      <w:pPr>
        <w:ind w:left="4668" w:hanging="360"/>
      </w:pPr>
      <w:rPr>
        <w:rFonts w:ascii="Wingdings" w:hAnsi="Wingdings" w:hint="default"/>
      </w:rPr>
    </w:lvl>
    <w:lvl w:ilvl="6" w:tplc="08090001">
      <w:start w:val="1"/>
      <w:numFmt w:val="bullet"/>
      <w:lvlText w:val=""/>
      <w:lvlJc w:val="left"/>
      <w:pPr>
        <w:ind w:left="5388" w:hanging="360"/>
      </w:pPr>
      <w:rPr>
        <w:rFonts w:ascii="Symbol" w:hAnsi="Symbol" w:hint="default"/>
      </w:rPr>
    </w:lvl>
    <w:lvl w:ilvl="7" w:tplc="08090003">
      <w:start w:val="1"/>
      <w:numFmt w:val="bullet"/>
      <w:lvlText w:val="o"/>
      <w:lvlJc w:val="left"/>
      <w:pPr>
        <w:ind w:left="6108" w:hanging="360"/>
      </w:pPr>
      <w:rPr>
        <w:rFonts w:ascii="Courier New" w:hAnsi="Courier New" w:cs="Courier New" w:hint="default"/>
      </w:rPr>
    </w:lvl>
    <w:lvl w:ilvl="8" w:tplc="08090005">
      <w:start w:val="1"/>
      <w:numFmt w:val="bullet"/>
      <w:lvlText w:val=""/>
      <w:lvlJc w:val="left"/>
      <w:pPr>
        <w:ind w:left="6828" w:hanging="360"/>
      </w:pPr>
      <w:rPr>
        <w:rFonts w:ascii="Wingdings" w:hAnsi="Wingdings" w:hint="default"/>
      </w:rPr>
    </w:lvl>
  </w:abstractNum>
  <w:abstractNum w:abstractNumId="26" w15:restartNumberingAfterBreak="0">
    <w:nsid w:val="3EB737E3"/>
    <w:multiLevelType w:val="hybridMultilevel"/>
    <w:tmpl w:val="964424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33D48C6"/>
    <w:multiLevelType w:val="hybridMultilevel"/>
    <w:tmpl w:val="EEA4C05E"/>
    <w:lvl w:ilvl="0" w:tplc="0415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8" w15:restartNumberingAfterBreak="0">
    <w:nsid w:val="467D5FE1"/>
    <w:multiLevelType w:val="hybridMultilevel"/>
    <w:tmpl w:val="C2945F78"/>
    <w:lvl w:ilvl="0" w:tplc="AFD04B14">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9" w15:restartNumberingAfterBreak="0">
    <w:nsid w:val="47886D9C"/>
    <w:multiLevelType w:val="hybridMultilevel"/>
    <w:tmpl w:val="7F624F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7D32EA1"/>
    <w:multiLevelType w:val="hybridMultilevel"/>
    <w:tmpl w:val="43D817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7E71C37"/>
    <w:multiLevelType w:val="hybridMultilevel"/>
    <w:tmpl w:val="35683D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A915F02"/>
    <w:multiLevelType w:val="hybridMultilevel"/>
    <w:tmpl w:val="3F2261B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3" w15:restartNumberingAfterBreak="0">
    <w:nsid w:val="4C010376"/>
    <w:multiLevelType w:val="hybridMultilevel"/>
    <w:tmpl w:val="C5001B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DFC713C"/>
    <w:multiLevelType w:val="hybridMultilevel"/>
    <w:tmpl w:val="E9ACEDD0"/>
    <w:lvl w:ilvl="0" w:tplc="42ECCAE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5" w15:restartNumberingAfterBreak="0">
    <w:nsid w:val="4E9E4BF6"/>
    <w:multiLevelType w:val="hybridMultilevel"/>
    <w:tmpl w:val="E8129F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510504AB"/>
    <w:multiLevelType w:val="hybridMultilevel"/>
    <w:tmpl w:val="833864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556D0001"/>
    <w:multiLevelType w:val="hybridMultilevel"/>
    <w:tmpl w:val="494EC0CC"/>
    <w:lvl w:ilvl="0" w:tplc="04150017">
      <w:start w:val="1"/>
      <w:numFmt w:val="lowerLetter"/>
      <w:lvlText w:val="%1)"/>
      <w:lvlJc w:val="left"/>
      <w:pPr>
        <w:ind w:left="720" w:hanging="360"/>
      </w:pPr>
    </w:lvl>
    <w:lvl w:ilvl="1" w:tplc="DEEA4836">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55FB4366"/>
    <w:multiLevelType w:val="hybridMultilevel"/>
    <w:tmpl w:val="D8D889E0"/>
    <w:lvl w:ilvl="0" w:tplc="04150011">
      <w:start w:val="1"/>
      <w:numFmt w:val="decimal"/>
      <w:lvlText w:val="%1)"/>
      <w:lvlJc w:val="left"/>
      <w:pPr>
        <w:ind w:left="720" w:hanging="360"/>
      </w:pPr>
    </w:lvl>
    <w:lvl w:ilvl="1" w:tplc="F00EF2F0">
      <w:start w:val="6"/>
      <w:numFmt w:val="bullet"/>
      <w:lvlText w:val="•"/>
      <w:lvlJc w:val="left"/>
      <w:pPr>
        <w:ind w:left="1785" w:hanging="705"/>
      </w:pPr>
      <w:rPr>
        <w:rFonts w:ascii="Calibri" w:eastAsiaTheme="minorEastAsia" w:hAnsi="Calibri" w:cstheme="minorBidi" w:hint="default"/>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9" w15:restartNumberingAfterBreak="0">
    <w:nsid w:val="55FF6005"/>
    <w:multiLevelType w:val="hybridMultilevel"/>
    <w:tmpl w:val="FA92584C"/>
    <w:lvl w:ilvl="0" w:tplc="D19E287E">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0" w15:restartNumberingAfterBreak="0">
    <w:nsid w:val="561B1539"/>
    <w:multiLevelType w:val="hybridMultilevel"/>
    <w:tmpl w:val="E53EFB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653707A"/>
    <w:multiLevelType w:val="hybridMultilevel"/>
    <w:tmpl w:val="B2C0E3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7D37123"/>
    <w:multiLevelType w:val="hybridMultilevel"/>
    <w:tmpl w:val="89CA75A8"/>
    <w:lvl w:ilvl="0" w:tplc="0415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15:restartNumberingAfterBreak="0">
    <w:nsid w:val="608E733F"/>
    <w:multiLevelType w:val="hybridMultilevel"/>
    <w:tmpl w:val="1B68E2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44D3379"/>
    <w:multiLevelType w:val="hybridMultilevel"/>
    <w:tmpl w:val="C6F8A4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A546BAA"/>
    <w:multiLevelType w:val="hybridMultilevel"/>
    <w:tmpl w:val="C3D09B7A"/>
    <w:lvl w:ilvl="0" w:tplc="AFD04B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ABC6B85"/>
    <w:multiLevelType w:val="hybridMultilevel"/>
    <w:tmpl w:val="48CE5BFC"/>
    <w:lvl w:ilvl="0" w:tplc="AFD04B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AFE4E84"/>
    <w:multiLevelType w:val="hybridMultilevel"/>
    <w:tmpl w:val="C2D01F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6B143EEC"/>
    <w:multiLevelType w:val="hybridMultilevel"/>
    <w:tmpl w:val="A140935C"/>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42ECCAE0">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9" w15:restartNumberingAfterBreak="0">
    <w:nsid w:val="6CD56644"/>
    <w:multiLevelType w:val="hybridMultilevel"/>
    <w:tmpl w:val="F272A2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D036692"/>
    <w:multiLevelType w:val="hybridMultilevel"/>
    <w:tmpl w:val="89589870"/>
    <w:lvl w:ilvl="0" w:tplc="70F25684">
      <w:start w:val="1"/>
      <w:numFmt w:val="bullet"/>
      <w:lvlText w:val=""/>
      <w:lvlJc w:val="left"/>
      <w:pPr>
        <w:ind w:left="770" w:hanging="360"/>
      </w:pPr>
      <w:rPr>
        <w:rFonts w:ascii="Symbol" w:hAnsi="Symbol" w:hint="default"/>
        <w:sz w:val="18"/>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51" w15:restartNumberingAfterBreak="0">
    <w:nsid w:val="6FD500A2"/>
    <w:multiLevelType w:val="hybridMultilevel"/>
    <w:tmpl w:val="DB8C0BEA"/>
    <w:lvl w:ilvl="0" w:tplc="AFD04B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713371AB"/>
    <w:multiLevelType w:val="hybridMultilevel"/>
    <w:tmpl w:val="13B21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73642382"/>
    <w:multiLevelType w:val="hybridMultilevel"/>
    <w:tmpl w:val="CAB8AE92"/>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4" w15:restartNumberingAfterBreak="0">
    <w:nsid w:val="74E369AF"/>
    <w:multiLevelType w:val="hybridMultilevel"/>
    <w:tmpl w:val="4E7A29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7460BBF"/>
    <w:multiLevelType w:val="hybridMultilevel"/>
    <w:tmpl w:val="947E1E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6" w15:restartNumberingAfterBreak="0">
    <w:nsid w:val="79591B64"/>
    <w:multiLevelType w:val="hybridMultilevel"/>
    <w:tmpl w:val="018CCA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EB42474"/>
    <w:multiLevelType w:val="hybridMultilevel"/>
    <w:tmpl w:val="6734B9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0"/>
  </w:num>
  <w:num w:numId="2">
    <w:abstractNumId w:val="36"/>
  </w:num>
  <w:num w:numId="3">
    <w:abstractNumId w:val="37"/>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2"/>
  </w:num>
  <w:num w:numId="6">
    <w:abstractNumId w:val="18"/>
  </w:num>
  <w:num w:numId="7">
    <w:abstractNumId w:val="39"/>
  </w:num>
  <w:num w:numId="8">
    <w:abstractNumId w:val="33"/>
  </w:num>
  <w:num w:numId="9">
    <w:abstractNumId w:val="52"/>
  </w:num>
  <w:num w:numId="10">
    <w:abstractNumId w:val="21"/>
  </w:num>
  <w:num w:numId="11">
    <w:abstractNumId w:val="40"/>
  </w:num>
  <w:num w:numId="12">
    <w:abstractNumId w:val="43"/>
  </w:num>
  <w:num w:numId="13">
    <w:abstractNumId w:val="23"/>
  </w:num>
  <w:num w:numId="14">
    <w:abstractNumId w:val="6"/>
  </w:num>
  <w:num w:numId="15">
    <w:abstractNumId w:val="26"/>
  </w:num>
  <w:num w:numId="16">
    <w:abstractNumId w:val="31"/>
  </w:num>
  <w:num w:numId="17">
    <w:abstractNumId w:val="9"/>
  </w:num>
  <w:num w:numId="18">
    <w:abstractNumId w:val="2"/>
  </w:num>
  <w:num w:numId="19">
    <w:abstractNumId w:val="53"/>
  </w:num>
  <w:num w:numId="20">
    <w:abstractNumId w:val="55"/>
  </w:num>
  <w:num w:numId="21">
    <w:abstractNumId w:val="57"/>
  </w:num>
  <w:num w:numId="22">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
  </w:num>
  <w:num w:numId="2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5"/>
  </w:num>
  <w:num w:numId="27">
    <w:abstractNumId w:val="30"/>
  </w:num>
  <w:num w:numId="28">
    <w:abstractNumId w:val="4"/>
  </w:num>
  <w:num w:numId="29">
    <w:abstractNumId w:val="44"/>
  </w:num>
  <w:num w:numId="30">
    <w:abstractNumId w:val="34"/>
  </w:num>
  <w:num w:numId="31">
    <w:abstractNumId w:val="48"/>
  </w:num>
  <w:num w:numId="32">
    <w:abstractNumId w:val="50"/>
  </w:num>
  <w:num w:numId="33">
    <w:abstractNumId w:val="22"/>
  </w:num>
  <w:num w:numId="34">
    <w:abstractNumId w:val="15"/>
  </w:num>
  <w:num w:numId="35">
    <w:abstractNumId w:val="19"/>
  </w:num>
  <w:num w:numId="36">
    <w:abstractNumId w:val="54"/>
  </w:num>
  <w:num w:numId="37">
    <w:abstractNumId w:val="20"/>
  </w:num>
  <w:num w:numId="38">
    <w:abstractNumId w:val="45"/>
  </w:num>
  <w:num w:numId="39">
    <w:abstractNumId w:val="46"/>
  </w:num>
  <w:num w:numId="40">
    <w:abstractNumId w:val="28"/>
  </w:num>
  <w:num w:numId="41">
    <w:abstractNumId w:val="24"/>
  </w:num>
  <w:num w:numId="42">
    <w:abstractNumId w:val="10"/>
  </w:num>
  <w:num w:numId="43">
    <w:abstractNumId w:val="51"/>
  </w:num>
  <w:num w:numId="44">
    <w:abstractNumId w:val="8"/>
  </w:num>
  <w:num w:numId="45">
    <w:abstractNumId w:val="12"/>
  </w:num>
  <w:num w:numId="46">
    <w:abstractNumId w:val="13"/>
  </w:num>
  <w:num w:numId="47">
    <w:abstractNumId w:val="3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
  </w:num>
  <w:num w:numId="50">
    <w:abstractNumId w:val="47"/>
  </w:num>
  <w:num w:numId="51">
    <w:abstractNumId w:val="5"/>
  </w:num>
  <w:num w:numId="52">
    <w:abstractNumId w:val="32"/>
  </w:num>
  <w:num w:numId="53">
    <w:abstractNumId w:val="49"/>
  </w:num>
  <w:num w:numId="54">
    <w:abstractNumId w:val="1"/>
  </w:num>
  <w:num w:numId="55">
    <w:abstractNumId w:val="29"/>
  </w:num>
  <w:num w:numId="56">
    <w:abstractNumId w:val="56"/>
  </w:num>
  <w:num w:numId="57">
    <w:abstractNumId w:val="41"/>
  </w:num>
  <w:num w:numId="58">
    <w:abstractNumId w:val="35"/>
  </w:num>
  <w:num w:numId="59">
    <w:abstractNumId w:val="3"/>
  </w:num>
  <w:num w:numId="60">
    <w:abstractNumId w:val="27"/>
  </w:num>
  <w:num w:numId="61">
    <w:abstractNumId w:val="1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YwMDMzMzUwNjA1MjRT0lEKTi0uzszPAykwrgUAnljzpiwAAAA="/>
  </w:docVars>
  <w:rsids>
    <w:rsidRoot w:val="00FD4747"/>
    <w:rsid w:val="000021C6"/>
    <w:rsid w:val="00002328"/>
    <w:rsid w:val="00004453"/>
    <w:rsid w:val="00007B81"/>
    <w:rsid w:val="00011BF3"/>
    <w:rsid w:val="00011D52"/>
    <w:rsid w:val="0001265D"/>
    <w:rsid w:val="00012F24"/>
    <w:rsid w:val="00020323"/>
    <w:rsid w:val="00020C09"/>
    <w:rsid w:val="00022E1C"/>
    <w:rsid w:val="00030538"/>
    <w:rsid w:val="0003605F"/>
    <w:rsid w:val="000372F1"/>
    <w:rsid w:val="00037F20"/>
    <w:rsid w:val="00041840"/>
    <w:rsid w:val="00041C61"/>
    <w:rsid w:val="00043BFA"/>
    <w:rsid w:val="00046991"/>
    <w:rsid w:val="000472C1"/>
    <w:rsid w:val="00047634"/>
    <w:rsid w:val="00050822"/>
    <w:rsid w:val="000547C2"/>
    <w:rsid w:val="000548D8"/>
    <w:rsid w:val="0005560C"/>
    <w:rsid w:val="00057B9A"/>
    <w:rsid w:val="000643F6"/>
    <w:rsid w:val="000703D1"/>
    <w:rsid w:val="000709ED"/>
    <w:rsid w:val="0007353C"/>
    <w:rsid w:val="000750ED"/>
    <w:rsid w:val="000764E8"/>
    <w:rsid w:val="0008085D"/>
    <w:rsid w:val="0008107F"/>
    <w:rsid w:val="00085502"/>
    <w:rsid w:val="00085795"/>
    <w:rsid w:val="0008771B"/>
    <w:rsid w:val="000943A0"/>
    <w:rsid w:val="00094CB3"/>
    <w:rsid w:val="00094D9D"/>
    <w:rsid w:val="00094EAC"/>
    <w:rsid w:val="000958A9"/>
    <w:rsid w:val="0009678B"/>
    <w:rsid w:val="00096AA8"/>
    <w:rsid w:val="00096F80"/>
    <w:rsid w:val="000A01CA"/>
    <w:rsid w:val="000A183E"/>
    <w:rsid w:val="000A4FD4"/>
    <w:rsid w:val="000B07CE"/>
    <w:rsid w:val="000B1C29"/>
    <w:rsid w:val="000B2DAE"/>
    <w:rsid w:val="000B4D7D"/>
    <w:rsid w:val="000B5638"/>
    <w:rsid w:val="000B5A1D"/>
    <w:rsid w:val="000C476A"/>
    <w:rsid w:val="000C518E"/>
    <w:rsid w:val="000C5C16"/>
    <w:rsid w:val="000D5D61"/>
    <w:rsid w:val="000E112E"/>
    <w:rsid w:val="000E34B4"/>
    <w:rsid w:val="000F0C9C"/>
    <w:rsid w:val="000F159A"/>
    <w:rsid w:val="000F3529"/>
    <w:rsid w:val="000F4A05"/>
    <w:rsid w:val="000F6B81"/>
    <w:rsid w:val="00100513"/>
    <w:rsid w:val="00100F0E"/>
    <w:rsid w:val="001023C8"/>
    <w:rsid w:val="001058EF"/>
    <w:rsid w:val="001062B0"/>
    <w:rsid w:val="00106789"/>
    <w:rsid w:val="001108E7"/>
    <w:rsid w:val="00126070"/>
    <w:rsid w:val="00127D3A"/>
    <w:rsid w:val="00130B71"/>
    <w:rsid w:val="0013641A"/>
    <w:rsid w:val="00137FE3"/>
    <w:rsid w:val="00143927"/>
    <w:rsid w:val="00147713"/>
    <w:rsid w:val="00153336"/>
    <w:rsid w:val="00153963"/>
    <w:rsid w:val="00154DC4"/>
    <w:rsid w:val="00155EFF"/>
    <w:rsid w:val="001563AE"/>
    <w:rsid w:val="001640FF"/>
    <w:rsid w:val="00166C07"/>
    <w:rsid w:val="00174012"/>
    <w:rsid w:val="00177D02"/>
    <w:rsid w:val="001834BA"/>
    <w:rsid w:val="00190A9C"/>
    <w:rsid w:val="00194782"/>
    <w:rsid w:val="00194F0C"/>
    <w:rsid w:val="0019748B"/>
    <w:rsid w:val="001A33FE"/>
    <w:rsid w:val="001A4FFD"/>
    <w:rsid w:val="001A6692"/>
    <w:rsid w:val="001B494E"/>
    <w:rsid w:val="001B58F4"/>
    <w:rsid w:val="001B6E06"/>
    <w:rsid w:val="001C6693"/>
    <w:rsid w:val="001C6A79"/>
    <w:rsid w:val="001C71F6"/>
    <w:rsid w:val="001D0DAA"/>
    <w:rsid w:val="001D39A7"/>
    <w:rsid w:val="001D680B"/>
    <w:rsid w:val="001D7023"/>
    <w:rsid w:val="001E405E"/>
    <w:rsid w:val="001E5312"/>
    <w:rsid w:val="001E569F"/>
    <w:rsid w:val="001E74BE"/>
    <w:rsid w:val="001E762B"/>
    <w:rsid w:val="001F1B6C"/>
    <w:rsid w:val="001F59A6"/>
    <w:rsid w:val="001F730F"/>
    <w:rsid w:val="002037CC"/>
    <w:rsid w:val="00203836"/>
    <w:rsid w:val="00207BE6"/>
    <w:rsid w:val="00221B49"/>
    <w:rsid w:val="0022532D"/>
    <w:rsid w:val="00230878"/>
    <w:rsid w:val="00236061"/>
    <w:rsid w:val="00236B27"/>
    <w:rsid w:val="0023704D"/>
    <w:rsid w:val="002406D4"/>
    <w:rsid w:val="00242BA3"/>
    <w:rsid w:val="00246BE4"/>
    <w:rsid w:val="00251D38"/>
    <w:rsid w:val="0025241D"/>
    <w:rsid w:val="00255E8F"/>
    <w:rsid w:val="0026029D"/>
    <w:rsid w:val="0026051C"/>
    <w:rsid w:val="00263227"/>
    <w:rsid w:val="00264131"/>
    <w:rsid w:val="002645C8"/>
    <w:rsid w:val="00265035"/>
    <w:rsid w:val="00265C86"/>
    <w:rsid w:val="00270DBE"/>
    <w:rsid w:val="00273D83"/>
    <w:rsid w:val="00274954"/>
    <w:rsid w:val="002751B1"/>
    <w:rsid w:val="002761E5"/>
    <w:rsid w:val="00276651"/>
    <w:rsid w:val="00280070"/>
    <w:rsid w:val="0028102A"/>
    <w:rsid w:val="00283B61"/>
    <w:rsid w:val="002864C1"/>
    <w:rsid w:val="00286ECE"/>
    <w:rsid w:val="002874D8"/>
    <w:rsid w:val="00287712"/>
    <w:rsid w:val="00294F4B"/>
    <w:rsid w:val="002A2F4D"/>
    <w:rsid w:val="002A3572"/>
    <w:rsid w:val="002A35C0"/>
    <w:rsid w:val="002B2963"/>
    <w:rsid w:val="002B2C0E"/>
    <w:rsid w:val="002B3CE1"/>
    <w:rsid w:val="002B5007"/>
    <w:rsid w:val="002B5218"/>
    <w:rsid w:val="002B69BE"/>
    <w:rsid w:val="002B7050"/>
    <w:rsid w:val="002C2431"/>
    <w:rsid w:val="002C2679"/>
    <w:rsid w:val="002C741A"/>
    <w:rsid w:val="002D1169"/>
    <w:rsid w:val="002D18CF"/>
    <w:rsid w:val="002D252B"/>
    <w:rsid w:val="002D2D77"/>
    <w:rsid w:val="002D6CC1"/>
    <w:rsid w:val="002E2DD0"/>
    <w:rsid w:val="002E2FB7"/>
    <w:rsid w:val="002E3456"/>
    <w:rsid w:val="002E56D5"/>
    <w:rsid w:val="002E6D5C"/>
    <w:rsid w:val="002F19E1"/>
    <w:rsid w:val="002F344B"/>
    <w:rsid w:val="002F4818"/>
    <w:rsid w:val="00300067"/>
    <w:rsid w:val="0030319C"/>
    <w:rsid w:val="003054EA"/>
    <w:rsid w:val="00311390"/>
    <w:rsid w:val="00316199"/>
    <w:rsid w:val="00317A38"/>
    <w:rsid w:val="003222BA"/>
    <w:rsid w:val="00324895"/>
    <w:rsid w:val="00341CEF"/>
    <w:rsid w:val="0034491F"/>
    <w:rsid w:val="00346C0A"/>
    <w:rsid w:val="00346CE8"/>
    <w:rsid w:val="00347A59"/>
    <w:rsid w:val="00350B0A"/>
    <w:rsid w:val="00352273"/>
    <w:rsid w:val="00352556"/>
    <w:rsid w:val="00354156"/>
    <w:rsid w:val="00356308"/>
    <w:rsid w:val="00356CDA"/>
    <w:rsid w:val="00357D18"/>
    <w:rsid w:val="0036505F"/>
    <w:rsid w:val="003657EB"/>
    <w:rsid w:val="0038195A"/>
    <w:rsid w:val="00381AEB"/>
    <w:rsid w:val="003820D5"/>
    <w:rsid w:val="00385D79"/>
    <w:rsid w:val="00386806"/>
    <w:rsid w:val="003920D5"/>
    <w:rsid w:val="003948FC"/>
    <w:rsid w:val="00396BBF"/>
    <w:rsid w:val="003A054C"/>
    <w:rsid w:val="003A33A3"/>
    <w:rsid w:val="003A3E93"/>
    <w:rsid w:val="003A79F1"/>
    <w:rsid w:val="003B0816"/>
    <w:rsid w:val="003B455A"/>
    <w:rsid w:val="003C4CFD"/>
    <w:rsid w:val="003D08BF"/>
    <w:rsid w:val="003D1C05"/>
    <w:rsid w:val="003D3A86"/>
    <w:rsid w:val="003D52B9"/>
    <w:rsid w:val="003D625C"/>
    <w:rsid w:val="003D73FC"/>
    <w:rsid w:val="003E4408"/>
    <w:rsid w:val="003E4B5B"/>
    <w:rsid w:val="003E7CE2"/>
    <w:rsid w:val="003F6A05"/>
    <w:rsid w:val="00401DA4"/>
    <w:rsid w:val="00410D5D"/>
    <w:rsid w:val="004110A4"/>
    <w:rsid w:val="004121A0"/>
    <w:rsid w:val="0041347F"/>
    <w:rsid w:val="00415E11"/>
    <w:rsid w:val="004172E2"/>
    <w:rsid w:val="004251AB"/>
    <w:rsid w:val="00430EBB"/>
    <w:rsid w:val="00431AC6"/>
    <w:rsid w:val="00432925"/>
    <w:rsid w:val="00434CE7"/>
    <w:rsid w:val="00437E0C"/>
    <w:rsid w:val="0044065E"/>
    <w:rsid w:val="00441035"/>
    <w:rsid w:val="00443F04"/>
    <w:rsid w:val="00444656"/>
    <w:rsid w:val="00445B2D"/>
    <w:rsid w:val="00446FAC"/>
    <w:rsid w:val="0045117A"/>
    <w:rsid w:val="0045515E"/>
    <w:rsid w:val="00457871"/>
    <w:rsid w:val="00462C5D"/>
    <w:rsid w:val="00462D19"/>
    <w:rsid w:val="00463673"/>
    <w:rsid w:val="00465B02"/>
    <w:rsid w:val="00466084"/>
    <w:rsid w:val="004677D9"/>
    <w:rsid w:val="00471F12"/>
    <w:rsid w:val="004909B2"/>
    <w:rsid w:val="004914D6"/>
    <w:rsid w:val="00495226"/>
    <w:rsid w:val="004979A5"/>
    <w:rsid w:val="004A0C90"/>
    <w:rsid w:val="004A3C28"/>
    <w:rsid w:val="004A3F0D"/>
    <w:rsid w:val="004B61CC"/>
    <w:rsid w:val="004C00B9"/>
    <w:rsid w:val="004C04E2"/>
    <w:rsid w:val="004C051F"/>
    <w:rsid w:val="004C62A5"/>
    <w:rsid w:val="004C6823"/>
    <w:rsid w:val="004D169A"/>
    <w:rsid w:val="004D5654"/>
    <w:rsid w:val="004D68B3"/>
    <w:rsid w:val="004E00FF"/>
    <w:rsid w:val="004E2CD3"/>
    <w:rsid w:val="004F050E"/>
    <w:rsid w:val="004F5016"/>
    <w:rsid w:val="004F5442"/>
    <w:rsid w:val="004F629C"/>
    <w:rsid w:val="005021CE"/>
    <w:rsid w:val="00502CE1"/>
    <w:rsid w:val="0050596D"/>
    <w:rsid w:val="00511D0D"/>
    <w:rsid w:val="00516890"/>
    <w:rsid w:val="00516D0E"/>
    <w:rsid w:val="00516D40"/>
    <w:rsid w:val="005171A1"/>
    <w:rsid w:val="005215AB"/>
    <w:rsid w:val="005232D6"/>
    <w:rsid w:val="00525125"/>
    <w:rsid w:val="005256E2"/>
    <w:rsid w:val="005322A4"/>
    <w:rsid w:val="005374B6"/>
    <w:rsid w:val="00540DA9"/>
    <w:rsid w:val="00542160"/>
    <w:rsid w:val="005425F2"/>
    <w:rsid w:val="005475A8"/>
    <w:rsid w:val="00550690"/>
    <w:rsid w:val="00550BD6"/>
    <w:rsid w:val="00552B4C"/>
    <w:rsid w:val="00553162"/>
    <w:rsid w:val="0055674F"/>
    <w:rsid w:val="00557358"/>
    <w:rsid w:val="00561B98"/>
    <w:rsid w:val="00562863"/>
    <w:rsid w:val="00562B13"/>
    <w:rsid w:val="00563C5C"/>
    <w:rsid w:val="00566140"/>
    <w:rsid w:val="00570EDB"/>
    <w:rsid w:val="00571D96"/>
    <w:rsid w:val="005720F8"/>
    <w:rsid w:val="00576AA9"/>
    <w:rsid w:val="0058135F"/>
    <w:rsid w:val="00583870"/>
    <w:rsid w:val="00591F3A"/>
    <w:rsid w:val="005944B3"/>
    <w:rsid w:val="00595113"/>
    <w:rsid w:val="00595670"/>
    <w:rsid w:val="005A059A"/>
    <w:rsid w:val="005A4C41"/>
    <w:rsid w:val="005A4ED3"/>
    <w:rsid w:val="005A4FF4"/>
    <w:rsid w:val="005A6165"/>
    <w:rsid w:val="005B03E8"/>
    <w:rsid w:val="005B1A57"/>
    <w:rsid w:val="005B3617"/>
    <w:rsid w:val="005B5288"/>
    <w:rsid w:val="005C240D"/>
    <w:rsid w:val="005C51D0"/>
    <w:rsid w:val="005D37AE"/>
    <w:rsid w:val="005D4B48"/>
    <w:rsid w:val="005D65B8"/>
    <w:rsid w:val="005D6E9D"/>
    <w:rsid w:val="005E30EA"/>
    <w:rsid w:val="005E3B1F"/>
    <w:rsid w:val="005E5DA5"/>
    <w:rsid w:val="005F2DE8"/>
    <w:rsid w:val="005F6F32"/>
    <w:rsid w:val="005F772F"/>
    <w:rsid w:val="00601B7F"/>
    <w:rsid w:val="00601D4B"/>
    <w:rsid w:val="00604B14"/>
    <w:rsid w:val="00604D84"/>
    <w:rsid w:val="00607D6B"/>
    <w:rsid w:val="00607EAF"/>
    <w:rsid w:val="00610639"/>
    <w:rsid w:val="006122B5"/>
    <w:rsid w:val="00613820"/>
    <w:rsid w:val="00613945"/>
    <w:rsid w:val="00616EFA"/>
    <w:rsid w:val="00622DC9"/>
    <w:rsid w:val="00625D5C"/>
    <w:rsid w:val="00632BAB"/>
    <w:rsid w:val="0064235A"/>
    <w:rsid w:val="00643CF3"/>
    <w:rsid w:val="00644133"/>
    <w:rsid w:val="00644D4B"/>
    <w:rsid w:val="00644E10"/>
    <w:rsid w:val="00645FED"/>
    <w:rsid w:val="00647E6C"/>
    <w:rsid w:val="0065252D"/>
    <w:rsid w:val="00655B1E"/>
    <w:rsid w:val="00656096"/>
    <w:rsid w:val="00656C05"/>
    <w:rsid w:val="006607F4"/>
    <w:rsid w:val="00665323"/>
    <w:rsid w:val="00666B9A"/>
    <w:rsid w:val="006711E7"/>
    <w:rsid w:val="00674574"/>
    <w:rsid w:val="00676218"/>
    <w:rsid w:val="00676CF4"/>
    <w:rsid w:val="00680739"/>
    <w:rsid w:val="0068454B"/>
    <w:rsid w:val="00687166"/>
    <w:rsid w:val="006902D3"/>
    <w:rsid w:val="00693D8D"/>
    <w:rsid w:val="00694632"/>
    <w:rsid w:val="0069574D"/>
    <w:rsid w:val="00697633"/>
    <w:rsid w:val="006A48FE"/>
    <w:rsid w:val="006A5D89"/>
    <w:rsid w:val="006A6C11"/>
    <w:rsid w:val="006A6CE2"/>
    <w:rsid w:val="006A7FC6"/>
    <w:rsid w:val="006B02C6"/>
    <w:rsid w:val="006B075C"/>
    <w:rsid w:val="006B103B"/>
    <w:rsid w:val="006B1341"/>
    <w:rsid w:val="006B1781"/>
    <w:rsid w:val="006B2F2F"/>
    <w:rsid w:val="006C1229"/>
    <w:rsid w:val="006D5778"/>
    <w:rsid w:val="006D6173"/>
    <w:rsid w:val="006D66AB"/>
    <w:rsid w:val="006E0373"/>
    <w:rsid w:val="006E2C7D"/>
    <w:rsid w:val="006E2D11"/>
    <w:rsid w:val="006E38B9"/>
    <w:rsid w:val="006E5256"/>
    <w:rsid w:val="006F7539"/>
    <w:rsid w:val="0070569A"/>
    <w:rsid w:val="0071289D"/>
    <w:rsid w:val="007137F5"/>
    <w:rsid w:val="007138D3"/>
    <w:rsid w:val="00713B74"/>
    <w:rsid w:val="00713B79"/>
    <w:rsid w:val="0072021C"/>
    <w:rsid w:val="00720E10"/>
    <w:rsid w:val="00724D30"/>
    <w:rsid w:val="0072521A"/>
    <w:rsid w:val="0072535C"/>
    <w:rsid w:val="00731235"/>
    <w:rsid w:val="0074015A"/>
    <w:rsid w:val="00741F0C"/>
    <w:rsid w:val="0074282C"/>
    <w:rsid w:val="007458F3"/>
    <w:rsid w:val="0075539D"/>
    <w:rsid w:val="007574C2"/>
    <w:rsid w:val="00757C6B"/>
    <w:rsid w:val="007617EA"/>
    <w:rsid w:val="007648AB"/>
    <w:rsid w:val="00771C52"/>
    <w:rsid w:val="00775220"/>
    <w:rsid w:val="00777B0B"/>
    <w:rsid w:val="007804CB"/>
    <w:rsid w:val="0078386F"/>
    <w:rsid w:val="00784188"/>
    <w:rsid w:val="00786CBD"/>
    <w:rsid w:val="00791950"/>
    <w:rsid w:val="007943F1"/>
    <w:rsid w:val="007A3C1C"/>
    <w:rsid w:val="007A4203"/>
    <w:rsid w:val="007B145C"/>
    <w:rsid w:val="007B6366"/>
    <w:rsid w:val="007C07ED"/>
    <w:rsid w:val="007D222F"/>
    <w:rsid w:val="007D2B8C"/>
    <w:rsid w:val="007D2C97"/>
    <w:rsid w:val="007D39A5"/>
    <w:rsid w:val="007D4724"/>
    <w:rsid w:val="007D695D"/>
    <w:rsid w:val="007E3454"/>
    <w:rsid w:val="007F3A35"/>
    <w:rsid w:val="007F5F74"/>
    <w:rsid w:val="007F6633"/>
    <w:rsid w:val="008003F7"/>
    <w:rsid w:val="008004E0"/>
    <w:rsid w:val="00803C70"/>
    <w:rsid w:val="00804DC2"/>
    <w:rsid w:val="00807670"/>
    <w:rsid w:val="008076C1"/>
    <w:rsid w:val="008159AB"/>
    <w:rsid w:val="00817B74"/>
    <w:rsid w:val="00820D49"/>
    <w:rsid w:val="008232AF"/>
    <w:rsid w:val="00825EBB"/>
    <w:rsid w:val="008306F4"/>
    <w:rsid w:val="008434E8"/>
    <w:rsid w:val="0084385F"/>
    <w:rsid w:val="008443D7"/>
    <w:rsid w:val="008467C6"/>
    <w:rsid w:val="00846A00"/>
    <w:rsid w:val="00851452"/>
    <w:rsid w:val="00851FE4"/>
    <w:rsid w:val="008530BC"/>
    <w:rsid w:val="00856451"/>
    <w:rsid w:val="00862470"/>
    <w:rsid w:val="0086282B"/>
    <w:rsid w:val="00866660"/>
    <w:rsid w:val="008738EA"/>
    <w:rsid w:val="00875198"/>
    <w:rsid w:val="0088081B"/>
    <w:rsid w:val="00880C3B"/>
    <w:rsid w:val="008821F3"/>
    <w:rsid w:val="00884CC2"/>
    <w:rsid w:val="00894583"/>
    <w:rsid w:val="00894E5A"/>
    <w:rsid w:val="008955B5"/>
    <w:rsid w:val="00896C51"/>
    <w:rsid w:val="008A62AB"/>
    <w:rsid w:val="008A74DE"/>
    <w:rsid w:val="008B0005"/>
    <w:rsid w:val="008B279B"/>
    <w:rsid w:val="008B4475"/>
    <w:rsid w:val="008C0056"/>
    <w:rsid w:val="008C10DB"/>
    <w:rsid w:val="008C1EE6"/>
    <w:rsid w:val="008C32FA"/>
    <w:rsid w:val="008C72D6"/>
    <w:rsid w:val="008D0635"/>
    <w:rsid w:val="008D08BA"/>
    <w:rsid w:val="008D10A7"/>
    <w:rsid w:val="008D147E"/>
    <w:rsid w:val="008D2A1E"/>
    <w:rsid w:val="008D6173"/>
    <w:rsid w:val="008D6401"/>
    <w:rsid w:val="008E1E0A"/>
    <w:rsid w:val="008E3DE9"/>
    <w:rsid w:val="008E6353"/>
    <w:rsid w:val="008E7443"/>
    <w:rsid w:val="008F143F"/>
    <w:rsid w:val="00900058"/>
    <w:rsid w:val="00901A99"/>
    <w:rsid w:val="0091280D"/>
    <w:rsid w:val="009164C0"/>
    <w:rsid w:val="00921468"/>
    <w:rsid w:val="0092269C"/>
    <w:rsid w:val="00924072"/>
    <w:rsid w:val="0092599B"/>
    <w:rsid w:val="00925A44"/>
    <w:rsid w:val="00925D2A"/>
    <w:rsid w:val="00931B36"/>
    <w:rsid w:val="009355E8"/>
    <w:rsid w:val="00941DF5"/>
    <w:rsid w:val="009423DF"/>
    <w:rsid w:val="00944777"/>
    <w:rsid w:val="0094667C"/>
    <w:rsid w:val="009467EC"/>
    <w:rsid w:val="00946D50"/>
    <w:rsid w:val="009474C8"/>
    <w:rsid w:val="00947E35"/>
    <w:rsid w:val="009511FC"/>
    <w:rsid w:val="009559B0"/>
    <w:rsid w:val="00957A5F"/>
    <w:rsid w:val="00957F8C"/>
    <w:rsid w:val="0096167B"/>
    <w:rsid w:val="00970943"/>
    <w:rsid w:val="00973012"/>
    <w:rsid w:val="00973C86"/>
    <w:rsid w:val="00974A0C"/>
    <w:rsid w:val="009814C0"/>
    <w:rsid w:val="009835CF"/>
    <w:rsid w:val="0098426E"/>
    <w:rsid w:val="0098480A"/>
    <w:rsid w:val="0098558F"/>
    <w:rsid w:val="00986807"/>
    <w:rsid w:val="00987F0A"/>
    <w:rsid w:val="0099143E"/>
    <w:rsid w:val="00992DC5"/>
    <w:rsid w:val="009959D1"/>
    <w:rsid w:val="00997F7F"/>
    <w:rsid w:val="009A023A"/>
    <w:rsid w:val="009A7DEE"/>
    <w:rsid w:val="009C04BF"/>
    <w:rsid w:val="009C08FD"/>
    <w:rsid w:val="009C4D42"/>
    <w:rsid w:val="009D0C95"/>
    <w:rsid w:val="009D1947"/>
    <w:rsid w:val="009D3A95"/>
    <w:rsid w:val="009D668D"/>
    <w:rsid w:val="009D68B4"/>
    <w:rsid w:val="009E0BD8"/>
    <w:rsid w:val="009E4EE0"/>
    <w:rsid w:val="009F1607"/>
    <w:rsid w:val="009F1B5A"/>
    <w:rsid w:val="009F2D53"/>
    <w:rsid w:val="009F33FE"/>
    <w:rsid w:val="009F3C65"/>
    <w:rsid w:val="009F5831"/>
    <w:rsid w:val="009F67B4"/>
    <w:rsid w:val="00A00457"/>
    <w:rsid w:val="00A011D1"/>
    <w:rsid w:val="00A016E3"/>
    <w:rsid w:val="00A02134"/>
    <w:rsid w:val="00A022D0"/>
    <w:rsid w:val="00A02E5B"/>
    <w:rsid w:val="00A063B9"/>
    <w:rsid w:val="00A10B9C"/>
    <w:rsid w:val="00A12393"/>
    <w:rsid w:val="00A124B7"/>
    <w:rsid w:val="00A134E0"/>
    <w:rsid w:val="00A13CAA"/>
    <w:rsid w:val="00A14AAB"/>
    <w:rsid w:val="00A1678B"/>
    <w:rsid w:val="00A23B15"/>
    <w:rsid w:val="00A25CE9"/>
    <w:rsid w:val="00A263E4"/>
    <w:rsid w:val="00A2645D"/>
    <w:rsid w:val="00A35D93"/>
    <w:rsid w:val="00A40752"/>
    <w:rsid w:val="00A40810"/>
    <w:rsid w:val="00A42A20"/>
    <w:rsid w:val="00A628D2"/>
    <w:rsid w:val="00A62CC3"/>
    <w:rsid w:val="00A640F4"/>
    <w:rsid w:val="00A65366"/>
    <w:rsid w:val="00A678D8"/>
    <w:rsid w:val="00A71AE0"/>
    <w:rsid w:val="00A75863"/>
    <w:rsid w:val="00A75891"/>
    <w:rsid w:val="00A83406"/>
    <w:rsid w:val="00A84851"/>
    <w:rsid w:val="00A85A89"/>
    <w:rsid w:val="00A91697"/>
    <w:rsid w:val="00A93253"/>
    <w:rsid w:val="00A94EFD"/>
    <w:rsid w:val="00A95B20"/>
    <w:rsid w:val="00A9739D"/>
    <w:rsid w:val="00A97DB2"/>
    <w:rsid w:val="00AA1265"/>
    <w:rsid w:val="00AA60BF"/>
    <w:rsid w:val="00AB17E6"/>
    <w:rsid w:val="00AC1D3B"/>
    <w:rsid w:val="00AC5850"/>
    <w:rsid w:val="00AC5BEE"/>
    <w:rsid w:val="00AD1A7D"/>
    <w:rsid w:val="00AD7480"/>
    <w:rsid w:val="00AE1791"/>
    <w:rsid w:val="00AE2794"/>
    <w:rsid w:val="00AE3331"/>
    <w:rsid w:val="00AE36D5"/>
    <w:rsid w:val="00AF1F9E"/>
    <w:rsid w:val="00AF26D3"/>
    <w:rsid w:val="00AF3401"/>
    <w:rsid w:val="00AF55D4"/>
    <w:rsid w:val="00B0083F"/>
    <w:rsid w:val="00B0354E"/>
    <w:rsid w:val="00B03DE5"/>
    <w:rsid w:val="00B14ACC"/>
    <w:rsid w:val="00B24890"/>
    <w:rsid w:val="00B2654B"/>
    <w:rsid w:val="00B3061D"/>
    <w:rsid w:val="00B31531"/>
    <w:rsid w:val="00B33B36"/>
    <w:rsid w:val="00B347C5"/>
    <w:rsid w:val="00B35C83"/>
    <w:rsid w:val="00B411FC"/>
    <w:rsid w:val="00B412AC"/>
    <w:rsid w:val="00B47044"/>
    <w:rsid w:val="00B47D75"/>
    <w:rsid w:val="00B52917"/>
    <w:rsid w:val="00B54E00"/>
    <w:rsid w:val="00B57DC1"/>
    <w:rsid w:val="00B65A82"/>
    <w:rsid w:val="00B72214"/>
    <w:rsid w:val="00B72CE0"/>
    <w:rsid w:val="00B73CEC"/>
    <w:rsid w:val="00B74AD9"/>
    <w:rsid w:val="00B767E9"/>
    <w:rsid w:val="00B76E07"/>
    <w:rsid w:val="00B82D7A"/>
    <w:rsid w:val="00B83093"/>
    <w:rsid w:val="00B83214"/>
    <w:rsid w:val="00B85042"/>
    <w:rsid w:val="00B85929"/>
    <w:rsid w:val="00B85E11"/>
    <w:rsid w:val="00B86C3E"/>
    <w:rsid w:val="00B90E51"/>
    <w:rsid w:val="00B91248"/>
    <w:rsid w:val="00B91B08"/>
    <w:rsid w:val="00BA05EE"/>
    <w:rsid w:val="00BA202D"/>
    <w:rsid w:val="00BA3137"/>
    <w:rsid w:val="00BA405D"/>
    <w:rsid w:val="00BA4E1C"/>
    <w:rsid w:val="00BA6DBE"/>
    <w:rsid w:val="00BB078A"/>
    <w:rsid w:val="00BB0D39"/>
    <w:rsid w:val="00BB1644"/>
    <w:rsid w:val="00BB255A"/>
    <w:rsid w:val="00BB3200"/>
    <w:rsid w:val="00BB3266"/>
    <w:rsid w:val="00BB455C"/>
    <w:rsid w:val="00BB5BCE"/>
    <w:rsid w:val="00BB72E8"/>
    <w:rsid w:val="00BC24CB"/>
    <w:rsid w:val="00BC36DD"/>
    <w:rsid w:val="00BC6776"/>
    <w:rsid w:val="00BC7530"/>
    <w:rsid w:val="00BD119C"/>
    <w:rsid w:val="00BD1484"/>
    <w:rsid w:val="00BD1B1F"/>
    <w:rsid w:val="00BD48EA"/>
    <w:rsid w:val="00BD7D5F"/>
    <w:rsid w:val="00BE0097"/>
    <w:rsid w:val="00BE453F"/>
    <w:rsid w:val="00BE54F8"/>
    <w:rsid w:val="00BF3EC5"/>
    <w:rsid w:val="00BF5433"/>
    <w:rsid w:val="00BF66DB"/>
    <w:rsid w:val="00BF71F0"/>
    <w:rsid w:val="00C01510"/>
    <w:rsid w:val="00C03084"/>
    <w:rsid w:val="00C032FC"/>
    <w:rsid w:val="00C03CE5"/>
    <w:rsid w:val="00C06B6A"/>
    <w:rsid w:val="00C06E88"/>
    <w:rsid w:val="00C10D72"/>
    <w:rsid w:val="00C126F1"/>
    <w:rsid w:val="00C14F89"/>
    <w:rsid w:val="00C17C7F"/>
    <w:rsid w:val="00C205C3"/>
    <w:rsid w:val="00C20C5B"/>
    <w:rsid w:val="00C30A1C"/>
    <w:rsid w:val="00C30C96"/>
    <w:rsid w:val="00C31FBA"/>
    <w:rsid w:val="00C33D13"/>
    <w:rsid w:val="00C4122E"/>
    <w:rsid w:val="00C42198"/>
    <w:rsid w:val="00C442D7"/>
    <w:rsid w:val="00C45E71"/>
    <w:rsid w:val="00C47FB6"/>
    <w:rsid w:val="00C506AE"/>
    <w:rsid w:val="00C50FCA"/>
    <w:rsid w:val="00C51068"/>
    <w:rsid w:val="00C608F2"/>
    <w:rsid w:val="00C60CAC"/>
    <w:rsid w:val="00C619FC"/>
    <w:rsid w:val="00C64385"/>
    <w:rsid w:val="00C64467"/>
    <w:rsid w:val="00C66DF5"/>
    <w:rsid w:val="00C67815"/>
    <w:rsid w:val="00C7110B"/>
    <w:rsid w:val="00C76C28"/>
    <w:rsid w:val="00C83156"/>
    <w:rsid w:val="00C8599D"/>
    <w:rsid w:val="00C85FC9"/>
    <w:rsid w:val="00C873D8"/>
    <w:rsid w:val="00C878F4"/>
    <w:rsid w:val="00C90AE6"/>
    <w:rsid w:val="00C90E50"/>
    <w:rsid w:val="00C92FFB"/>
    <w:rsid w:val="00C9547D"/>
    <w:rsid w:val="00CA112F"/>
    <w:rsid w:val="00CA28B0"/>
    <w:rsid w:val="00CA4B64"/>
    <w:rsid w:val="00CA65A0"/>
    <w:rsid w:val="00CB1E7D"/>
    <w:rsid w:val="00CC2F5F"/>
    <w:rsid w:val="00CC38F7"/>
    <w:rsid w:val="00CC4BEF"/>
    <w:rsid w:val="00CD0277"/>
    <w:rsid w:val="00CD1AF5"/>
    <w:rsid w:val="00CD36CE"/>
    <w:rsid w:val="00CD3FBC"/>
    <w:rsid w:val="00CD6CE9"/>
    <w:rsid w:val="00CE0B36"/>
    <w:rsid w:val="00CE0EE7"/>
    <w:rsid w:val="00CE31F0"/>
    <w:rsid w:val="00CE3449"/>
    <w:rsid w:val="00CE68A2"/>
    <w:rsid w:val="00CF16E3"/>
    <w:rsid w:val="00CF234C"/>
    <w:rsid w:val="00CF320D"/>
    <w:rsid w:val="00CF724E"/>
    <w:rsid w:val="00D01E16"/>
    <w:rsid w:val="00D01EA3"/>
    <w:rsid w:val="00D02CA3"/>
    <w:rsid w:val="00D04A25"/>
    <w:rsid w:val="00D0603F"/>
    <w:rsid w:val="00D06C32"/>
    <w:rsid w:val="00D07DA2"/>
    <w:rsid w:val="00D101B0"/>
    <w:rsid w:val="00D11112"/>
    <w:rsid w:val="00D149E6"/>
    <w:rsid w:val="00D177DF"/>
    <w:rsid w:val="00D22CF1"/>
    <w:rsid w:val="00D230E5"/>
    <w:rsid w:val="00D269B0"/>
    <w:rsid w:val="00D276BF"/>
    <w:rsid w:val="00D31538"/>
    <w:rsid w:val="00D31A85"/>
    <w:rsid w:val="00D332E9"/>
    <w:rsid w:val="00D34614"/>
    <w:rsid w:val="00D4052B"/>
    <w:rsid w:val="00D40857"/>
    <w:rsid w:val="00D41452"/>
    <w:rsid w:val="00D41923"/>
    <w:rsid w:val="00D41DAB"/>
    <w:rsid w:val="00D4677C"/>
    <w:rsid w:val="00D472A4"/>
    <w:rsid w:val="00D5078B"/>
    <w:rsid w:val="00D55E0E"/>
    <w:rsid w:val="00D60131"/>
    <w:rsid w:val="00D607D9"/>
    <w:rsid w:val="00D66733"/>
    <w:rsid w:val="00D66B19"/>
    <w:rsid w:val="00D70E34"/>
    <w:rsid w:val="00D71D8F"/>
    <w:rsid w:val="00D73CE0"/>
    <w:rsid w:val="00D7538B"/>
    <w:rsid w:val="00D80D84"/>
    <w:rsid w:val="00D83028"/>
    <w:rsid w:val="00D840D7"/>
    <w:rsid w:val="00D843FD"/>
    <w:rsid w:val="00D93459"/>
    <w:rsid w:val="00D95AB0"/>
    <w:rsid w:val="00D96554"/>
    <w:rsid w:val="00D971ED"/>
    <w:rsid w:val="00DB16CE"/>
    <w:rsid w:val="00DB390A"/>
    <w:rsid w:val="00DC0184"/>
    <w:rsid w:val="00DC0CC3"/>
    <w:rsid w:val="00DC2DDE"/>
    <w:rsid w:val="00DC2E92"/>
    <w:rsid w:val="00DC34BD"/>
    <w:rsid w:val="00DC367E"/>
    <w:rsid w:val="00DD1D3B"/>
    <w:rsid w:val="00DD22C3"/>
    <w:rsid w:val="00DD2663"/>
    <w:rsid w:val="00DD416E"/>
    <w:rsid w:val="00DD4888"/>
    <w:rsid w:val="00DD50BF"/>
    <w:rsid w:val="00DD5861"/>
    <w:rsid w:val="00DF06F5"/>
    <w:rsid w:val="00DF0FA9"/>
    <w:rsid w:val="00DF1A94"/>
    <w:rsid w:val="00DF2218"/>
    <w:rsid w:val="00DF51AF"/>
    <w:rsid w:val="00E10042"/>
    <w:rsid w:val="00E127FD"/>
    <w:rsid w:val="00E20E41"/>
    <w:rsid w:val="00E23190"/>
    <w:rsid w:val="00E2424F"/>
    <w:rsid w:val="00E2551F"/>
    <w:rsid w:val="00E27A91"/>
    <w:rsid w:val="00E3233B"/>
    <w:rsid w:val="00E33F5E"/>
    <w:rsid w:val="00E3537E"/>
    <w:rsid w:val="00E46596"/>
    <w:rsid w:val="00E5117B"/>
    <w:rsid w:val="00E51F1A"/>
    <w:rsid w:val="00E51FDB"/>
    <w:rsid w:val="00E543CB"/>
    <w:rsid w:val="00E55F0E"/>
    <w:rsid w:val="00E57CB1"/>
    <w:rsid w:val="00E6027F"/>
    <w:rsid w:val="00E6066A"/>
    <w:rsid w:val="00E679A9"/>
    <w:rsid w:val="00E721A2"/>
    <w:rsid w:val="00E737C2"/>
    <w:rsid w:val="00E76936"/>
    <w:rsid w:val="00E82168"/>
    <w:rsid w:val="00E8237B"/>
    <w:rsid w:val="00E85544"/>
    <w:rsid w:val="00E90455"/>
    <w:rsid w:val="00E90A19"/>
    <w:rsid w:val="00E93CF4"/>
    <w:rsid w:val="00E9536F"/>
    <w:rsid w:val="00EA2C8F"/>
    <w:rsid w:val="00EA516E"/>
    <w:rsid w:val="00EA77ED"/>
    <w:rsid w:val="00EA7DD9"/>
    <w:rsid w:val="00EB5247"/>
    <w:rsid w:val="00EC0724"/>
    <w:rsid w:val="00EC2CD7"/>
    <w:rsid w:val="00ED14C3"/>
    <w:rsid w:val="00ED2072"/>
    <w:rsid w:val="00ED58BF"/>
    <w:rsid w:val="00ED6E6E"/>
    <w:rsid w:val="00ED75E9"/>
    <w:rsid w:val="00ED78AB"/>
    <w:rsid w:val="00EE2021"/>
    <w:rsid w:val="00EE37AB"/>
    <w:rsid w:val="00EE534A"/>
    <w:rsid w:val="00EE5F95"/>
    <w:rsid w:val="00EF3C69"/>
    <w:rsid w:val="00F0178E"/>
    <w:rsid w:val="00F02C72"/>
    <w:rsid w:val="00F02E59"/>
    <w:rsid w:val="00F04FF9"/>
    <w:rsid w:val="00F055A7"/>
    <w:rsid w:val="00F1029E"/>
    <w:rsid w:val="00F11866"/>
    <w:rsid w:val="00F17716"/>
    <w:rsid w:val="00F2058C"/>
    <w:rsid w:val="00F2375B"/>
    <w:rsid w:val="00F24958"/>
    <w:rsid w:val="00F2794A"/>
    <w:rsid w:val="00F30D53"/>
    <w:rsid w:val="00F33AD0"/>
    <w:rsid w:val="00F42185"/>
    <w:rsid w:val="00F42395"/>
    <w:rsid w:val="00F42B90"/>
    <w:rsid w:val="00F54587"/>
    <w:rsid w:val="00F60419"/>
    <w:rsid w:val="00F74313"/>
    <w:rsid w:val="00F74F5D"/>
    <w:rsid w:val="00F822F6"/>
    <w:rsid w:val="00F82C7B"/>
    <w:rsid w:val="00F83B96"/>
    <w:rsid w:val="00F83CC6"/>
    <w:rsid w:val="00F871BD"/>
    <w:rsid w:val="00F87C0B"/>
    <w:rsid w:val="00F9113C"/>
    <w:rsid w:val="00F956FE"/>
    <w:rsid w:val="00FA6FF4"/>
    <w:rsid w:val="00FB0678"/>
    <w:rsid w:val="00FB37E5"/>
    <w:rsid w:val="00FB5CD3"/>
    <w:rsid w:val="00FC372D"/>
    <w:rsid w:val="00FC7DD8"/>
    <w:rsid w:val="00FD31C6"/>
    <w:rsid w:val="00FD4295"/>
    <w:rsid w:val="00FD4747"/>
    <w:rsid w:val="00FD7904"/>
    <w:rsid w:val="00FD7AF9"/>
    <w:rsid w:val="00FD7B2E"/>
    <w:rsid w:val="00FE117C"/>
    <w:rsid w:val="00FE4C99"/>
    <w:rsid w:val="00FF2DDD"/>
    <w:rsid w:val="00FF609E"/>
    <w:rsid w:val="00FF63BC"/>
    <w:rsid w:val="00FF6C27"/>
    <w:rsid w:val="00FF7CA2"/>
    <w:rsid w:val="7C3AC5E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89DAC36"/>
  <w15:docId w15:val="{C6C522B7-70EA-4B82-B1CF-8CF3BAC5A7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pl-PL" w:eastAsia="en-US" w:bidi="ar-SA"/>
      </w:rPr>
    </w:rPrDefault>
    <w:pPrDefault>
      <w:pPr>
        <w:spacing w:before="100"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9511FC"/>
    <w:pPr>
      <w:spacing w:line="360" w:lineRule="auto"/>
    </w:pPr>
    <w:rPr>
      <w:sz w:val="24"/>
    </w:rPr>
  </w:style>
  <w:style w:type="paragraph" w:styleId="Nagwek1">
    <w:name w:val="heading 1"/>
    <w:basedOn w:val="Normalny"/>
    <w:next w:val="Normalny"/>
    <w:link w:val="Nagwek1Znak"/>
    <w:uiPriority w:val="9"/>
    <w:qFormat/>
    <w:rsid w:val="002B7050"/>
    <w:pPr>
      <w:spacing w:after="0"/>
      <w:outlineLvl w:val="0"/>
    </w:pPr>
    <w:rPr>
      <w:caps/>
      <w:spacing w:val="15"/>
      <w:sz w:val="28"/>
      <w:szCs w:val="22"/>
    </w:rPr>
  </w:style>
  <w:style w:type="paragraph" w:styleId="Nagwek2">
    <w:name w:val="heading 2"/>
    <w:basedOn w:val="Normalny"/>
    <w:next w:val="Normalny"/>
    <w:link w:val="Nagwek2Znak"/>
    <w:uiPriority w:val="9"/>
    <w:unhideWhenUsed/>
    <w:qFormat/>
    <w:rsid w:val="002B7050"/>
    <w:pPr>
      <w:spacing w:after="0"/>
      <w:outlineLvl w:val="1"/>
    </w:pPr>
    <w:rPr>
      <w:caps/>
      <w:spacing w:val="15"/>
    </w:rPr>
  </w:style>
  <w:style w:type="paragraph" w:styleId="Nagwek3">
    <w:name w:val="heading 3"/>
    <w:basedOn w:val="Normalny"/>
    <w:next w:val="Normalny"/>
    <w:link w:val="Nagwek3Znak"/>
    <w:uiPriority w:val="9"/>
    <w:unhideWhenUsed/>
    <w:qFormat/>
    <w:rsid w:val="002B7050"/>
    <w:pPr>
      <w:spacing w:before="300" w:after="0"/>
      <w:outlineLvl w:val="2"/>
    </w:pPr>
    <w:rPr>
      <w:caps/>
      <w:spacing w:val="15"/>
    </w:rPr>
  </w:style>
  <w:style w:type="paragraph" w:styleId="Nagwek4">
    <w:name w:val="heading 4"/>
    <w:basedOn w:val="Normalny"/>
    <w:next w:val="Normalny"/>
    <w:link w:val="Nagwek4Znak"/>
    <w:uiPriority w:val="9"/>
    <w:unhideWhenUsed/>
    <w:qFormat/>
    <w:rsid w:val="002B7050"/>
    <w:pPr>
      <w:pBdr>
        <w:top w:val="dotted" w:sz="6" w:space="2" w:color="549E39" w:themeColor="accent1"/>
      </w:pBdr>
      <w:spacing w:before="200" w:after="0"/>
      <w:outlineLvl w:val="3"/>
    </w:pPr>
    <w:rPr>
      <w:caps/>
      <w:spacing w:val="10"/>
    </w:rPr>
  </w:style>
  <w:style w:type="paragraph" w:styleId="Nagwek5">
    <w:name w:val="heading 5"/>
    <w:basedOn w:val="Normalny"/>
    <w:next w:val="Normalny"/>
    <w:link w:val="Nagwek5Znak"/>
    <w:uiPriority w:val="9"/>
    <w:unhideWhenUsed/>
    <w:qFormat/>
    <w:rsid w:val="0038195A"/>
    <w:pPr>
      <w:framePr w:wrap="around" w:vAnchor="text" w:hAnchor="text" w:y="1"/>
      <w:spacing w:before="200" w:after="0"/>
      <w:outlineLvl w:val="4"/>
    </w:pPr>
    <w:rPr>
      <w:caps/>
      <w:color w:val="3E762A" w:themeColor="accent1" w:themeShade="BF"/>
      <w:spacing w:val="10"/>
    </w:rPr>
  </w:style>
  <w:style w:type="paragraph" w:styleId="Nagwek6">
    <w:name w:val="heading 6"/>
    <w:basedOn w:val="Normalny"/>
    <w:next w:val="Normalny"/>
    <w:link w:val="Nagwek6Znak"/>
    <w:uiPriority w:val="9"/>
    <w:unhideWhenUsed/>
    <w:qFormat/>
    <w:rsid w:val="000D5D61"/>
    <w:pPr>
      <w:pBdr>
        <w:bottom w:val="dotted" w:sz="6" w:space="1" w:color="549E39" w:themeColor="accent1"/>
      </w:pBdr>
      <w:spacing w:before="200" w:after="0"/>
      <w:outlineLvl w:val="5"/>
    </w:pPr>
    <w:rPr>
      <w:caps/>
      <w:color w:val="3E762A" w:themeColor="accent1" w:themeShade="BF"/>
      <w:spacing w:val="10"/>
    </w:rPr>
  </w:style>
  <w:style w:type="paragraph" w:styleId="Nagwek7">
    <w:name w:val="heading 7"/>
    <w:basedOn w:val="Normalny"/>
    <w:next w:val="Normalny"/>
    <w:link w:val="Nagwek7Znak"/>
    <w:uiPriority w:val="9"/>
    <w:unhideWhenUsed/>
    <w:qFormat/>
    <w:rsid w:val="000D5D61"/>
    <w:pPr>
      <w:spacing w:before="200" w:after="0"/>
      <w:outlineLvl w:val="6"/>
    </w:pPr>
    <w:rPr>
      <w:caps/>
      <w:color w:val="3E762A" w:themeColor="accent1" w:themeShade="BF"/>
      <w:spacing w:val="10"/>
    </w:rPr>
  </w:style>
  <w:style w:type="paragraph" w:styleId="Nagwek8">
    <w:name w:val="heading 8"/>
    <w:basedOn w:val="Normalny"/>
    <w:next w:val="Normalny"/>
    <w:link w:val="Nagwek8Znak"/>
    <w:uiPriority w:val="9"/>
    <w:unhideWhenUsed/>
    <w:qFormat/>
    <w:rsid w:val="000D5D61"/>
    <w:pPr>
      <w:spacing w:before="200" w:after="0"/>
      <w:outlineLvl w:val="7"/>
    </w:pPr>
    <w:rPr>
      <w:caps/>
      <w:spacing w:val="10"/>
      <w:sz w:val="18"/>
      <w:szCs w:val="18"/>
    </w:rPr>
  </w:style>
  <w:style w:type="paragraph" w:styleId="Nagwek9">
    <w:name w:val="heading 9"/>
    <w:basedOn w:val="Normalny"/>
    <w:next w:val="Normalny"/>
    <w:link w:val="Nagwek9Znak"/>
    <w:uiPriority w:val="9"/>
    <w:unhideWhenUsed/>
    <w:qFormat/>
    <w:rsid w:val="000D5D61"/>
    <w:pPr>
      <w:spacing w:before="200" w:after="0"/>
      <w:outlineLvl w:val="8"/>
    </w:pPr>
    <w:rPr>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2B7050"/>
    <w:rPr>
      <w:caps/>
      <w:spacing w:val="15"/>
      <w:sz w:val="28"/>
      <w:szCs w:val="22"/>
    </w:rPr>
  </w:style>
  <w:style w:type="character" w:customStyle="1" w:styleId="Nagwek2Znak">
    <w:name w:val="Nagłówek 2 Znak"/>
    <w:basedOn w:val="Domylnaczcionkaakapitu"/>
    <w:link w:val="Nagwek2"/>
    <w:uiPriority w:val="9"/>
    <w:rsid w:val="002B7050"/>
    <w:rPr>
      <w:caps/>
      <w:spacing w:val="15"/>
      <w:sz w:val="24"/>
    </w:rPr>
  </w:style>
  <w:style w:type="character" w:customStyle="1" w:styleId="Nagwek3Znak">
    <w:name w:val="Nagłówek 3 Znak"/>
    <w:basedOn w:val="Domylnaczcionkaakapitu"/>
    <w:link w:val="Nagwek3"/>
    <w:uiPriority w:val="9"/>
    <w:rsid w:val="002B7050"/>
    <w:rPr>
      <w:caps/>
      <w:spacing w:val="15"/>
      <w:sz w:val="22"/>
    </w:rPr>
  </w:style>
  <w:style w:type="character" w:customStyle="1" w:styleId="Nagwek4Znak">
    <w:name w:val="Nagłówek 4 Znak"/>
    <w:basedOn w:val="Domylnaczcionkaakapitu"/>
    <w:link w:val="Nagwek4"/>
    <w:uiPriority w:val="9"/>
    <w:rsid w:val="002B7050"/>
    <w:rPr>
      <w:caps/>
      <w:spacing w:val="10"/>
    </w:rPr>
  </w:style>
  <w:style w:type="character" w:customStyle="1" w:styleId="Nagwek5Znak">
    <w:name w:val="Nagłówek 5 Znak"/>
    <w:basedOn w:val="Domylnaczcionkaakapitu"/>
    <w:link w:val="Nagwek5"/>
    <w:uiPriority w:val="9"/>
    <w:rsid w:val="0038195A"/>
    <w:rPr>
      <w:caps/>
      <w:color w:val="3E762A" w:themeColor="accent1" w:themeShade="BF"/>
      <w:spacing w:val="10"/>
      <w:sz w:val="24"/>
    </w:rPr>
  </w:style>
  <w:style w:type="character" w:customStyle="1" w:styleId="Nagwek6Znak">
    <w:name w:val="Nagłówek 6 Znak"/>
    <w:basedOn w:val="Domylnaczcionkaakapitu"/>
    <w:link w:val="Nagwek6"/>
    <w:uiPriority w:val="9"/>
    <w:rsid w:val="000D5D61"/>
    <w:rPr>
      <w:caps/>
      <w:color w:val="3E762A" w:themeColor="accent1" w:themeShade="BF"/>
      <w:spacing w:val="10"/>
    </w:rPr>
  </w:style>
  <w:style w:type="character" w:customStyle="1" w:styleId="Nagwek7Znak">
    <w:name w:val="Nagłówek 7 Znak"/>
    <w:basedOn w:val="Domylnaczcionkaakapitu"/>
    <w:link w:val="Nagwek7"/>
    <w:uiPriority w:val="9"/>
    <w:rsid w:val="000D5D61"/>
    <w:rPr>
      <w:caps/>
      <w:color w:val="3E762A" w:themeColor="accent1" w:themeShade="BF"/>
      <w:spacing w:val="10"/>
    </w:rPr>
  </w:style>
  <w:style w:type="character" w:customStyle="1" w:styleId="Nagwek8Znak">
    <w:name w:val="Nagłówek 8 Znak"/>
    <w:basedOn w:val="Domylnaczcionkaakapitu"/>
    <w:link w:val="Nagwek8"/>
    <w:uiPriority w:val="9"/>
    <w:rsid w:val="000D5D61"/>
    <w:rPr>
      <w:caps/>
      <w:spacing w:val="10"/>
      <w:sz w:val="18"/>
      <w:szCs w:val="18"/>
    </w:rPr>
  </w:style>
  <w:style w:type="character" w:customStyle="1" w:styleId="Nagwek9Znak">
    <w:name w:val="Nagłówek 9 Znak"/>
    <w:basedOn w:val="Domylnaczcionkaakapitu"/>
    <w:link w:val="Nagwek9"/>
    <w:uiPriority w:val="9"/>
    <w:rsid w:val="000D5D61"/>
    <w:rPr>
      <w:i/>
      <w:iCs/>
      <w:caps/>
      <w:spacing w:val="10"/>
      <w:sz w:val="18"/>
      <w:szCs w:val="18"/>
    </w:rPr>
  </w:style>
  <w:style w:type="paragraph" w:styleId="Legenda">
    <w:name w:val="caption"/>
    <w:aliases w:val="Nagłówek Tabeli,Nag3ówek Tabeli,Tabela nr,Legenda Znak Znak Znak,Legenda Znak Znak Znak Znak,Legenda Znak Znak Znak Znak Znak Znak,Legenda Znak Znak Znak Znak Znak Znak Znak,Legenda Znak Znak Z,Legenda Znak Znak"/>
    <w:basedOn w:val="Normalny"/>
    <w:next w:val="Normalny"/>
    <w:link w:val="LegendaZnak"/>
    <w:uiPriority w:val="35"/>
    <w:unhideWhenUsed/>
    <w:qFormat/>
    <w:rsid w:val="00DF2218"/>
    <w:pPr>
      <w:spacing w:before="0" w:after="0"/>
    </w:pPr>
    <w:rPr>
      <w:b/>
      <w:bCs/>
      <w:color w:val="3E762A" w:themeColor="accent1" w:themeShade="BF"/>
      <w:szCs w:val="16"/>
    </w:rPr>
  </w:style>
  <w:style w:type="character" w:styleId="Odwoanieprzypisudolnego">
    <w:name w:val="footnote reference"/>
    <w:aliases w:val="Footnote Reference Number,Footnote symbol,Footnote reference number,note TESI,SUPERS,EN Footnote Reference,Odwołanie przypisu,Footnote number,Times 10 Point,Exposant 3 Point,Footnote Reference Superscript,Voetnootverwijzing,fr"/>
    <w:uiPriority w:val="99"/>
    <w:qFormat/>
    <w:rsid w:val="00D93459"/>
    <w:rPr>
      <w:vertAlign w:val="superscript"/>
    </w:rPr>
  </w:style>
  <w:style w:type="paragraph" w:styleId="Tytu">
    <w:name w:val="Title"/>
    <w:basedOn w:val="Normalny"/>
    <w:next w:val="Normalny"/>
    <w:link w:val="TytuZnak"/>
    <w:uiPriority w:val="10"/>
    <w:qFormat/>
    <w:rsid w:val="000D5D61"/>
    <w:pPr>
      <w:spacing w:before="0" w:after="0"/>
    </w:pPr>
    <w:rPr>
      <w:rFonts w:asciiTheme="majorHAnsi" w:eastAsiaTheme="majorEastAsia" w:hAnsiTheme="majorHAnsi" w:cstheme="majorBidi"/>
      <w:caps/>
      <w:color w:val="549E39" w:themeColor="accent1"/>
      <w:spacing w:val="10"/>
      <w:sz w:val="52"/>
      <w:szCs w:val="52"/>
    </w:rPr>
  </w:style>
  <w:style w:type="character" w:customStyle="1" w:styleId="TytuZnak">
    <w:name w:val="Tytuł Znak"/>
    <w:basedOn w:val="Domylnaczcionkaakapitu"/>
    <w:link w:val="Tytu"/>
    <w:uiPriority w:val="10"/>
    <w:rsid w:val="000D5D61"/>
    <w:rPr>
      <w:rFonts w:asciiTheme="majorHAnsi" w:eastAsiaTheme="majorEastAsia" w:hAnsiTheme="majorHAnsi" w:cstheme="majorBidi"/>
      <w:caps/>
      <w:color w:val="549E39" w:themeColor="accent1"/>
      <w:spacing w:val="10"/>
      <w:sz w:val="52"/>
      <w:szCs w:val="52"/>
    </w:rPr>
  </w:style>
  <w:style w:type="paragraph" w:styleId="Podtytu">
    <w:name w:val="Subtitle"/>
    <w:basedOn w:val="Normalny"/>
    <w:next w:val="Normalny"/>
    <w:link w:val="PodtytuZnak"/>
    <w:uiPriority w:val="11"/>
    <w:qFormat/>
    <w:rsid w:val="000D5D61"/>
    <w:pPr>
      <w:spacing w:before="0" w:after="500" w:line="240" w:lineRule="auto"/>
    </w:pPr>
    <w:rPr>
      <w:caps/>
      <w:color w:val="595959" w:themeColor="text1" w:themeTint="A6"/>
      <w:spacing w:val="10"/>
      <w:sz w:val="21"/>
      <w:szCs w:val="21"/>
    </w:rPr>
  </w:style>
  <w:style w:type="character" w:customStyle="1" w:styleId="PodtytuZnak">
    <w:name w:val="Podtytuł Znak"/>
    <w:basedOn w:val="Domylnaczcionkaakapitu"/>
    <w:link w:val="Podtytu"/>
    <w:uiPriority w:val="11"/>
    <w:rsid w:val="000D5D61"/>
    <w:rPr>
      <w:caps/>
      <w:color w:val="595959" w:themeColor="text1" w:themeTint="A6"/>
      <w:spacing w:val="10"/>
      <w:sz w:val="21"/>
      <w:szCs w:val="21"/>
    </w:rPr>
  </w:style>
  <w:style w:type="character" w:styleId="Pogrubienie">
    <w:name w:val="Strong"/>
    <w:uiPriority w:val="22"/>
    <w:qFormat/>
    <w:rsid w:val="000D5D61"/>
    <w:rPr>
      <w:b/>
      <w:bCs/>
    </w:rPr>
  </w:style>
  <w:style w:type="character" w:styleId="Uwydatnienie">
    <w:name w:val="Emphasis"/>
    <w:uiPriority w:val="20"/>
    <w:qFormat/>
    <w:rsid w:val="000D5D61"/>
    <w:rPr>
      <w:caps/>
      <w:color w:val="294E1C" w:themeColor="accent1" w:themeShade="7F"/>
      <w:spacing w:val="5"/>
    </w:rPr>
  </w:style>
  <w:style w:type="paragraph" w:styleId="Bezodstpw">
    <w:name w:val="No Spacing"/>
    <w:link w:val="BezodstpwZnak"/>
    <w:uiPriority w:val="1"/>
    <w:qFormat/>
    <w:rsid w:val="000D5D61"/>
    <w:pPr>
      <w:spacing w:after="0" w:line="240" w:lineRule="auto"/>
    </w:pPr>
  </w:style>
  <w:style w:type="character" w:customStyle="1" w:styleId="BezodstpwZnak">
    <w:name w:val="Bez odstępów Znak"/>
    <w:basedOn w:val="Domylnaczcionkaakapitu"/>
    <w:link w:val="Bezodstpw"/>
    <w:uiPriority w:val="1"/>
    <w:rsid w:val="00D93459"/>
  </w:style>
  <w:style w:type="paragraph" w:styleId="Akapitzlist">
    <w:name w:val="List Paragraph"/>
    <w:aliases w:val="List Paragraph compact,Normal bullet 2,Paragraphe de liste 2,Reference list,Bullet list,List Paragraph1,1st level - Bullet List Paragraph,Lettre d'introduction,Paragraph,Bullet EY,List Paragraph11,Normal bullet 21,List L1"/>
    <w:basedOn w:val="Normalny"/>
    <w:link w:val="AkapitzlistZnak"/>
    <w:uiPriority w:val="34"/>
    <w:qFormat/>
    <w:rsid w:val="00D93459"/>
    <w:pPr>
      <w:ind w:left="720"/>
      <w:contextualSpacing/>
    </w:pPr>
  </w:style>
  <w:style w:type="character" w:customStyle="1" w:styleId="AkapitzlistZnak">
    <w:name w:val="Akapit z listą Znak"/>
    <w:aliases w:val="List Paragraph compact Znak,Normal bullet 2 Znak,Paragraphe de liste 2 Znak,Reference list Znak,Bullet list Znak,List Paragraph1 Znak,1st level - Bullet List Paragraph Znak,Lettre d'introduction Znak,Paragraph Znak,Bullet EY Znak"/>
    <w:link w:val="Akapitzlist"/>
    <w:uiPriority w:val="34"/>
    <w:qFormat/>
    <w:locked/>
    <w:rsid w:val="00D93459"/>
  </w:style>
  <w:style w:type="paragraph" w:styleId="Cytat">
    <w:name w:val="Quote"/>
    <w:basedOn w:val="Normalny"/>
    <w:next w:val="Normalny"/>
    <w:link w:val="CytatZnak"/>
    <w:uiPriority w:val="29"/>
    <w:qFormat/>
    <w:rsid w:val="000D5D61"/>
    <w:rPr>
      <w:i/>
      <w:iCs/>
      <w:szCs w:val="24"/>
    </w:rPr>
  </w:style>
  <w:style w:type="character" w:customStyle="1" w:styleId="CytatZnak">
    <w:name w:val="Cytat Znak"/>
    <w:basedOn w:val="Domylnaczcionkaakapitu"/>
    <w:link w:val="Cytat"/>
    <w:uiPriority w:val="29"/>
    <w:rsid w:val="000D5D61"/>
    <w:rPr>
      <w:i/>
      <w:iCs/>
      <w:sz w:val="24"/>
      <w:szCs w:val="24"/>
    </w:rPr>
  </w:style>
  <w:style w:type="paragraph" w:styleId="Cytatintensywny">
    <w:name w:val="Intense Quote"/>
    <w:basedOn w:val="Normalny"/>
    <w:next w:val="Normalny"/>
    <w:link w:val="CytatintensywnyZnak"/>
    <w:uiPriority w:val="30"/>
    <w:qFormat/>
    <w:rsid w:val="000D5D61"/>
    <w:pPr>
      <w:spacing w:before="240" w:after="240" w:line="240" w:lineRule="auto"/>
      <w:ind w:left="1080" w:right="1080"/>
      <w:jc w:val="center"/>
    </w:pPr>
    <w:rPr>
      <w:color w:val="549E39" w:themeColor="accent1"/>
      <w:szCs w:val="24"/>
    </w:rPr>
  </w:style>
  <w:style w:type="character" w:customStyle="1" w:styleId="CytatintensywnyZnak">
    <w:name w:val="Cytat intensywny Znak"/>
    <w:basedOn w:val="Domylnaczcionkaakapitu"/>
    <w:link w:val="Cytatintensywny"/>
    <w:uiPriority w:val="30"/>
    <w:rsid w:val="000D5D61"/>
    <w:rPr>
      <w:color w:val="549E39" w:themeColor="accent1"/>
      <w:sz w:val="24"/>
      <w:szCs w:val="24"/>
    </w:rPr>
  </w:style>
  <w:style w:type="character" w:styleId="Wyrnieniedelikatne">
    <w:name w:val="Subtle Emphasis"/>
    <w:uiPriority w:val="19"/>
    <w:qFormat/>
    <w:rsid w:val="000D5D61"/>
    <w:rPr>
      <w:i/>
      <w:iCs/>
      <w:color w:val="294E1C" w:themeColor="accent1" w:themeShade="7F"/>
    </w:rPr>
  </w:style>
  <w:style w:type="character" w:styleId="Wyrnienieintensywne">
    <w:name w:val="Intense Emphasis"/>
    <w:uiPriority w:val="21"/>
    <w:qFormat/>
    <w:rsid w:val="000D5D61"/>
    <w:rPr>
      <w:b/>
      <w:bCs/>
      <w:caps/>
      <w:color w:val="294E1C" w:themeColor="accent1" w:themeShade="7F"/>
      <w:spacing w:val="10"/>
    </w:rPr>
  </w:style>
  <w:style w:type="character" w:styleId="Odwoaniedelikatne">
    <w:name w:val="Subtle Reference"/>
    <w:uiPriority w:val="31"/>
    <w:qFormat/>
    <w:rsid w:val="000D5D61"/>
    <w:rPr>
      <w:b/>
      <w:bCs/>
      <w:color w:val="549E39" w:themeColor="accent1"/>
    </w:rPr>
  </w:style>
  <w:style w:type="character" w:styleId="Odwoanieintensywne">
    <w:name w:val="Intense Reference"/>
    <w:uiPriority w:val="32"/>
    <w:qFormat/>
    <w:rsid w:val="000D5D61"/>
    <w:rPr>
      <w:b/>
      <w:bCs/>
      <w:i/>
      <w:iCs/>
      <w:caps/>
      <w:color w:val="549E39" w:themeColor="accent1"/>
    </w:rPr>
  </w:style>
  <w:style w:type="character" w:styleId="Tytuksiki">
    <w:name w:val="Book Title"/>
    <w:uiPriority w:val="33"/>
    <w:qFormat/>
    <w:rsid w:val="000D5D61"/>
    <w:rPr>
      <w:b/>
      <w:bCs/>
      <w:i/>
      <w:iCs/>
      <w:spacing w:val="0"/>
    </w:rPr>
  </w:style>
  <w:style w:type="paragraph" w:styleId="Nagwekspisutreci">
    <w:name w:val="TOC Heading"/>
    <w:basedOn w:val="Nagwek1"/>
    <w:next w:val="Normalny"/>
    <w:uiPriority w:val="39"/>
    <w:unhideWhenUsed/>
    <w:qFormat/>
    <w:rsid w:val="000D5D61"/>
    <w:pPr>
      <w:outlineLvl w:val="9"/>
    </w:pPr>
  </w:style>
  <w:style w:type="paragraph" w:styleId="Spistreci1">
    <w:name w:val="toc 1"/>
    <w:basedOn w:val="Normalny"/>
    <w:next w:val="Normalny"/>
    <w:autoRedefine/>
    <w:uiPriority w:val="39"/>
    <w:unhideWhenUsed/>
    <w:rsid w:val="00DF1A94"/>
    <w:pPr>
      <w:spacing w:after="100"/>
    </w:pPr>
  </w:style>
  <w:style w:type="paragraph" w:styleId="Spistreci2">
    <w:name w:val="toc 2"/>
    <w:basedOn w:val="Normalny"/>
    <w:next w:val="Normalny"/>
    <w:autoRedefine/>
    <w:uiPriority w:val="39"/>
    <w:unhideWhenUsed/>
    <w:rsid w:val="00DF1A94"/>
    <w:pPr>
      <w:spacing w:after="100"/>
      <w:ind w:left="200"/>
    </w:pPr>
  </w:style>
  <w:style w:type="character" w:styleId="Hipercze">
    <w:name w:val="Hyperlink"/>
    <w:basedOn w:val="Domylnaczcionkaakapitu"/>
    <w:uiPriority w:val="99"/>
    <w:unhideWhenUsed/>
    <w:rsid w:val="00CC2F5F"/>
    <w:rPr>
      <w:color w:val="6B9F25" w:themeColor="hyperlink"/>
      <w:u w:val="single"/>
    </w:rPr>
  </w:style>
  <w:style w:type="table" w:styleId="Tabela-Siatka">
    <w:name w:val="Table Grid"/>
    <w:basedOn w:val="Standardowy"/>
    <w:uiPriority w:val="59"/>
    <w:rsid w:val="00644D4B"/>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akcent11">
    <w:name w:val="Tabela siatki 1 — jasna — akcent 11"/>
    <w:basedOn w:val="Standardowy"/>
    <w:uiPriority w:val="46"/>
    <w:rsid w:val="00644D4B"/>
    <w:pPr>
      <w:spacing w:after="0" w:line="240" w:lineRule="auto"/>
    </w:p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paragraph" w:styleId="Tekstdymka">
    <w:name w:val="Balloon Text"/>
    <w:basedOn w:val="Normalny"/>
    <w:link w:val="TekstdymkaZnak"/>
    <w:uiPriority w:val="99"/>
    <w:semiHidden/>
    <w:unhideWhenUsed/>
    <w:rsid w:val="009D0C95"/>
    <w:pPr>
      <w:spacing w:before="0"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D0C95"/>
    <w:rPr>
      <w:rFonts w:ascii="Tahoma" w:hAnsi="Tahoma" w:cs="Tahoma"/>
      <w:sz w:val="16"/>
      <w:szCs w:val="16"/>
    </w:rPr>
  </w:style>
  <w:style w:type="paragraph" w:customStyle="1" w:styleId="Default">
    <w:name w:val="Default"/>
    <w:rsid w:val="003F6A05"/>
    <w:pPr>
      <w:autoSpaceDE w:val="0"/>
      <w:autoSpaceDN w:val="0"/>
      <w:adjustRightInd w:val="0"/>
      <w:spacing w:before="0" w:after="0" w:line="240" w:lineRule="auto"/>
    </w:pPr>
    <w:rPr>
      <w:rFonts w:ascii="Calibri" w:hAnsi="Calibri" w:cs="Calibri"/>
      <w:color w:val="000000"/>
      <w:sz w:val="24"/>
      <w:szCs w:val="24"/>
    </w:rPr>
  </w:style>
  <w:style w:type="paragraph" w:styleId="Nagwek">
    <w:name w:val="header"/>
    <w:basedOn w:val="Normalny"/>
    <w:link w:val="NagwekZnak"/>
    <w:uiPriority w:val="99"/>
    <w:unhideWhenUsed/>
    <w:rsid w:val="009D668D"/>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9D668D"/>
    <w:rPr>
      <w:sz w:val="22"/>
    </w:rPr>
  </w:style>
  <w:style w:type="paragraph" w:styleId="Stopka">
    <w:name w:val="footer"/>
    <w:basedOn w:val="Normalny"/>
    <w:link w:val="StopkaZnak"/>
    <w:uiPriority w:val="99"/>
    <w:unhideWhenUsed/>
    <w:rsid w:val="009D668D"/>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9D668D"/>
    <w:rPr>
      <w:sz w:val="22"/>
    </w:rPr>
  </w:style>
  <w:style w:type="paragraph" w:styleId="Tekstprzypisudolnego">
    <w:name w:val="footnote text"/>
    <w:aliases w:val="Footnote,Podrozdzia3,-E Fuﬂnotentext,Fuﬂnotentext Ursprung,Fußnotentext Ursprung,-E Fußnotentext,Footnote text,Tekst przypisu Znak Znak Znak Znak,Tekst przypisu Znak Znak Znak Znak Znak,footnote text,Fußnote,FOOTNOTES,o,fn,Znak Zn"/>
    <w:basedOn w:val="Normalny"/>
    <w:link w:val="TekstprzypisudolnegoZnak"/>
    <w:uiPriority w:val="99"/>
    <w:unhideWhenUsed/>
    <w:qFormat/>
    <w:rsid w:val="005E3B1F"/>
    <w:pPr>
      <w:spacing w:before="0" w:after="0" w:line="240" w:lineRule="auto"/>
      <w:jc w:val="both"/>
    </w:pPr>
  </w:style>
  <w:style w:type="character" w:customStyle="1" w:styleId="TekstprzypisudolnegoZnak">
    <w:name w:val="Tekst przypisu dolnego Znak"/>
    <w:aliases w:val="Footnote Znak,Podrozdzia3 Znak,-E Fuﬂnotentext Znak,Fuﬂnotentext Ursprung Znak,Fußnotentext Ursprung Znak,-E Fußnotentext Znak,Footnote text Znak,Tekst przypisu Znak Znak Znak Znak Znak1,footnote text Znak,Fußnote Znak,o Znak"/>
    <w:basedOn w:val="Domylnaczcionkaakapitu"/>
    <w:link w:val="Tekstprzypisudolnego"/>
    <w:uiPriority w:val="99"/>
    <w:qFormat/>
    <w:rsid w:val="005E3B1F"/>
    <w:rPr>
      <w:sz w:val="24"/>
    </w:rPr>
  </w:style>
  <w:style w:type="paragraph" w:customStyle="1" w:styleId="rdo">
    <w:name w:val="Źródło"/>
    <w:basedOn w:val="Normalny"/>
    <w:link w:val="rdoZnak"/>
    <w:qFormat/>
    <w:rsid w:val="00D83028"/>
    <w:rPr>
      <w:szCs w:val="18"/>
    </w:rPr>
  </w:style>
  <w:style w:type="character" w:customStyle="1" w:styleId="rdoZnak">
    <w:name w:val="Źródło Znak"/>
    <w:basedOn w:val="Domylnaczcionkaakapitu"/>
    <w:link w:val="rdo"/>
    <w:rsid w:val="00D83028"/>
    <w:rPr>
      <w:sz w:val="24"/>
      <w:szCs w:val="18"/>
    </w:rPr>
  </w:style>
  <w:style w:type="paragraph" w:customStyle="1" w:styleId="Podpispodrysunkiem">
    <w:name w:val="Podpis pod rysunkiem"/>
    <w:basedOn w:val="Legenda"/>
    <w:link w:val="PodpispodrysunkiemZnak"/>
    <w:qFormat/>
    <w:rsid w:val="007C07ED"/>
  </w:style>
  <w:style w:type="character" w:customStyle="1" w:styleId="PodpispodrysunkiemZnak">
    <w:name w:val="Podpis pod rysunkiem Znak"/>
    <w:aliases w:val="Legenda Znak1"/>
    <w:basedOn w:val="Domylnaczcionkaakapitu"/>
    <w:link w:val="Podpispodrysunkiem"/>
    <w:rsid w:val="007C07ED"/>
    <w:rPr>
      <w:b/>
      <w:bCs/>
      <w:color w:val="3E762A" w:themeColor="accent1" w:themeShade="BF"/>
      <w:sz w:val="24"/>
      <w:szCs w:val="16"/>
    </w:rPr>
  </w:style>
  <w:style w:type="character" w:styleId="Odwoaniedokomentarza">
    <w:name w:val="annotation reference"/>
    <w:basedOn w:val="Domylnaczcionkaakapitu"/>
    <w:uiPriority w:val="99"/>
    <w:semiHidden/>
    <w:unhideWhenUsed/>
    <w:rsid w:val="00050822"/>
    <w:rPr>
      <w:sz w:val="16"/>
      <w:szCs w:val="16"/>
    </w:rPr>
  </w:style>
  <w:style w:type="paragraph" w:styleId="Tekstkomentarza">
    <w:name w:val="annotation text"/>
    <w:basedOn w:val="Normalny"/>
    <w:link w:val="TekstkomentarzaZnak"/>
    <w:uiPriority w:val="99"/>
    <w:unhideWhenUsed/>
    <w:rsid w:val="00050822"/>
    <w:pPr>
      <w:spacing w:line="240" w:lineRule="auto"/>
    </w:pPr>
    <w:rPr>
      <w:sz w:val="20"/>
    </w:rPr>
  </w:style>
  <w:style w:type="character" w:customStyle="1" w:styleId="TekstkomentarzaZnak">
    <w:name w:val="Tekst komentarza Znak"/>
    <w:basedOn w:val="Domylnaczcionkaakapitu"/>
    <w:link w:val="Tekstkomentarza"/>
    <w:uiPriority w:val="99"/>
    <w:rsid w:val="00050822"/>
  </w:style>
  <w:style w:type="paragraph" w:styleId="Tematkomentarza">
    <w:name w:val="annotation subject"/>
    <w:basedOn w:val="Tekstkomentarza"/>
    <w:next w:val="Tekstkomentarza"/>
    <w:link w:val="TematkomentarzaZnak"/>
    <w:uiPriority w:val="99"/>
    <w:semiHidden/>
    <w:unhideWhenUsed/>
    <w:rsid w:val="00050822"/>
    <w:rPr>
      <w:b/>
      <w:bCs/>
    </w:rPr>
  </w:style>
  <w:style w:type="character" w:customStyle="1" w:styleId="TematkomentarzaZnak">
    <w:name w:val="Temat komentarza Znak"/>
    <w:basedOn w:val="TekstkomentarzaZnak"/>
    <w:link w:val="Tematkomentarza"/>
    <w:uiPriority w:val="99"/>
    <w:semiHidden/>
    <w:rsid w:val="00050822"/>
    <w:rPr>
      <w:b/>
      <w:bCs/>
    </w:rPr>
  </w:style>
  <w:style w:type="paragraph" w:styleId="Tekstprzypisukocowego">
    <w:name w:val="endnote text"/>
    <w:basedOn w:val="Normalny"/>
    <w:link w:val="TekstprzypisukocowegoZnak"/>
    <w:uiPriority w:val="99"/>
    <w:semiHidden/>
    <w:unhideWhenUsed/>
    <w:rsid w:val="003D3A86"/>
    <w:pPr>
      <w:spacing w:before="0" w:after="0" w:line="240" w:lineRule="auto"/>
      <w:jc w:val="both"/>
    </w:pPr>
    <w:rPr>
      <w:sz w:val="20"/>
    </w:rPr>
  </w:style>
  <w:style w:type="character" w:customStyle="1" w:styleId="TekstprzypisukocowegoZnak">
    <w:name w:val="Tekst przypisu końcowego Znak"/>
    <w:basedOn w:val="Domylnaczcionkaakapitu"/>
    <w:link w:val="Tekstprzypisukocowego"/>
    <w:uiPriority w:val="99"/>
    <w:semiHidden/>
    <w:rsid w:val="003D3A86"/>
  </w:style>
  <w:style w:type="character" w:styleId="Odwoanieprzypisukocowego">
    <w:name w:val="endnote reference"/>
    <w:basedOn w:val="Domylnaczcionkaakapitu"/>
    <w:uiPriority w:val="99"/>
    <w:semiHidden/>
    <w:unhideWhenUsed/>
    <w:rsid w:val="003D3A86"/>
    <w:rPr>
      <w:vertAlign w:val="superscript"/>
    </w:rPr>
  </w:style>
  <w:style w:type="character" w:customStyle="1" w:styleId="LegendaZnak">
    <w:name w:val="Legenda Znak"/>
    <w:aliases w:val="Nagłówek Tabeli Znak,Nag3ówek Tabeli Znak,Tabela nr Znak,Legenda Znak Znak Znak Znak1,Legenda Znak Znak Znak Znak Znak,Legenda Znak Znak Znak Znak Znak Znak Znak1,Legenda Znak Znak Znak Znak Znak Znak Znak Znak,Legenda Znak Znak Z Znak"/>
    <w:basedOn w:val="Domylnaczcionkaakapitu"/>
    <w:link w:val="Legenda"/>
    <w:uiPriority w:val="35"/>
    <w:rsid w:val="003D3A86"/>
    <w:rPr>
      <w:b/>
      <w:bCs/>
      <w:color w:val="3E762A" w:themeColor="accent1" w:themeShade="BF"/>
      <w:sz w:val="22"/>
      <w:szCs w:val="16"/>
    </w:rPr>
  </w:style>
  <w:style w:type="table" w:customStyle="1" w:styleId="Tabelasiatki4akcent11">
    <w:name w:val="Tabela siatki 4 — akcent 11"/>
    <w:basedOn w:val="Standardowy"/>
    <w:uiPriority w:val="49"/>
    <w:rsid w:val="003D3A86"/>
    <w:pPr>
      <w:spacing w:before="0" w:after="0" w:line="240" w:lineRule="auto"/>
    </w:pPr>
    <w:rPr>
      <w:rFonts w:ascii="Calibri" w:eastAsia="Calibri" w:hAnsi="Calibri" w:cs="Times New Roman"/>
      <w:lang w:eastAsia="pl-PL"/>
    </w:rPr>
    <w:tblPr>
      <w:tblStyleRowBandSize w:val="1"/>
      <w:tblStyleColBandSize w:val="1"/>
      <w:tbl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insideH w:val="single" w:sz="4" w:space="0" w:color="93D07C" w:themeColor="accent1" w:themeTint="99"/>
        <w:insideV w:val="single" w:sz="4" w:space="0" w:color="93D07C" w:themeColor="accent1" w:themeTint="99"/>
      </w:tblBorders>
    </w:tblPr>
    <w:tblStylePr w:type="firstRow">
      <w:rPr>
        <w:b/>
        <w:bCs/>
        <w:color w:val="FFFFFF" w:themeColor="background1"/>
      </w:rPr>
      <w:tblPr/>
      <w:tcPr>
        <w:tcBorders>
          <w:top w:val="single" w:sz="4" w:space="0" w:color="549E39" w:themeColor="accent1"/>
          <w:left w:val="single" w:sz="4" w:space="0" w:color="549E39" w:themeColor="accent1"/>
          <w:bottom w:val="single" w:sz="4" w:space="0" w:color="549E39" w:themeColor="accent1"/>
          <w:right w:val="single" w:sz="4" w:space="0" w:color="549E39" w:themeColor="accent1"/>
          <w:insideH w:val="nil"/>
          <w:insideV w:val="nil"/>
        </w:tcBorders>
        <w:shd w:val="clear" w:color="auto" w:fill="549E39" w:themeFill="accent1"/>
      </w:tcPr>
    </w:tblStylePr>
    <w:tblStylePr w:type="lastRow">
      <w:rPr>
        <w:b/>
        <w:bCs/>
      </w:rPr>
      <w:tblPr/>
      <w:tcPr>
        <w:tcBorders>
          <w:top w:val="double" w:sz="4" w:space="0" w:color="549E39" w:themeColor="accent1"/>
        </w:tcBorders>
      </w:tcPr>
    </w:tblStylePr>
    <w:tblStylePr w:type="firstCol">
      <w:rPr>
        <w:b/>
        <w:bCs/>
      </w:rPr>
    </w:tblStylePr>
    <w:tblStylePr w:type="lastCol">
      <w:rPr>
        <w:b/>
        <w:bCs/>
      </w:rPr>
    </w:tblStylePr>
    <w:tblStylePr w:type="band1Vert">
      <w:tblPr/>
      <w:tcPr>
        <w:shd w:val="clear" w:color="auto" w:fill="DAEFD3" w:themeFill="accent1" w:themeFillTint="33"/>
      </w:tcPr>
    </w:tblStylePr>
    <w:tblStylePr w:type="band1Horz">
      <w:tblPr/>
      <w:tcPr>
        <w:shd w:val="clear" w:color="auto" w:fill="DAEFD3" w:themeFill="accent1" w:themeFillTint="33"/>
      </w:tcPr>
    </w:tblStylePr>
  </w:style>
  <w:style w:type="table" w:customStyle="1" w:styleId="GridTable1LightAccent11">
    <w:name w:val="Grid Table 1 Light Accent 11"/>
    <w:basedOn w:val="Standardowy"/>
    <w:uiPriority w:val="46"/>
    <w:rsid w:val="003D3A86"/>
    <w:pPr>
      <w:spacing w:after="0" w:line="240" w:lineRule="auto"/>
    </w:p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numbering" w:customStyle="1" w:styleId="Bezlisty1">
    <w:name w:val="Bez listy1"/>
    <w:next w:val="Bezlisty"/>
    <w:uiPriority w:val="99"/>
    <w:semiHidden/>
    <w:unhideWhenUsed/>
    <w:rsid w:val="003D3A86"/>
  </w:style>
  <w:style w:type="table" w:customStyle="1" w:styleId="Tabela-Siatka1">
    <w:name w:val="Tabela - Siatka1"/>
    <w:basedOn w:val="Standardowy"/>
    <w:next w:val="Tabela-Siatka"/>
    <w:uiPriority w:val="39"/>
    <w:rsid w:val="003D3A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semiHidden/>
    <w:unhideWhenUsed/>
    <w:rsid w:val="003D3A86"/>
    <w:rPr>
      <w:color w:val="605E5C"/>
      <w:shd w:val="clear" w:color="auto" w:fill="E1DFDD"/>
    </w:rPr>
  </w:style>
  <w:style w:type="table" w:customStyle="1" w:styleId="Tabelasiatki1jasnaakcent111">
    <w:name w:val="Tabela siatki 1 — jasna — akcent 111"/>
    <w:basedOn w:val="Standardowy"/>
    <w:uiPriority w:val="46"/>
    <w:rsid w:val="003D3A86"/>
    <w:pPr>
      <w:spacing w:after="0" w:line="240" w:lineRule="auto"/>
    </w:p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table" w:customStyle="1" w:styleId="Tabela-Siatka2">
    <w:name w:val="Tabela - Siatka2"/>
    <w:basedOn w:val="Standardowy"/>
    <w:next w:val="Tabela-Siatka"/>
    <w:uiPriority w:val="39"/>
    <w:rsid w:val="003D3A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akcent112">
    <w:name w:val="Tabela siatki 1 — jasna — akcent 112"/>
    <w:basedOn w:val="Standardowy"/>
    <w:uiPriority w:val="46"/>
    <w:rsid w:val="003D3A86"/>
    <w:pPr>
      <w:spacing w:after="0" w:line="240" w:lineRule="auto"/>
    </w:p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table" w:customStyle="1" w:styleId="Tabelasiatki4akcent12">
    <w:name w:val="Tabela siatki 4 — akcent 12"/>
    <w:basedOn w:val="Standardowy"/>
    <w:uiPriority w:val="49"/>
    <w:rsid w:val="003D3A86"/>
    <w:pPr>
      <w:spacing w:before="0" w:after="0" w:line="240" w:lineRule="auto"/>
    </w:pPr>
    <w:rPr>
      <w:rFonts w:ascii="Calibri" w:eastAsia="Calibri" w:hAnsi="Calibri" w:cs="Times New Roman"/>
      <w:sz w:val="22"/>
      <w:szCs w:val="22"/>
    </w:rPr>
    <w:tblPr>
      <w:tblStyleRowBandSize w:val="1"/>
      <w:tblStyleColBandSize w:val="1"/>
      <w:tbl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insideH w:val="single" w:sz="4" w:space="0" w:color="93D07C" w:themeColor="accent1" w:themeTint="99"/>
        <w:insideV w:val="single" w:sz="4" w:space="0" w:color="93D07C" w:themeColor="accent1" w:themeTint="99"/>
      </w:tblBorders>
    </w:tblPr>
    <w:tblStylePr w:type="firstRow">
      <w:rPr>
        <w:b/>
        <w:bCs/>
        <w:color w:val="FFFFFF" w:themeColor="background1"/>
      </w:rPr>
      <w:tblPr/>
      <w:tcPr>
        <w:tcBorders>
          <w:top w:val="single" w:sz="4" w:space="0" w:color="549E39" w:themeColor="accent1"/>
          <w:left w:val="single" w:sz="4" w:space="0" w:color="549E39" w:themeColor="accent1"/>
          <w:bottom w:val="single" w:sz="4" w:space="0" w:color="549E39" w:themeColor="accent1"/>
          <w:right w:val="single" w:sz="4" w:space="0" w:color="549E39" w:themeColor="accent1"/>
          <w:insideH w:val="nil"/>
          <w:insideV w:val="nil"/>
        </w:tcBorders>
        <w:shd w:val="clear" w:color="auto" w:fill="549E39" w:themeFill="accent1"/>
      </w:tcPr>
    </w:tblStylePr>
    <w:tblStylePr w:type="lastRow">
      <w:rPr>
        <w:b/>
        <w:bCs/>
      </w:rPr>
      <w:tblPr/>
      <w:tcPr>
        <w:tcBorders>
          <w:top w:val="double" w:sz="4" w:space="0" w:color="549E39" w:themeColor="accent1"/>
        </w:tcBorders>
      </w:tcPr>
    </w:tblStylePr>
    <w:tblStylePr w:type="firstCol">
      <w:rPr>
        <w:b/>
        <w:bCs/>
      </w:rPr>
    </w:tblStylePr>
    <w:tblStylePr w:type="lastCol">
      <w:rPr>
        <w:b/>
        <w:bCs/>
      </w:rPr>
    </w:tblStylePr>
    <w:tblStylePr w:type="band1Vert">
      <w:tblPr/>
      <w:tcPr>
        <w:shd w:val="clear" w:color="auto" w:fill="DAEFD3" w:themeFill="accent1" w:themeFillTint="33"/>
      </w:tcPr>
    </w:tblStylePr>
    <w:tblStylePr w:type="band1Horz">
      <w:tblPr/>
      <w:tcPr>
        <w:shd w:val="clear" w:color="auto" w:fill="DAEFD3" w:themeFill="accent1" w:themeFillTint="33"/>
      </w:tcPr>
    </w:tblStylePr>
  </w:style>
  <w:style w:type="paragraph" w:styleId="Spisilustracji">
    <w:name w:val="table of figures"/>
    <w:basedOn w:val="Normalny"/>
    <w:next w:val="Normalny"/>
    <w:uiPriority w:val="99"/>
    <w:unhideWhenUsed/>
    <w:rsid w:val="003D3A86"/>
    <w:pPr>
      <w:spacing w:after="0"/>
      <w:jc w:val="both"/>
    </w:pPr>
  </w:style>
  <w:style w:type="table" w:customStyle="1" w:styleId="Tabelasiatki6kolorowaakcent11">
    <w:name w:val="Tabela siatki 6 — kolorowa — akcent 11"/>
    <w:basedOn w:val="Standardowy"/>
    <w:uiPriority w:val="51"/>
    <w:rsid w:val="003D3A86"/>
    <w:pPr>
      <w:spacing w:before="0" w:after="0" w:line="240" w:lineRule="auto"/>
    </w:pPr>
    <w:rPr>
      <w:rFonts w:ascii="Calibri" w:eastAsia="Calibri" w:hAnsi="Calibri" w:cs="Times New Roman"/>
      <w:color w:val="3E762A" w:themeColor="accent1" w:themeShade="BF"/>
      <w:lang w:eastAsia="pl-PL"/>
    </w:rPr>
    <w:tblPr>
      <w:tblStyleRowBandSize w:val="1"/>
      <w:tblStyleColBandSize w:val="1"/>
      <w:tbl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insideH w:val="single" w:sz="4" w:space="0" w:color="93D07C" w:themeColor="accent1" w:themeTint="99"/>
        <w:insideV w:val="single" w:sz="4" w:space="0" w:color="93D07C" w:themeColor="accent1" w:themeTint="99"/>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4" w:space="0" w:color="93D07C" w:themeColor="accent1" w:themeTint="99"/>
        </w:tcBorders>
      </w:tcPr>
    </w:tblStylePr>
    <w:tblStylePr w:type="firstCol">
      <w:rPr>
        <w:b/>
        <w:bCs/>
      </w:rPr>
    </w:tblStylePr>
    <w:tblStylePr w:type="lastCol">
      <w:rPr>
        <w:b/>
        <w:bCs/>
      </w:rPr>
    </w:tblStylePr>
    <w:tblStylePr w:type="band1Vert">
      <w:tblPr/>
      <w:tcPr>
        <w:shd w:val="clear" w:color="auto" w:fill="DAEFD3" w:themeFill="accent1" w:themeFillTint="33"/>
      </w:tcPr>
    </w:tblStylePr>
    <w:tblStylePr w:type="band1Horz">
      <w:tblPr/>
      <w:tcPr>
        <w:shd w:val="clear" w:color="auto" w:fill="DAEFD3" w:themeFill="accent1" w:themeFillTint="33"/>
      </w:tcPr>
    </w:tblStylePr>
  </w:style>
  <w:style w:type="character" w:customStyle="1" w:styleId="h2">
    <w:name w:val="h2"/>
    <w:basedOn w:val="Domylnaczcionkaakapitu"/>
    <w:rsid w:val="003D3A86"/>
  </w:style>
  <w:style w:type="table" w:customStyle="1" w:styleId="Tabelasiatki4akcent13">
    <w:name w:val="Tabela siatki 4 — akcent 13"/>
    <w:basedOn w:val="Standardowy"/>
    <w:uiPriority w:val="49"/>
    <w:rsid w:val="003D3A86"/>
    <w:pPr>
      <w:spacing w:after="0" w:line="240" w:lineRule="auto"/>
    </w:pPr>
    <w:tblPr>
      <w:tblStyleRowBandSize w:val="1"/>
      <w:tblStyleColBandSize w:val="1"/>
      <w:tbl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insideH w:val="single" w:sz="4" w:space="0" w:color="93D07C" w:themeColor="accent1" w:themeTint="99"/>
        <w:insideV w:val="single" w:sz="4" w:space="0" w:color="93D07C" w:themeColor="accent1" w:themeTint="99"/>
      </w:tblBorders>
    </w:tblPr>
    <w:tblStylePr w:type="firstRow">
      <w:rPr>
        <w:b/>
        <w:bCs/>
        <w:color w:val="FFFFFF" w:themeColor="background1"/>
      </w:rPr>
      <w:tblPr/>
      <w:tcPr>
        <w:tcBorders>
          <w:top w:val="single" w:sz="4" w:space="0" w:color="549E39" w:themeColor="accent1"/>
          <w:left w:val="single" w:sz="4" w:space="0" w:color="549E39" w:themeColor="accent1"/>
          <w:bottom w:val="single" w:sz="4" w:space="0" w:color="549E39" w:themeColor="accent1"/>
          <w:right w:val="single" w:sz="4" w:space="0" w:color="549E39" w:themeColor="accent1"/>
          <w:insideH w:val="nil"/>
          <w:insideV w:val="nil"/>
        </w:tcBorders>
        <w:shd w:val="clear" w:color="auto" w:fill="549E39" w:themeFill="accent1"/>
      </w:tcPr>
    </w:tblStylePr>
    <w:tblStylePr w:type="lastRow">
      <w:rPr>
        <w:b/>
        <w:bCs/>
      </w:rPr>
      <w:tblPr/>
      <w:tcPr>
        <w:tcBorders>
          <w:top w:val="double" w:sz="4" w:space="0" w:color="549E39" w:themeColor="accent1"/>
        </w:tcBorders>
      </w:tcPr>
    </w:tblStylePr>
    <w:tblStylePr w:type="firstCol">
      <w:rPr>
        <w:b/>
        <w:bCs/>
      </w:rPr>
    </w:tblStylePr>
    <w:tblStylePr w:type="lastCol">
      <w:rPr>
        <w:b/>
        <w:bCs/>
      </w:rPr>
    </w:tblStylePr>
    <w:tblStylePr w:type="band1Vert">
      <w:tblPr/>
      <w:tcPr>
        <w:shd w:val="clear" w:color="auto" w:fill="DAEFD3" w:themeFill="accent1" w:themeFillTint="33"/>
      </w:tcPr>
    </w:tblStylePr>
    <w:tblStylePr w:type="band1Horz">
      <w:tblPr/>
      <w:tcPr>
        <w:shd w:val="clear" w:color="auto" w:fill="DAEFD3" w:themeFill="accent1" w:themeFillTint="33"/>
      </w:tcPr>
    </w:tblStylePr>
  </w:style>
  <w:style w:type="paragraph" w:styleId="NormalnyWeb">
    <w:name w:val="Normal (Web)"/>
    <w:basedOn w:val="Normalny"/>
    <w:uiPriority w:val="99"/>
    <w:unhideWhenUsed/>
    <w:rsid w:val="003D3A86"/>
    <w:pPr>
      <w:jc w:val="both"/>
    </w:pPr>
    <w:rPr>
      <w:rFonts w:ascii="Times New Roman" w:hAnsi="Times New Roman" w:cs="Times New Roman"/>
      <w:szCs w:val="24"/>
    </w:rPr>
  </w:style>
  <w:style w:type="paragraph" w:customStyle="1" w:styleId="CE-StandardText">
    <w:name w:val="CE-StandardText"/>
    <w:basedOn w:val="Normalny"/>
    <w:link w:val="CE-StandardTextZchn"/>
    <w:autoRedefine/>
    <w:qFormat/>
    <w:rsid w:val="00177D02"/>
    <w:pPr>
      <w:spacing w:before="0" w:after="0" w:line="276" w:lineRule="auto"/>
    </w:pPr>
    <w:rPr>
      <w:rFonts w:ascii="Calibri" w:eastAsia="Times New Roman" w:hAnsi="Calibri" w:cs="Times New Roman"/>
      <w:sz w:val="20"/>
      <w:szCs w:val="16"/>
      <w:lang w:eastAsia="pl-PL"/>
    </w:rPr>
  </w:style>
  <w:style w:type="character" w:customStyle="1" w:styleId="CE-StandardTextZchn">
    <w:name w:val="CE-StandardText Zchn"/>
    <w:basedOn w:val="Domylnaczcionkaakapitu"/>
    <w:link w:val="CE-StandardText"/>
    <w:rsid w:val="00177D02"/>
    <w:rPr>
      <w:rFonts w:ascii="Calibri" w:eastAsia="Times New Roman" w:hAnsi="Calibri" w:cs="Times New Roman"/>
      <w:szCs w:val="16"/>
      <w:lang w:eastAsia="pl-PL"/>
    </w:rPr>
  </w:style>
  <w:style w:type="table" w:customStyle="1" w:styleId="Tabelalisty4akcent11">
    <w:name w:val="Tabela listy 4 — akcent 11"/>
    <w:basedOn w:val="Standardowy"/>
    <w:uiPriority w:val="49"/>
    <w:rsid w:val="003D3A86"/>
    <w:pPr>
      <w:spacing w:before="0" w:after="0" w:line="240" w:lineRule="auto"/>
    </w:pPr>
    <w:rPr>
      <w:rFonts w:ascii="Calibri" w:eastAsia="Calibri" w:hAnsi="Calibri" w:cs="Times New Roman"/>
      <w:lang w:eastAsia="pl-PL"/>
    </w:rPr>
    <w:tblPr>
      <w:tblStyleRowBandSize w:val="1"/>
      <w:tblStyleColBandSize w:val="1"/>
      <w:tbl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insideH w:val="single" w:sz="4" w:space="0" w:color="93D07C" w:themeColor="accent1" w:themeTint="99"/>
      </w:tblBorders>
    </w:tblPr>
    <w:tblStylePr w:type="firstRow">
      <w:rPr>
        <w:b/>
        <w:bCs/>
        <w:color w:val="FFFFFF" w:themeColor="background1"/>
      </w:rPr>
      <w:tblPr/>
      <w:tcPr>
        <w:tcBorders>
          <w:top w:val="single" w:sz="4" w:space="0" w:color="549E39" w:themeColor="accent1"/>
          <w:left w:val="single" w:sz="4" w:space="0" w:color="549E39" w:themeColor="accent1"/>
          <w:bottom w:val="single" w:sz="4" w:space="0" w:color="549E39" w:themeColor="accent1"/>
          <w:right w:val="single" w:sz="4" w:space="0" w:color="549E39" w:themeColor="accent1"/>
          <w:insideH w:val="nil"/>
        </w:tcBorders>
        <w:shd w:val="clear" w:color="auto" w:fill="549E39" w:themeFill="accent1"/>
      </w:tcPr>
    </w:tblStylePr>
    <w:tblStylePr w:type="lastRow">
      <w:rPr>
        <w:b/>
        <w:bCs/>
      </w:rPr>
      <w:tblPr/>
      <w:tcPr>
        <w:tcBorders>
          <w:top w:val="double" w:sz="4" w:space="0" w:color="93D07C" w:themeColor="accent1" w:themeTint="99"/>
        </w:tcBorders>
      </w:tcPr>
    </w:tblStylePr>
    <w:tblStylePr w:type="firstCol">
      <w:rPr>
        <w:b/>
        <w:bCs/>
      </w:rPr>
    </w:tblStylePr>
    <w:tblStylePr w:type="lastCol">
      <w:rPr>
        <w:b/>
        <w:bCs/>
      </w:rPr>
    </w:tblStylePr>
    <w:tblStylePr w:type="band1Vert">
      <w:tblPr/>
      <w:tcPr>
        <w:shd w:val="clear" w:color="auto" w:fill="DAEFD3" w:themeFill="accent1" w:themeFillTint="33"/>
      </w:tcPr>
    </w:tblStylePr>
    <w:tblStylePr w:type="band1Horz">
      <w:tblPr/>
      <w:tcPr>
        <w:shd w:val="clear" w:color="auto" w:fill="DAEFD3" w:themeFill="accent1" w:themeFillTint="33"/>
      </w:tcPr>
    </w:tblStylePr>
  </w:style>
  <w:style w:type="paragraph" w:customStyle="1" w:styleId="Nagwek41">
    <w:name w:val="Nagłówek 41"/>
    <w:basedOn w:val="Normalny"/>
    <w:next w:val="Normalny"/>
    <w:uiPriority w:val="9"/>
    <w:unhideWhenUsed/>
    <w:qFormat/>
    <w:rsid w:val="003D3A86"/>
    <w:pPr>
      <w:pBdr>
        <w:top w:val="dotted" w:sz="6" w:space="2" w:color="549E39"/>
      </w:pBdr>
      <w:spacing w:before="200" w:after="0"/>
      <w:outlineLvl w:val="3"/>
    </w:pPr>
    <w:rPr>
      <w:rFonts w:eastAsia="Times New Roman"/>
      <w:caps/>
      <w:spacing w:val="10"/>
    </w:rPr>
  </w:style>
  <w:style w:type="paragraph" w:customStyle="1" w:styleId="Nagwek51">
    <w:name w:val="Nagłówek 51"/>
    <w:basedOn w:val="Normalny"/>
    <w:next w:val="Normalny"/>
    <w:uiPriority w:val="9"/>
    <w:unhideWhenUsed/>
    <w:qFormat/>
    <w:rsid w:val="003D3A86"/>
    <w:pPr>
      <w:pBdr>
        <w:bottom w:val="single" w:sz="6" w:space="1" w:color="549E39"/>
      </w:pBdr>
      <w:spacing w:before="200" w:after="0"/>
      <w:outlineLvl w:val="4"/>
    </w:pPr>
    <w:rPr>
      <w:rFonts w:eastAsia="Times New Roman"/>
      <w:caps/>
      <w:color w:val="3E762A"/>
      <w:spacing w:val="10"/>
    </w:rPr>
  </w:style>
  <w:style w:type="paragraph" w:customStyle="1" w:styleId="Nagwek61">
    <w:name w:val="Nagłówek 61"/>
    <w:basedOn w:val="Normalny"/>
    <w:next w:val="Normalny"/>
    <w:uiPriority w:val="9"/>
    <w:unhideWhenUsed/>
    <w:qFormat/>
    <w:rsid w:val="003D3A86"/>
    <w:pPr>
      <w:pBdr>
        <w:bottom w:val="dotted" w:sz="6" w:space="1" w:color="549E39"/>
      </w:pBdr>
      <w:spacing w:before="200" w:after="0"/>
      <w:outlineLvl w:val="5"/>
    </w:pPr>
    <w:rPr>
      <w:rFonts w:eastAsia="Times New Roman"/>
      <w:caps/>
      <w:color w:val="3E762A"/>
      <w:spacing w:val="10"/>
    </w:rPr>
  </w:style>
  <w:style w:type="paragraph" w:customStyle="1" w:styleId="Nagwek71">
    <w:name w:val="Nagłówek 71"/>
    <w:basedOn w:val="Normalny"/>
    <w:next w:val="Normalny"/>
    <w:uiPriority w:val="9"/>
    <w:unhideWhenUsed/>
    <w:qFormat/>
    <w:rsid w:val="003D3A86"/>
    <w:pPr>
      <w:spacing w:before="200" w:after="0"/>
      <w:outlineLvl w:val="6"/>
    </w:pPr>
    <w:rPr>
      <w:rFonts w:eastAsia="Times New Roman"/>
      <w:caps/>
      <w:color w:val="3E762A"/>
      <w:spacing w:val="10"/>
    </w:rPr>
  </w:style>
  <w:style w:type="paragraph" w:customStyle="1" w:styleId="LegendaZnakZnak1">
    <w:name w:val="Legenda Znak Znak1"/>
    <w:basedOn w:val="Normalny"/>
    <w:next w:val="Normalny"/>
    <w:uiPriority w:val="35"/>
    <w:unhideWhenUsed/>
    <w:qFormat/>
    <w:rsid w:val="003D3A86"/>
    <w:pPr>
      <w:spacing w:before="0" w:after="0"/>
    </w:pPr>
    <w:rPr>
      <w:rFonts w:eastAsia="Times New Roman"/>
      <w:b/>
      <w:bCs/>
      <w:color w:val="3E762A"/>
      <w:szCs w:val="16"/>
    </w:rPr>
  </w:style>
  <w:style w:type="paragraph" w:customStyle="1" w:styleId="Tytu1">
    <w:name w:val="Tytuł1"/>
    <w:basedOn w:val="Normalny"/>
    <w:next w:val="Normalny"/>
    <w:uiPriority w:val="10"/>
    <w:qFormat/>
    <w:rsid w:val="003D3A86"/>
    <w:pPr>
      <w:spacing w:before="0" w:after="0"/>
    </w:pPr>
    <w:rPr>
      <w:rFonts w:ascii="Calibri" w:eastAsia="Times New Roman" w:hAnsi="Calibri" w:cs="Times New Roman"/>
      <w:caps/>
      <w:color w:val="549E39"/>
      <w:spacing w:val="10"/>
      <w:sz w:val="52"/>
      <w:szCs w:val="52"/>
    </w:rPr>
  </w:style>
  <w:style w:type="paragraph" w:customStyle="1" w:styleId="Podtytu1">
    <w:name w:val="Podtytuł1"/>
    <w:basedOn w:val="Normalny"/>
    <w:next w:val="Normalny"/>
    <w:uiPriority w:val="11"/>
    <w:qFormat/>
    <w:rsid w:val="003D3A86"/>
    <w:pPr>
      <w:spacing w:before="0" w:after="500" w:line="240" w:lineRule="auto"/>
    </w:pPr>
    <w:rPr>
      <w:rFonts w:eastAsia="Times New Roman"/>
      <w:caps/>
      <w:color w:val="595959"/>
      <w:spacing w:val="10"/>
      <w:sz w:val="21"/>
      <w:szCs w:val="21"/>
    </w:rPr>
  </w:style>
  <w:style w:type="character" w:customStyle="1" w:styleId="Uwydatnienie1">
    <w:name w:val="Uwydatnienie1"/>
    <w:uiPriority w:val="20"/>
    <w:qFormat/>
    <w:rsid w:val="003D3A86"/>
    <w:rPr>
      <w:caps/>
      <w:color w:val="294E1C"/>
      <w:spacing w:val="5"/>
    </w:rPr>
  </w:style>
  <w:style w:type="paragraph" w:customStyle="1" w:styleId="Cytatintensywny1">
    <w:name w:val="Cytat intensywny1"/>
    <w:basedOn w:val="Normalny"/>
    <w:next w:val="Normalny"/>
    <w:uiPriority w:val="30"/>
    <w:qFormat/>
    <w:rsid w:val="003D3A86"/>
    <w:pPr>
      <w:spacing w:before="240" w:after="240" w:line="240" w:lineRule="auto"/>
      <w:ind w:left="1080" w:right="1080"/>
      <w:jc w:val="center"/>
    </w:pPr>
    <w:rPr>
      <w:rFonts w:eastAsia="Times New Roman"/>
      <w:color w:val="549E39"/>
      <w:szCs w:val="24"/>
    </w:rPr>
  </w:style>
  <w:style w:type="character" w:customStyle="1" w:styleId="Wyrnieniedelikatne1">
    <w:name w:val="Wyróżnienie delikatne1"/>
    <w:uiPriority w:val="19"/>
    <w:qFormat/>
    <w:rsid w:val="003D3A86"/>
    <w:rPr>
      <w:i/>
      <w:iCs/>
      <w:color w:val="294E1C"/>
    </w:rPr>
  </w:style>
  <w:style w:type="character" w:customStyle="1" w:styleId="Wyrnienieintensywne1">
    <w:name w:val="Wyróżnienie intensywne1"/>
    <w:uiPriority w:val="21"/>
    <w:qFormat/>
    <w:rsid w:val="003D3A86"/>
    <w:rPr>
      <w:b/>
      <w:bCs/>
      <w:caps/>
      <w:color w:val="294E1C"/>
      <w:spacing w:val="10"/>
    </w:rPr>
  </w:style>
  <w:style w:type="character" w:customStyle="1" w:styleId="Odwoaniedelikatne1">
    <w:name w:val="Odwołanie delikatne1"/>
    <w:uiPriority w:val="31"/>
    <w:qFormat/>
    <w:rsid w:val="003D3A86"/>
    <w:rPr>
      <w:b/>
      <w:bCs/>
      <w:color w:val="549E39"/>
    </w:rPr>
  </w:style>
  <w:style w:type="character" w:customStyle="1" w:styleId="Odwoanieintensywne1">
    <w:name w:val="Odwołanie intensywne1"/>
    <w:uiPriority w:val="32"/>
    <w:qFormat/>
    <w:rsid w:val="003D3A86"/>
    <w:rPr>
      <w:b/>
      <w:bCs/>
      <w:i/>
      <w:iCs/>
      <w:caps/>
      <w:color w:val="549E39"/>
    </w:rPr>
  </w:style>
  <w:style w:type="character" w:customStyle="1" w:styleId="Hipercze1">
    <w:name w:val="Hiperłącze1"/>
    <w:basedOn w:val="Domylnaczcionkaakapitu"/>
    <w:uiPriority w:val="99"/>
    <w:unhideWhenUsed/>
    <w:rsid w:val="003D3A86"/>
    <w:rPr>
      <w:color w:val="6B9F25"/>
      <w:u w:val="single"/>
    </w:rPr>
  </w:style>
  <w:style w:type="table" w:customStyle="1" w:styleId="Tabelalisty6kolorowaakcent11">
    <w:name w:val="Tabela listy 6 — kolorowa — akcent 11"/>
    <w:basedOn w:val="Standardowy"/>
    <w:uiPriority w:val="51"/>
    <w:rsid w:val="003D3A86"/>
    <w:pPr>
      <w:spacing w:after="0" w:line="240" w:lineRule="auto"/>
    </w:pPr>
    <w:rPr>
      <w:rFonts w:eastAsia="Times New Roman"/>
      <w:color w:val="3E762A"/>
    </w:rPr>
    <w:tblPr>
      <w:tblStyleRowBandSize w:val="1"/>
      <w:tblStyleColBandSize w:val="1"/>
      <w:tblBorders>
        <w:top w:val="single" w:sz="4" w:space="0" w:color="549E39"/>
        <w:bottom w:val="single" w:sz="4" w:space="0" w:color="549E39"/>
      </w:tblBorders>
    </w:tblPr>
    <w:tblStylePr w:type="firstRow">
      <w:rPr>
        <w:b/>
        <w:bCs/>
      </w:rPr>
      <w:tblPr/>
      <w:tcPr>
        <w:tcBorders>
          <w:bottom w:val="single" w:sz="4" w:space="0" w:color="549E39"/>
        </w:tcBorders>
      </w:tcPr>
    </w:tblStylePr>
    <w:tblStylePr w:type="lastRow">
      <w:rPr>
        <w:b/>
        <w:bCs/>
      </w:rPr>
      <w:tblPr/>
      <w:tcPr>
        <w:tcBorders>
          <w:top w:val="double" w:sz="4" w:space="0" w:color="549E39"/>
        </w:tcBorders>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table" w:customStyle="1" w:styleId="Tabelasiatki2akcent11">
    <w:name w:val="Tabela siatki 2 — akcent 11"/>
    <w:basedOn w:val="Standardowy"/>
    <w:uiPriority w:val="47"/>
    <w:rsid w:val="003D3A86"/>
    <w:pPr>
      <w:spacing w:before="0" w:after="0" w:line="240" w:lineRule="auto"/>
    </w:pPr>
    <w:rPr>
      <w:rFonts w:ascii="Calibri" w:eastAsia="Calibri" w:hAnsi="Calibri" w:cs="Times New Roman"/>
      <w:lang w:eastAsia="pl-PL"/>
    </w:rPr>
    <w:tblPr>
      <w:tblStyleRowBandSize w:val="1"/>
      <w:tblStyleColBandSize w:val="1"/>
      <w:tblBorders>
        <w:top w:val="single" w:sz="2" w:space="0" w:color="93D07C"/>
        <w:bottom w:val="single" w:sz="2" w:space="0" w:color="93D07C"/>
        <w:insideH w:val="single" w:sz="2" w:space="0" w:color="93D07C"/>
        <w:insideV w:val="single" w:sz="2" w:space="0" w:color="93D07C"/>
      </w:tblBorders>
    </w:tblPr>
    <w:tblStylePr w:type="firstRow">
      <w:rPr>
        <w:b/>
        <w:bCs/>
      </w:rPr>
      <w:tblPr/>
      <w:tcPr>
        <w:tcBorders>
          <w:top w:val="nil"/>
          <w:bottom w:val="single" w:sz="12" w:space="0" w:color="93D07C"/>
          <w:insideH w:val="nil"/>
          <w:insideV w:val="nil"/>
        </w:tcBorders>
        <w:shd w:val="clear" w:color="auto" w:fill="FFFFFF"/>
      </w:tcPr>
    </w:tblStylePr>
    <w:tblStylePr w:type="lastRow">
      <w:rPr>
        <w:b/>
        <w:bCs/>
      </w:rPr>
      <w:tblPr/>
      <w:tcPr>
        <w:tcBorders>
          <w:top w:val="double" w:sz="2" w:space="0" w:color="93D07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FD3"/>
      </w:tcPr>
    </w:tblStylePr>
    <w:tblStylePr w:type="band1Horz">
      <w:tblPr/>
      <w:tcPr>
        <w:shd w:val="clear" w:color="auto" w:fill="DAEFD3"/>
      </w:tcPr>
    </w:tblStylePr>
  </w:style>
  <w:style w:type="character" w:customStyle="1" w:styleId="Nagwek4Znak1">
    <w:name w:val="Nagłówek 4 Znak1"/>
    <w:basedOn w:val="Domylnaczcionkaakapitu"/>
    <w:uiPriority w:val="9"/>
    <w:semiHidden/>
    <w:rsid w:val="003D3A86"/>
    <w:rPr>
      <w:rFonts w:asciiTheme="majorHAnsi" w:eastAsiaTheme="majorEastAsia" w:hAnsiTheme="majorHAnsi" w:cstheme="majorBidi"/>
      <w:i/>
      <w:iCs/>
      <w:color w:val="3E762A" w:themeColor="accent1" w:themeShade="BF"/>
    </w:rPr>
  </w:style>
  <w:style w:type="character" w:customStyle="1" w:styleId="Nagwek5Znak1">
    <w:name w:val="Nagłówek 5 Znak1"/>
    <w:basedOn w:val="Domylnaczcionkaakapitu"/>
    <w:uiPriority w:val="9"/>
    <w:semiHidden/>
    <w:rsid w:val="003D3A86"/>
    <w:rPr>
      <w:rFonts w:asciiTheme="majorHAnsi" w:eastAsiaTheme="majorEastAsia" w:hAnsiTheme="majorHAnsi" w:cstheme="majorBidi"/>
      <w:color w:val="3E762A" w:themeColor="accent1" w:themeShade="BF"/>
    </w:rPr>
  </w:style>
  <w:style w:type="character" w:customStyle="1" w:styleId="Nagwek6Znak1">
    <w:name w:val="Nagłówek 6 Znak1"/>
    <w:basedOn w:val="Domylnaczcionkaakapitu"/>
    <w:uiPriority w:val="9"/>
    <w:semiHidden/>
    <w:rsid w:val="003D3A86"/>
    <w:rPr>
      <w:rFonts w:asciiTheme="majorHAnsi" w:eastAsiaTheme="majorEastAsia" w:hAnsiTheme="majorHAnsi" w:cstheme="majorBidi"/>
      <w:color w:val="294E1C" w:themeColor="accent1" w:themeShade="7F"/>
    </w:rPr>
  </w:style>
  <w:style w:type="character" w:customStyle="1" w:styleId="Nagwek7Znak1">
    <w:name w:val="Nagłówek 7 Znak1"/>
    <w:basedOn w:val="Domylnaczcionkaakapitu"/>
    <w:uiPriority w:val="9"/>
    <w:semiHidden/>
    <w:rsid w:val="003D3A86"/>
    <w:rPr>
      <w:rFonts w:asciiTheme="majorHAnsi" w:eastAsiaTheme="majorEastAsia" w:hAnsiTheme="majorHAnsi" w:cstheme="majorBidi"/>
      <w:i/>
      <w:iCs/>
      <w:color w:val="294E1C" w:themeColor="accent1" w:themeShade="7F"/>
    </w:rPr>
  </w:style>
  <w:style w:type="character" w:customStyle="1" w:styleId="TytuZnak1">
    <w:name w:val="Tytuł Znak1"/>
    <w:basedOn w:val="Domylnaczcionkaakapitu"/>
    <w:uiPriority w:val="10"/>
    <w:rsid w:val="003D3A86"/>
    <w:rPr>
      <w:rFonts w:asciiTheme="majorHAnsi" w:eastAsiaTheme="majorEastAsia" w:hAnsiTheme="majorHAnsi" w:cstheme="majorBidi"/>
      <w:spacing w:val="-10"/>
      <w:kern w:val="28"/>
      <w:sz w:val="56"/>
      <w:szCs w:val="56"/>
    </w:rPr>
  </w:style>
  <w:style w:type="character" w:customStyle="1" w:styleId="PodtytuZnak1">
    <w:name w:val="Podtytuł Znak1"/>
    <w:basedOn w:val="Domylnaczcionkaakapitu"/>
    <w:uiPriority w:val="11"/>
    <w:rsid w:val="003D3A86"/>
    <w:rPr>
      <w:rFonts w:eastAsiaTheme="minorEastAsia"/>
      <w:color w:val="5A5A5A" w:themeColor="text1" w:themeTint="A5"/>
      <w:spacing w:val="15"/>
    </w:rPr>
  </w:style>
  <w:style w:type="character" w:customStyle="1" w:styleId="CytatintensywnyZnak1">
    <w:name w:val="Cytat intensywny Znak1"/>
    <w:basedOn w:val="Domylnaczcionkaakapitu"/>
    <w:uiPriority w:val="30"/>
    <w:rsid w:val="003D3A86"/>
    <w:rPr>
      <w:i/>
      <w:iCs/>
      <w:color w:val="549E39" w:themeColor="accent1"/>
    </w:rPr>
  </w:style>
  <w:style w:type="table" w:customStyle="1" w:styleId="Tabelasiatki4akcent21">
    <w:name w:val="Tabela siatki 4 — akcent 21"/>
    <w:basedOn w:val="Standardowy"/>
    <w:uiPriority w:val="49"/>
    <w:rsid w:val="003D3A86"/>
    <w:pPr>
      <w:spacing w:after="0" w:line="240" w:lineRule="auto"/>
    </w:p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color w:val="FFFFFF" w:themeColor="background1"/>
      </w:rPr>
      <w:tblPr/>
      <w:tcPr>
        <w:tcBorders>
          <w:top w:val="single" w:sz="4" w:space="0" w:color="8AB833" w:themeColor="accent2"/>
          <w:left w:val="single" w:sz="4" w:space="0" w:color="8AB833" w:themeColor="accent2"/>
          <w:bottom w:val="single" w:sz="4" w:space="0" w:color="8AB833" w:themeColor="accent2"/>
          <w:right w:val="single" w:sz="4" w:space="0" w:color="8AB833" w:themeColor="accent2"/>
          <w:insideH w:val="nil"/>
          <w:insideV w:val="nil"/>
        </w:tcBorders>
        <w:shd w:val="clear" w:color="auto" w:fill="8AB833" w:themeFill="accent2"/>
      </w:tcPr>
    </w:tblStylePr>
    <w:tblStylePr w:type="lastRow">
      <w:rPr>
        <w:b/>
        <w:bCs/>
      </w:rPr>
      <w:tblPr/>
      <w:tcPr>
        <w:tcBorders>
          <w:top w:val="double" w:sz="4" w:space="0" w:color="8AB833" w:themeColor="accent2"/>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paragraph" w:styleId="Poprawka">
    <w:name w:val="Revision"/>
    <w:hidden/>
    <w:uiPriority w:val="99"/>
    <w:semiHidden/>
    <w:rsid w:val="003D3A86"/>
    <w:pPr>
      <w:spacing w:before="0" w:after="0" w:line="240" w:lineRule="auto"/>
    </w:pPr>
    <w:rPr>
      <w:sz w:val="22"/>
    </w:rPr>
  </w:style>
  <w:style w:type="table" w:customStyle="1" w:styleId="Tabelasiatki1jasnaakcent12">
    <w:name w:val="Tabela siatki 1 — jasna — akcent 12"/>
    <w:basedOn w:val="Standardowy"/>
    <w:uiPriority w:val="46"/>
    <w:rsid w:val="003D3A86"/>
    <w:pPr>
      <w:spacing w:after="0" w:line="240" w:lineRule="auto"/>
    </w:p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table" w:customStyle="1" w:styleId="Tabelasiatki1jasnaakcent113">
    <w:name w:val="Tabela siatki 1 — jasna — akcent 113"/>
    <w:basedOn w:val="Standardowy"/>
    <w:uiPriority w:val="46"/>
    <w:rsid w:val="003D3A86"/>
    <w:pPr>
      <w:spacing w:after="0" w:line="240" w:lineRule="auto"/>
    </w:p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table" w:customStyle="1" w:styleId="GridTable1LightAccent111">
    <w:name w:val="Grid Table 1 Light Accent 111"/>
    <w:basedOn w:val="Standardowy"/>
    <w:uiPriority w:val="46"/>
    <w:rsid w:val="003D3A86"/>
    <w:pPr>
      <w:spacing w:after="0" w:line="240" w:lineRule="auto"/>
    </w:p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paragraph" w:customStyle="1" w:styleId="Nagwek12">
    <w:name w:val="Nagłówek1.2"/>
    <w:basedOn w:val="Nagwek1"/>
    <w:link w:val="Nagwek12Znak"/>
    <w:qFormat/>
    <w:rsid w:val="003D3A86"/>
    <w:pPr>
      <w:ind w:left="792" w:hanging="432"/>
      <w:jc w:val="both"/>
    </w:pPr>
  </w:style>
  <w:style w:type="character" w:customStyle="1" w:styleId="Nagwek12Znak">
    <w:name w:val="Nagłówek1.2 Znak"/>
    <w:basedOn w:val="Nagwek1Znak"/>
    <w:link w:val="Nagwek12"/>
    <w:rsid w:val="003D3A86"/>
    <w:rPr>
      <w:caps/>
      <w:spacing w:val="15"/>
      <w:sz w:val="28"/>
      <w:szCs w:val="22"/>
    </w:rPr>
  </w:style>
  <w:style w:type="character" w:customStyle="1" w:styleId="Nierozpoznanawzmianka2">
    <w:name w:val="Nierozpoznana wzmianka2"/>
    <w:basedOn w:val="Domylnaczcionkaakapitu"/>
    <w:uiPriority w:val="99"/>
    <w:semiHidden/>
    <w:unhideWhenUsed/>
    <w:rsid w:val="003D3A86"/>
    <w:rPr>
      <w:color w:val="605E5C"/>
      <w:shd w:val="clear" w:color="auto" w:fill="E1DFDD"/>
    </w:rPr>
  </w:style>
  <w:style w:type="character" w:styleId="UyteHipercze">
    <w:name w:val="FollowedHyperlink"/>
    <w:basedOn w:val="Domylnaczcionkaakapitu"/>
    <w:uiPriority w:val="99"/>
    <w:semiHidden/>
    <w:unhideWhenUsed/>
    <w:rsid w:val="003D3A86"/>
    <w:rPr>
      <w:color w:val="BA6906" w:themeColor="followedHyperlink"/>
      <w:u w:val="single"/>
    </w:rPr>
  </w:style>
  <w:style w:type="paragraph" w:customStyle="1" w:styleId="msonormal0">
    <w:name w:val="msonormal"/>
    <w:basedOn w:val="Normalny"/>
    <w:rsid w:val="003D3A86"/>
    <w:pPr>
      <w:jc w:val="both"/>
    </w:pPr>
    <w:rPr>
      <w:rFonts w:ascii="Times New Roman" w:hAnsi="Times New Roman" w:cs="Times New Roman"/>
      <w:szCs w:val="24"/>
    </w:rPr>
  </w:style>
  <w:style w:type="character" w:customStyle="1" w:styleId="TekstprzypisudolnegoZnak1">
    <w:name w:val="Tekst przypisu dolnego Znak1"/>
    <w:aliases w:val="Footnote Znak1,Podrozdzia3 Znak1,-E Fuﬂnotentext Znak1,Fuﬂnotentext Ursprung Znak1,Fußnotentext Ursprung Znak1,-E Fußnotentext Znak1,Footnote text Znak1,Tekst przypisu Znak Znak Znak Znak Znak2,footnote text Znak1,o Znak1"/>
    <w:basedOn w:val="Domylnaczcionkaakapitu"/>
    <w:uiPriority w:val="99"/>
    <w:semiHidden/>
    <w:rsid w:val="003D3A86"/>
  </w:style>
  <w:style w:type="character" w:customStyle="1" w:styleId="Nierozpoznanawzmianka3">
    <w:name w:val="Nierozpoznana wzmianka3"/>
    <w:basedOn w:val="Domylnaczcionkaakapitu"/>
    <w:uiPriority w:val="99"/>
    <w:semiHidden/>
    <w:rsid w:val="003D3A86"/>
    <w:rPr>
      <w:color w:val="605E5C"/>
      <w:shd w:val="clear" w:color="auto" w:fill="E1DFDD"/>
    </w:rPr>
  </w:style>
  <w:style w:type="character" w:styleId="Numerwiersza">
    <w:name w:val="line number"/>
    <w:basedOn w:val="Domylnaczcionkaakapitu"/>
    <w:uiPriority w:val="99"/>
    <w:semiHidden/>
    <w:unhideWhenUsed/>
    <w:rsid w:val="003D3A86"/>
  </w:style>
  <w:style w:type="character" w:customStyle="1" w:styleId="markedcontent">
    <w:name w:val="markedcontent"/>
    <w:basedOn w:val="Domylnaczcionkaakapitu"/>
    <w:rsid w:val="00680739"/>
  </w:style>
  <w:style w:type="table" w:customStyle="1" w:styleId="Tabelasiatki3akcent11">
    <w:name w:val="Tabela siatki 3 — akcent 11"/>
    <w:basedOn w:val="Standardowy"/>
    <w:uiPriority w:val="48"/>
    <w:rsid w:val="002864C1"/>
    <w:pPr>
      <w:spacing w:after="0" w:line="240" w:lineRule="auto"/>
    </w:pPr>
    <w:tblPr>
      <w:tblStyleRowBandSize w:val="1"/>
      <w:tblStyleColBandSize w:val="1"/>
      <w:tbl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insideH w:val="single" w:sz="4" w:space="0" w:color="93D07C" w:themeColor="accent1" w:themeTint="99"/>
        <w:insideV w:val="single" w:sz="4" w:space="0" w:color="93D07C"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FD3" w:themeFill="accent1" w:themeFillTint="33"/>
      </w:tcPr>
    </w:tblStylePr>
    <w:tblStylePr w:type="band1Horz">
      <w:tblPr/>
      <w:tcPr>
        <w:shd w:val="clear" w:color="auto" w:fill="DAEFD3" w:themeFill="accent1" w:themeFillTint="33"/>
      </w:tcPr>
    </w:tblStylePr>
    <w:tblStylePr w:type="neCell">
      <w:tblPr/>
      <w:tcPr>
        <w:tcBorders>
          <w:bottom w:val="single" w:sz="4" w:space="0" w:color="93D07C" w:themeColor="accent1" w:themeTint="99"/>
        </w:tcBorders>
      </w:tcPr>
    </w:tblStylePr>
    <w:tblStylePr w:type="nwCell">
      <w:tblPr/>
      <w:tcPr>
        <w:tcBorders>
          <w:bottom w:val="single" w:sz="4" w:space="0" w:color="93D07C" w:themeColor="accent1" w:themeTint="99"/>
        </w:tcBorders>
      </w:tcPr>
    </w:tblStylePr>
    <w:tblStylePr w:type="seCell">
      <w:tblPr/>
      <w:tcPr>
        <w:tcBorders>
          <w:top w:val="single" w:sz="4" w:space="0" w:color="93D07C" w:themeColor="accent1" w:themeTint="99"/>
        </w:tcBorders>
      </w:tcPr>
    </w:tblStylePr>
    <w:tblStylePr w:type="swCell">
      <w:tblPr/>
      <w:tcPr>
        <w:tcBorders>
          <w:top w:val="single" w:sz="4" w:space="0" w:color="93D07C" w:themeColor="accent1" w:themeTint="99"/>
        </w:tcBorders>
      </w:tcPr>
    </w:tblStylePr>
  </w:style>
  <w:style w:type="table" w:styleId="Jasnalistaakcent1">
    <w:name w:val="Light List Accent 1"/>
    <w:basedOn w:val="Standardowy"/>
    <w:uiPriority w:val="61"/>
    <w:rsid w:val="001D680B"/>
    <w:pPr>
      <w:spacing w:before="0" w:after="0" w:line="240" w:lineRule="auto"/>
    </w:pPr>
    <w:rPr>
      <w:rFonts w:eastAsiaTheme="minorHAnsi"/>
      <w:sz w:val="22"/>
      <w:szCs w:val="22"/>
    </w:rPr>
    <w:tblPr>
      <w:tblStyleRowBandSize w:val="1"/>
      <w:tblStyleColBandSize w:val="1"/>
      <w:tblBorders>
        <w:top w:val="single" w:sz="8" w:space="0" w:color="549E39" w:themeColor="accent1"/>
        <w:left w:val="single" w:sz="8" w:space="0" w:color="549E39" w:themeColor="accent1"/>
        <w:bottom w:val="single" w:sz="8" w:space="0" w:color="549E39" w:themeColor="accent1"/>
        <w:right w:val="single" w:sz="8" w:space="0" w:color="549E39" w:themeColor="accent1"/>
      </w:tblBorders>
    </w:tblPr>
    <w:tblStylePr w:type="firstRow">
      <w:pPr>
        <w:spacing w:before="0" w:after="0" w:line="240" w:lineRule="auto"/>
      </w:pPr>
      <w:rPr>
        <w:b/>
        <w:bCs/>
        <w:color w:val="FFFFFF" w:themeColor="background1"/>
      </w:rPr>
      <w:tblPr/>
      <w:tcPr>
        <w:shd w:val="clear" w:color="auto" w:fill="549E39" w:themeFill="accent1"/>
      </w:tcPr>
    </w:tblStylePr>
    <w:tblStylePr w:type="lastRow">
      <w:pPr>
        <w:spacing w:before="0" w:after="0" w:line="240" w:lineRule="auto"/>
      </w:pPr>
      <w:rPr>
        <w:b/>
        <w:bCs/>
      </w:rPr>
      <w:tblPr/>
      <w:tcPr>
        <w:tcBorders>
          <w:top w:val="double" w:sz="6" w:space="0" w:color="549E39" w:themeColor="accent1"/>
          <w:left w:val="single" w:sz="8" w:space="0" w:color="549E39" w:themeColor="accent1"/>
          <w:bottom w:val="single" w:sz="8" w:space="0" w:color="549E39" w:themeColor="accent1"/>
          <w:right w:val="single" w:sz="8" w:space="0" w:color="549E39" w:themeColor="accent1"/>
        </w:tcBorders>
      </w:tcPr>
    </w:tblStylePr>
    <w:tblStylePr w:type="firstCol">
      <w:rPr>
        <w:b/>
        <w:bCs/>
      </w:rPr>
    </w:tblStylePr>
    <w:tblStylePr w:type="lastCol">
      <w:rPr>
        <w:b/>
        <w:bCs/>
      </w:rPr>
    </w:tblStylePr>
    <w:tblStylePr w:type="band1Vert">
      <w:tblPr/>
      <w:tcPr>
        <w:tcBorders>
          <w:top w:val="single" w:sz="8" w:space="0" w:color="549E39" w:themeColor="accent1"/>
          <w:left w:val="single" w:sz="8" w:space="0" w:color="549E39" w:themeColor="accent1"/>
          <w:bottom w:val="single" w:sz="8" w:space="0" w:color="549E39" w:themeColor="accent1"/>
          <w:right w:val="single" w:sz="8" w:space="0" w:color="549E39" w:themeColor="accent1"/>
        </w:tcBorders>
      </w:tcPr>
    </w:tblStylePr>
    <w:tblStylePr w:type="band1Horz">
      <w:tblPr/>
      <w:tcPr>
        <w:tcBorders>
          <w:top w:val="single" w:sz="8" w:space="0" w:color="549E39" w:themeColor="accent1"/>
          <w:left w:val="single" w:sz="8" w:space="0" w:color="549E39" w:themeColor="accent1"/>
          <w:bottom w:val="single" w:sz="8" w:space="0" w:color="549E39" w:themeColor="accent1"/>
          <w:right w:val="single" w:sz="8" w:space="0" w:color="549E39" w:themeColor="accent1"/>
        </w:tcBorders>
      </w:tcPr>
    </w:tblStylePr>
  </w:style>
  <w:style w:type="table" w:styleId="rednialista1akcent1">
    <w:name w:val="Medium List 1 Accent 1"/>
    <w:basedOn w:val="Standardowy"/>
    <w:uiPriority w:val="65"/>
    <w:rsid w:val="001D680B"/>
    <w:pPr>
      <w:spacing w:before="0" w:after="0" w:line="240" w:lineRule="auto"/>
    </w:pPr>
    <w:rPr>
      <w:rFonts w:eastAsiaTheme="minorHAnsi"/>
      <w:color w:val="000000" w:themeColor="text1"/>
      <w:sz w:val="22"/>
      <w:szCs w:val="22"/>
    </w:rPr>
    <w:tblPr>
      <w:tblStyleRowBandSize w:val="1"/>
      <w:tblStyleColBandSize w:val="1"/>
      <w:tblBorders>
        <w:top w:val="single" w:sz="8" w:space="0" w:color="549E39" w:themeColor="accent1"/>
        <w:bottom w:val="single" w:sz="8" w:space="0" w:color="549E39" w:themeColor="accent1"/>
      </w:tblBorders>
    </w:tblPr>
    <w:tblStylePr w:type="firstRow">
      <w:rPr>
        <w:rFonts w:asciiTheme="majorHAnsi" w:eastAsiaTheme="majorEastAsia" w:hAnsiTheme="majorHAnsi" w:cstheme="majorBidi"/>
      </w:rPr>
      <w:tblPr/>
      <w:tcPr>
        <w:tcBorders>
          <w:top w:val="nil"/>
          <w:bottom w:val="single" w:sz="8" w:space="0" w:color="549E39" w:themeColor="accent1"/>
        </w:tcBorders>
      </w:tcPr>
    </w:tblStylePr>
    <w:tblStylePr w:type="lastRow">
      <w:rPr>
        <w:b/>
        <w:bCs/>
        <w:color w:val="455F51" w:themeColor="text2"/>
      </w:rPr>
      <w:tblPr/>
      <w:tcPr>
        <w:tcBorders>
          <w:top w:val="single" w:sz="8" w:space="0" w:color="549E39" w:themeColor="accent1"/>
          <w:bottom w:val="single" w:sz="8" w:space="0" w:color="549E39" w:themeColor="accent1"/>
        </w:tcBorders>
      </w:tcPr>
    </w:tblStylePr>
    <w:tblStylePr w:type="firstCol">
      <w:rPr>
        <w:b/>
        <w:bCs/>
      </w:rPr>
    </w:tblStylePr>
    <w:tblStylePr w:type="lastCol">
      <w:rPr>
        <w:b/>
        <w:bCs/>
      </w:rPr>
      <w:tblPr/>
      <w:tcPr>
        <w:tcBorders>
          <w:top w:val="single" w:sz="8" w:space="0" w:color="549E39" w:themeColor="accent1"/>
          <w:bottom w:val="single" w:sz="8" w:space="0" w:color="549E39" w:themeColor="accent1"/>
        </w:tcBorders>
      </w:tcPr>
    </w:tblStylePr>
    <w:tblStylePr w:type="band1Vert">
      <w:tblPr/>
      <w:tcPr>
        <w:shd w:val="clear" w:color="auto" w:fill="D2EBC9" w:themeFill="accent1" w:themeFillTint="3F"/>
      </w:tcPr>
    </w:tblStylePr>
    <w:tblStylePr w:type="band1Horz">
      <w:tblPr/>
      <w:tcPr>
        <w:shd w:val="clear" w:color="auto" w:fill="D2EBC9" w:themeFill="accent1" w:themeFillTint="3F"/>
      </w:tcPr>
    </w:tblStylePr>
  </w:style>
  <w:style w:type="table" w:customStyle="1" w:styleId="Tabelasiatki1jasnaakcent13">
    <w:name w:val="Tabela siatki 1 — jasna — akcent 13"/>
    <w:basedOn w:val="Standardowy"/>
    <w:uiPriority w:val="46"/>
    <w:rsid w:val="00D07DA2"/>
    <w:pPr>
      <w:spacing w:after="0" w:line="240" w:lineRule="auto"/>
    </w:p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table" w:customStyle="1" w:styleId="Tabelasiatki1jasnaakcent114">
    <w:name w:val="Tabela siatki 1 — jasna — akcent 114"/>
    <w:basedOn w:val="Standardowy"/>
    <w:uiPriority w:val="46"/>
    <w:rsid w:val="001108E7"/>
    <w:pPr>
      <w:spacing w:after="0" w:line="240" w:lineRule="auto"/>
    </w:p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table" w:customStyle="1" w:styleId="Tabelasiatki1jasnaakcent130">
    <w:name w:val="Tabela siatki 1 — jasna — akcent 130"/>
    <w:basedOn w:val="Standardowy"/>
    <w:uiPriority w:val="46"/>
    <w:rsid w:val="001062B0"/>
    <w:pPr>
      <w:spacing w:after="0" w:line="240" w:lineRule="auto"/>
    </w:p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numbering" w:customStyle="1" w:styleId="Bezlisty2">
    <w:name w:val="Bez listy2"/>
    <w:next w:val="Bezlisty"/>
    <w:uiPriority w:val="99"/>
    <w:semiHidden/>
    <w:unhideWhenUsed/>
    <w:rsid w:val="006A6CE2"/>
  </w:style>
  <w:style w:type="numbering" w:customStyle="1" w:styleId="Bezlisty11">
    <w:name w:val="Bez listy11"/>
    <w:next w:val="Bezlisty"/>
    <w:uiPriority w:val="99"/>
    <w:semiHidden/>
    <w:unhideWhenUsed/>
    <w:rsid w:val="006A6CE2"/>
  </w:style>
  <w:style w:type="character" w:customStyle="1" w:styleId="Nierozpoznanawzmianka4">
    <w:name w:val="Nierozpoznana wzmianka4"/>
    <w:basedOn w:val="Domylnaczcionkaakapitu"/>
    <w:uiPriority w:val="99"/>
    <w:semiHidden/>
    <w:unhideWhenUsed/>
    <w:rsid w:val="006A6CE2"/>
    <w:rPr>
      <w:color w:val="605E5C"/>
      <w:shd w:val="clear" w:color="auto" w:fill="E1DFDD"/>
    </w:rPr>
  </w:style>
  <w:style w:type="character" w:styleId="HTML-cytat">
    <w:name w:val="HTML Cite"/>
    <w:basedOn w:val="Domylnaczcionkaakapitu"/>
    <w:uiPriority w:val="99"/>
    <w:semiHidden/>
    <w:unhideWhenUsed/>
    <w:rsid w:val="006A6CE2"/>
    <w:rPr>
      <w:i/>
      <w:iCs/>
    </w:rPr>
  </w:style>
  <w:style w:type="character" w:customStyle="1" w:styleId="isbn">
    <w:name w:val="isbn"/>
    <w:basedOn w:val="Domylnaczcionkaakapitu"/>
    <w:rsid w:val="006A6CE2"/>
  </w:style>
  <w:style w:type="paragraph" w:customStyle="1" w:styleId="paragraph">
    <w:name w:val="paragraph"/>
    <w:basedOn w:val="Normalny"/>
    <w:rsid w:val="006A6CE2"/>
    <w:pPr>
      <w:spacing w:beforeAutospacing="1" w:after="100" w:afterAutospacing="1" w:line="240" w:lineRule="auto"/>
    </w:pPr>
    <w:rPr>
      <w:rFonts w:ascii="Times New Roman" w:eastAsia="Times New Roman" w:hAnsi="Times New Roman" w:cs="Times New Roman"/>
      <w:szCs w:val="24"/>
      <w:lang w:eastAsia="pl-PL"/>
    </w:rPr>
  </w:style>
  <w:style w:type="character" w:customStyle="1" w:styleId="normaltextrun">
    <w:name w:val="normaltextrun"/>
    <w:basedOn w:val="Domylnaczcionkaakapitu"/>
    <w:rsid w:val="006A6CE2"/>
  </w:style>
  <w:style w:type="character" w:customStyle="1" w:styleId="spellingerror">
    <w:name w:val="spellingerror"/>
    <w:basedOn w:val="Domylnaczcionkaakapitu"/>
    <w:rsid w:val="006A6CE2"/>
  </w:style>
  <w:style w:type="character" w:customStyle="1" w:styleId="eop">
    <w:name w:val="eop"/>
    <w:basedOn w:val="Domylnaczcionkaakapitu"/>
    <w:rsid w:val="006A6CE2"/>
  </w:style>
  <w:style w:type="table" w:customStyle="1" w:styleId="GridTable1LightAccent112">
    <w:name w:val="Grid Table 1 Light Accent 112"/>
    <w:basedOn w:val="Standardowy"/>
    <w:uiPriority w:val="46"/>
    <w:rsid w:val="00511D0D"/>
    <w:pPr>
      <w:spacing w:after="0" w:line="240" w:lineRule="auto"/>
    </w:p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table" w:styleId="redniecieniowanie1akcent2">
    <w:name w:val="Medium Shading 1 Accent 2"/>
    <w:basedOn w:val="Standardowy"/>
    <w:uiPriority w:val="63"/>
    <w:rsid w:val="00C17C7F"/>
    <w:pPr>
      <w:spacing w:before="0" w:after="0" w:line="240" w:lineRule="auto"/>
    </w:pPr>
    <w:tblPr>
      <w:tblStyleRowBandSize w:val="1"/>
      <w:tblStyleColBandSize w:val="1"/>
      <w:tblBorders>
        <w:top w:val="single" w:sz="8"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single" w:sz="8" w:space="0" w:color="A9D25D" w:themeColor="accent2" w:themeTint="BF"/>
      </w:tblBorders>
    </w:tblPr>
    <w:tblStylePr w:type="firstRow">
      <w:pPr>
        <w:spacing w:before="0" w:after="0" w:line="240" w:lineRule="auto"/>
      </w:pPr>
      <w:rPr>
        <w:b/>
        <w:bCs/>
        <w:color w:val="FFFFFF" w:themeColor="background1"/>
      </w:rPr>
      <w:tblPr/>
      <w:tcPr>
        <w:tcBorders>
          <w:top w:val="single" w:sz="8"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nil"/>
          <w:insideV w:val="nil"/>
        </w:tcBorders>
        <w:shd w:val="clear" w:color="auto" w:fill="8AB833" w:themeFill="accent2"/>
      </w:tcPr>
    </w:tblStylePr>
    <w:tblStylePr w:type="lastRow">
      <w:pPr>
        <w:spacing w:before="0" w:after="0" w:line="240" w:lineRule="auto"/>
      </w:pPr>
      <w:rPr>
        <w:b/>
        <w:bCs/>
      </w:rPr>
      <w:tblPr/>
      <w:tcPr>
        <w:tcBorders>
          <w:top w:val="double" w:sz="6"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nil"/>
          <w:insideV w:val="nil"/>
        </w:tcBorders>
      </w:tcPr>
    </w:tblStylePr>
    <w:tblStylePr w:type="firstCol">
      <w:rPr>
        <w:b/>
        <w:bCs/>
      </w:rPr>
    </w:tblStylePr>
    <w:tblStylePr w:type="lastCol">
      <w:rPr>
        <w:b/>
        <w:bCs/>
      </w:rPr>
    </w:tblStylePr>
    <w:tblStylePr w:type="band1Vert">
      <w:tblPr/>
      <w:tcPr>
        <w:shd w:val="clear" w:color="auto" w:fill="E2F0C9" w:themeFill="accent2" w:themeFillTint="3F"/>
      </w:tcPr>
    </w:tblStylePr>
    <w:tblStylePr w:type="band1Horz">
      <w:tblPr/>
      <w:tcPr>
        <w:tcBorders>
          <w:insideH w:val="nil"/>
          <w:insideV w:val="nil"/>
        </w:tcBorders>
        <w:shd w:val="clear" w:color="auto" w:fill="E2F0C9" w:themeFill="accent2" w:themeFillTint="3F"/>
      </w:tcPr>
    </w:tblStylePr>
    <w:tblStylePr w:type="band2Horz">
      <w:tblPr/>
      <w:tcPr>
        <w:tcBorders>
          <w:insideH w:val="nil"/>
          <w:insideV w:val="nil"/>
        </w:tcBorders>
      </w:tcPr>
    </w:tblStylePr>
  </w:style>
  <w:style w:type="table" w:customStyle="1" w:styleId="Tabelasiatki4akcent111">
    <w:name w:val="Tabela siatki 4 — akcent 111"/>
    <w:basedOn w:val="Standardowy"/>
    <w:uiPriority w:val="49"/>
    <w:rsid w:val="00C17C7F"/>
    <w:pPr>
      <w:spacing w:before="0" w:after="0" w:line="240" w:lineRule="auto"/>
    </w:pPr>
    <w:rPr>
      <w:rFonts w:ascii="Calibri" w:eastAsia="Calibri" w:hAnsi="Calibri" w:cs="Times New Roman"/>
      <w:sz w:val="22"/>
      <w:szCs w:val="22"/>
      <w:lang w:eastAsia="pl-PL"/>
    </w:rPr>
    <w:tblPr>
      <w:tblStyleRowBandSize w:val="1"/>
      <w:tblStyleColBandSize w:val="1"/>
      <w:tbl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insideH w:val="single" w:sz="4" w:space="0" w:color="93D07C" w:themeColor="accent1" w:themeTint="99"/>
        <w:insideV w:val="single" w:sz="4" w:space="0" w:color="93D07C" w:themeColor="accent1" w:themeTint="99"/>
      </w:tblBorders>
    </w:tblPr>
    <w:tblStylePr w:type="firstRow">
      <w:rPr>
        <w:b/>
        <w:bCs/>
        <w:color w:val="FFFFFF" w:themeColor="background1"/>
      </w:rPr>
      <w:tblPr/>
      <w:tcPr>
        <w:tcBorders>
          <w:top w:val="single" w:sz="4" w:space="0" w:color="549E39" w:themeColor="accent1"/>
          <w:left w:val="single" w:sz="4" w:space="0" w:color="549E39" w:themeColor="accent1"/>
          <w:bottom w:val="single" w:sz="4" w:space="0" w:color="549E39" w:themeColor="accent1"/>
          <w:right w:val="single" w:sz="4" w:space="0" w:color="549E39" w:themeColor="accent1"/>
          <w:insideH w:val="nil"/>
          <w:insideV w:val="nil"/>
        </w:tcBorders>
        <w:shd w:val="clear" w:color="auto" w:fill="549E39" w:themeFill="accent1"/>
      </w:tcPr>
    </w:tblStylePr>
    <w:tblStylePr w:type="lastRow">
      <w:rPr>
        <w:b/>
        <w:bCs/>
      </w:rPr>
      <w:tblPr/>
      <w:tcPr>
        <w:tcBorders>
          <w:top w:val="double" w:sz="4" w:space="0" w:color="549E39" w:themeColor="accent1"/>
        </w:tcBorders>
      </w:tcPr>
    </w:tblStylePr>
    <w:tblStylePr w:type="firstCol">
      <w:rPr>
        <w:b/>
        <w:bCs/>
      </w:rPr>
    </w:tblStylePr>
    <w:tblStylePr w:type="lastCol">
      <w:rPr>
        <w:b/>
        <w:bCs/>
      </w:rPr>
    </w:tblStylePr>
    <w:tblStylePr w:type="band1Vert">
      <w:tblPr/>
      <w:tcPr>
        <w:shd w:val="clear" w:color="auto" w:fill="DAEFD3" w:themeFill="accent1" w:themeFillTint="33"/>
      </w:tcPr>
    </w:tblStylePr>
    <w:tblStylePr w:type="band1Horz">
      <w:tblPr/>
      <w:tcPr>
        <w:shd w:val="clear" w:color="auto" w:fill="DAEFD3" w:themeFill="accent1" w:themeFillTint="33"/>
      </w:tcPr>
    </w:tblStylePr>
  </w:style>
  <w:style w:type="character" w:customStyle="1" w:styleId="acopre">
    <w:name w:val="acopre"/>
    <w:basedOn w:val="Domylnaczcionkaakapitu"/>
    <w:rsid w:val="00C17C7F"/>
  </w:style>
  <w:style w:type="table" w:customStyle="1" w:styleId="Siatkatabelijasna1">
    <w:name w:val="Siatka tabeli — jasna1"/>
    <w:basedOn w:val="Standardowy"/>
    <w:uiPriority w:val="40"/>
    <w:rsid w:val="00C17C7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Jasnecieniowanieakcent1">
    <w:name w:val="Light Shading Accent 1"/>
    <w:basedOn w:val="Standardowy"/>
    <w:uiPriority w:val="60"/>
    <w:rsid w:val="00C17C7F"/>
    <w:pPr>
      <w:spacing w:before="0" w:after="0" w:line="240" w:lineRule="auto"/>
    </w:pPr>
    <w:rPr>
      <w:rFonts w:eastAsiaTheme="minorHAnsi"/>
      <w:color w:val="3E762A" w:themeColor="accent1" w:themeShade="BF"/>
    </w:rPr>
    <w:tblPr>
      <w:tblStyleRowBandSize w:val="1"/>
      <w:tblStyleColBandSize w:val="1"/>
      <w:tblBorders>
        <w:top w:val="single" w:sz="8" w:space="0" w:color="549E39" w:themeColor="accent1"/>
        <w:bottom w:val="single" w:sz="8" w:space="0" w:color="549E39" w:themeColor="accent1"/>
      </w:tblBorders>
    </w:tblPr>
    <w:tblStylePr w:type="firstRow">
      <w:pPr>
        <w:spacing w:before="0" w:after="0" w:line="240" w:lineRule="auto"/>
      </w:pPr>
      <w:rPr>
        <w:b/>
        <w:bCs/>
      </w:rPr>
      <w:tblPr/>
      <w:tcPr>
        <w:tcBorders>
          <w:top w:val="single" w:sz="8" w:space="0" w:color="549E39" w:themeColor="accent1"/>
          <w:left w:val="nil"/>
          <w:bottom w:val="single" w:sz="8" w:space="0" w:color="549E39" w:themeColor="accent1"/>
          <w:right w:val="nil"/>
          <w:insideH w:val="nil"/>
          <w:insideV w:val="nil"/>
        </w:tcBorders>
      </w:tcPr>
    </w:tblStylePr>
    <w:tblStylePr w:type="lastRow">
      <w:pPr>
        <w:spacing w:before="0" w:after="0" w:line="240" w:lineRule="auto"/>
      </w:pPr>
      <w:rPr>
        <w:b/>
        <w:bCs/>
      </w:rPr>
      <w:tblPr/>
      <w:tcPr>
        <w:tcBorders>
          <w:top w:val="single" w:sz="8" w:space="0" w:color="549E39" w:themeColor="accent1"/>
          <w:left w:val="nil"/>
          <w:bottom w:val="single" w:sz="8" w:space="0" w:color="549E3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BC9" w:themeFill="accent1" w:themeFillTint="3F"/>
      </w:tcPr>
    </w:tblStylePr>
    <w:tblStylePr w:type="band1Horz">
      <w:tblPr/>
      <w:tcPr>
        <w:tcBorders>
          <w:left w:val="nil"/>
          <w:right w:val="nil"/>
          <w:insideH w:val="nil"/>
          <w:insideV w:val="nil"/>
        </w:tcBorders>
        <w:shd w:val="clear" w:color="auto" w:fill="D2EBC9" w:themeFill="accent1" w:themeFillTint="3F"/>
      </w:tcPr>
    </w:tblStylePr>
  </w:style>
  <w:style w:type="table" w:styleId="Jasnalistaakcent2">
    <w:name w:val="Light List Accent 2"/>
    <w:basedOn w:val="Standardowy"/>
    <w:uiPriority w:val="61"/>
    <w:rsid w:val="00C17C7F"/>
    <w:pPr>
      <w:spacing w:before="0" w:after="0" w:line="240" w:lineRule="auto"/>
    </w:p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tblBorders>
    </w:tblPr>
    <w:tblStylePr w:type="firstRow">
      <w:pPr>
        <w:spacing w:before="0" w:after="0" w:line="240" w:lineRule="auto"/>
      </w:pPr>
      <w:rPr>
        <w:b/>
        <w:bCs/>
        <w:color w:val="FFFFFF" w:themeColor="background1"/>
      </w:rPr>
      <w:tblPr/>
      <w:tcPr>
        <w:shd w:val="clear" w:color="auto" w:fill="8AB833" w:themeFill="accent2"/>
      </w:tcPr>
    </w:tblStylePr>
    <w:tblStylePr w:type="lastRow">
      <w:pPr>
        <w:spacing w:before="0" w:after="0" w:line="240" w:lineRule="auto"/>
      </w:pPr>
      <w:rPr>
        <w:b/>
        <w:bCs/>
      </w:rPr>
      <w:tblPr/>
      <w:tcPr>
        <w:tcBorders>
          <w:top w:val="double" w:sz="6" w:space="0" w:color="8AB833" w:themeColor="accent2"/>
          <w:left w:val="single" w:sz="8" w:space="0" w:color="8AB833" w:themeColor="accent2"/>
          <w:bottom w:val="single" w:sz="8" w:space="0" w:color="8AB833" w:themeColor="accent2"/>
          <w:right w:val="single" w:sz="8" w:space="0" w:color="8AB833" w:themeColor="accent2"/>
        </w:tcBorders>
      </w:tcPr>
    </w:tblStylePr>
    <w:tblStylePr w:type="firstCol">
      <w:rPr>
        <w:b/>
        <w:bCs/>
      </w:rPr>
    </w:tblStylePr>
    <w:tblStylePr w:type="lastCol">
      <w:rPr>
        <w:b/>
        <w:bCs/>
      </w:rPr>
    </w:tblStylePr>
    <w:tblStylePr w:type="band1Vert">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tblStylePr w:type="band1Horz">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style>
  <w:style w:type="character" w:customStyle="1" w:styleId="hgkelc">
    <w:name w:val="hgkelc"/>
    <w:basedOn w:val="Domylnaczcionkaakapitu"/>
    <w:rsid w:val="00C17C7F"/>
  </w:style>
  <w:style w:type="paragraph" w:customStyle="1" w:styleId="font5">
    <w:name w:val="font5"/>
    <w:basedOn w:val="Normalny"/>
    <w:rsid w:val="00C17C7F"/>
    <w:pPr>
      <w:spacing w:beforeAutospacing="1" w:after="100" w:afterAutospacing="1" w:line="240" w:lineRule="auto"/>
    </w:pPr>
    <w:rPr>
      <w:rFonts w:ascii="Arial" w:eastAsia="Times New Roman" w:hAnsi="Arial" w:cs="Arial"/>
      <w:color w:val="000000"/>
      <w:sz w:val="22"/>
      <w:szCs w:val="22"/>
      <w:lang w:eastAsia="pl-PL"/>
    </w:rPr>
  </w:style>
  <w:style w:type="paragraph" w:customStyle="1" w:styleId="font6">
    <w:name w:val="font6"/>
    <w:basedOn w:val="Normalny"/>
    <w:rsid w:val="00C17C7F"/>
    <w:pPr>
      <w:spacing w:beforeAutospacing="1" w:after="100" w:afterAutospacing="1" w:line="240" w:lineRule="auto"/>
    </w:pPr>
    <w:rPr>
      <w:rFonts w:ascii="Arial" w:eastAsia="Times New Roman" w:hAnsi="Arial" w:cs="Arial"/>
      <w:b/>
      <w:bCs/>
      <w:color w:val="000000"/>
      <w:sz w:val="22"/>
      <w:szCs w:val="22"/>
      <w:lang w:eastAsia="pl-PL"/>
    </w:rPr>
  </w:style>
  <w:style w:type="paragraph" w:customStyle="1" w:styleId="font7">
    <w:name w:val="font7"/>
    <w:basedOn w:val="Normalny"/>
    <w:rsid w:val="00C17C7F"/>
    <w:pPr>
      <w:spacing w:beforeAutospacing="1" w:after="100" w:afterAutospacing="1" w:line="240" w:lineRule="auto"/>
    </w:pPr>
    <w:rPr>
      <w:rFonts w:ascii="Arial" w:eastAsia="Times New Roman" w:hAnsi="Arial" w:cs="Arial"/>
      <w:color w:val="000000"/>
      <w:sz w:val="22"/>
      <w:szCs w:val="22"/>
      <w:lang w:eastAsia="pl-PL"/>
    </w:rPr>
  </w:style>
  <w:style w:type="paragraph" w:customStyle="1" w:styleId="font8">
    <w:name w:val="font8"/>
    <w:basedOn w:val="Normalny"/>
    <w:rsid w:val="00C17C7F"/>
    <w:pPr>
      <w:spacing w:beforeAutospacing="1" w:after="100" w:afterAutospacing="1" w:line="240" w:lineRule="auto"/>
    </w:pPr>
    <w:rPr>
      <w:rFonts w:ascii="Arial" w:eastAsia="Times New Roman" w:hAnsi="Arial" w:cs="Arial"/>
      <w:b/>
      <w:bCs/>
      <w:color w:val="000000"/>
      <w:sz w:val="22"/>
      <w:szCs w:val="22"/>
      <w:u w:val="single"/>
      <w:lang w:eastAsia="pl-PL"/>
    </w:rPr>
  </w:style>
  <w:style w:type="paragraph" w:customStyle="1" w:styleId="font9">
    <w:name w:val="font9"/>
    <w:basedOn w:val="Normalny"/>
    <w:rsid w:val="00C17C7F"/>
    <w:pPr>
      <w:spacing w:beforeAutospacing="1" w:after="100" w:afterAutospacing="1" w:line="240" w:lineRule="auto"/>
    </w:pPr>
    <w:rPr>
      <w:rFonts w:ascii="Arial" w:eastAsia="Times New Roman" w:hAnsi="Arial" w:cs="Arial"/>
      <w:b/>
      <w:bCs/>
      <w:color w:val="000000"/>
      <w:sz w:val="22"/>
      <w:szCs w:val="22"/>
      <w:lang w:eastAsia="pl-PL"/>
    </w:rPr>
  </w:style>
  <w:style w:type="paragraph" w:customStyle="1" w:styleId="font10">
    <w:name w:val="font10"/>
    <w:basedOn w:val="Normalny"/>
    <w:rsid w:val="00C17C7F"/>
    <w:pPr>
      <w:spacing w:beforeAutospacing="1" w:after="100" w:afterAutospacing="1" w:line="240" w:lineRule="auto"/>
    </w:pPr>
    <w:rPr>
      <w:rFonts w:ascii="Arial" w:eastAsia="Times New Roman" w:hAnsi="Arial" w:cs="Arial"/>
      <w:sz w:val="22"/>
      <w:szCs w:val="22"/>
      <w:lang w:eastAsia="pl-PL"/>
    </w:rPr>
  </w:style>
  <w:style w:type="paragraph" w:customStyle="1" w:styleId="font11">
    <w:name w:val="font11"/>
    <w:basedOn w:val="Normalny"/>
    <w:rsid w:val="00C17C7F"/>
    <w:pPr>
      <w:spacing w:beforeAutospacing="1" w:after="100" w:afterAutospacing="1" w:line="240" w:lineRule="auto"/>
    </w:pPr>
    <w:rPr>
      <w:rFonts w:ascii="Arial" w:eastAsia="Times New Roman" w:hAnsi="Arial" w:cs="Arial"/>
      <w:b/>
      <w:bCs/>
      <w:sz w:val="22"/>
      <w:szCs w:val="22"/>
      <w:lang w:eastAsia="pl-PL"/>
    </w:rPr>
  </w:style>
  <w:style w:type="paragraph" w:customStyle="1" w:styleId="xl63">
    <w:name w:val="xl63"/>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64">
    <w:name w:val="xl64"/>
    <w:basedOn w:val="Normalny"/>
    <w:rsid w:val="00C17C7F"/>
    <w:pPr>
      <w:pBdr>
        <w:top w:val="single" w:sz="4" w:space="0" w:color="auto"/>
        <w:left w:val="single" w:sz="4" w:space="0" w:color="auto"/>
        <w:bottom w:val="single" w:sz="4" w:space="0" w:color="auto"/>
        <w:right w:val="single" w:sz="4" w:space="0" w:color="auto"/>
      </w:pBdr>
      <w:shd w:val="clear" w:color="000000" w:fill="D9D9D9"/>
      <w:spacing w:beforeAutospacing="1" w:after="100" w:afterAutospacing="1" w:line="240" w:lineRule="auto"/>
      <w:jc w:val="center"/>
      <w:textAlignment w:val="center"/>
    </w:pPr>
    <w:rPr>
      <w:rFonts w:ascii="Arial" w:eastAsia="Times New Roman" w:hAnsi="Arial" w:cs="Arial"/>
      <w:b/>
      <w:bCs/>
      <w:color w:val="000000"/>
      <w:szCs w:val="24"/>
      <w:lang w:eastAsia="pl-PL"/>
    </w:rPr>
  </w:style>
  <w:style w:type="paragraph" w:customStyle="1" w:styleId="xl65">
    <w:name w:val="xl65"/>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b/>
      <w:bCs/>
      <w:color w:val="000000"/>
      <w:szCs w:val="24"/>
      <w:lang w:eastAsia="pl-PL"/>
    </w:rPr>
  </w:style>
  <w:style w:type="paragraph" w:customStyle="1" w:styleId="xl66">
    <w:name w:val="xl66"/>
    <w:basedOn w:val="Normalny"/>
    <w:rsid w:val="00C17C7F"/>
    <w:pPr>
      <w:pBdr>
        <w:top w:val="single" w:sz="4" w:space="0" w:color="auto"/>
        <w:left w:val="single" w:sz="4" w:space="0" w:color="auto"/>
        <w:bottom w:val="single" w:sz="4" w:space="0" w:color="auto"/>
        <w:right w:val="single" w:sz="4" w:space="0" w:color="auto"/>
      </w:pBdr>
      <w:shd w:val="clear" w:color="000000" w:fill="D9D9D9"/>
      <w:spacing w:beforeAutospacing="1" w:after="100" w:afterAutospacing="1" w:line="240" w:lineRule="auto"/>
      <w:jc w:val="center"/>
      <w:textAlignment w:val="center"/>
    </w:pPr>
    <w:rPr>
      <w:rFonts w:ascii="Arial" w:eastAsia="Times New Roman" w:hAnsi="Arial" w:cs="Arial"/>
      <w:b/>
      <w:bCs/>
      <w:color w:val="000000"/>
      <w:szCs w:val="24"/>
      <w:lang w:eastAsia="pl-PL"/>
    </w:rPr>
  </w:style>
  <w:style w:type="paragraph" w:customStyle="1" w:styleId="xl67">
    <w:name w:val="xl67"/>
    <w:basedOn w:val="Normalny"/>
    <w:rsid w:val="00C17C7F"/>
    <w:pPr>
      <w:spacing w:beforeAutospacing="1" w:after="100" w:afterAutospacing="1" w:line="240" w:lineRule="auto"/>
    </w:pPr>
    <w:rPr>
      <w:rFonts w:ascii="Arial" w:eastAsia="Times New Roman" w:hAnsi="Arial" w:cs="Arial"/>
      <w:szCs w:val="24"/>
      <w:lang w:eastAsia="pl-PL"/>
    </w:rPr>
  </w:style>
  <w:style w:type="paragraph" w:customStyle="1" w:styleId="xl68">
    <w:name w:val="xl68"/>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Arial" w:eastAsia="Times New Roman" w:hAnsi="Arial" w:cs="Arial"/>
      <w:szCs w:val="24"/>
      <w:lang w:eastAsia="pl-PL"/>
    </w:rPr>
  </w:style>
  <w:style w:type="paragraph" w:customStyle="1" w:styleId="xl69">
    <w:name w:val="xl69"/>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Cs w:val="24"/>
      <w:lang w:eastAsia="pl-PL"/>
    </w:rPr>
  </w:style>
  <w:style w:type="paragraph" w:customStyle="1" w:styleId="xl70">
    <w:name w:val="xl70"/>
    <w:basedOn w:val="Normalny"/>
    <w:rsid w:val="00C17C7F"/>
    <w:pP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71">
    <w:name w:val="xl71"/>
    <w:basedOn w:val="Normalny"/>
    <w:rsid w:val="00C17C7F"/>
    <w:pPr>
      <w:spacing w:beforeAutospacing="1" w:after="100" w:afterAutospacing="1" w:line="240" w:lineRule="auto"/>
      <w:jc w:val="center"/>
      <w:textAlignment w:val="center"/>
    </w:pPr>
    <w:rPr>
      <w:rFonts w:ascii="Arial" w:eastAsia="Times New Roman" w:hAnsi="Arial" w:cs="Arial"/>
      <w:color w:val="000000"/>
      <w:szCs w:val="24"/>
      <w:lang w:eastAsia="pl-PL"/>
    </w:rPr>
  </w:style>
  <w:style w:type="paragraph" w:customStyle="1" w:styleId="xl72">
    <w:name w:val="xl72"/>
    <w:basedOn w:val="Normalny"/>
    <w:rsid w:val="00C17C7F"/>
    <w:pPr>
      <w:spacing w:beforeAutospacing="1" w:after="100" w:afterAutospacing="1" w:line="240" w:lineRule="auto"/>
      <w:jc w:val="center"/>
      <w:textAlignment w:val="center"/>
    </w:pPr>
    <w:rPr>
      <w:rFonts w:ascii="Arial" w:eastAsia="Times New Roman" w:hAnsi="Arial" w:cs="Arial"/>
      <w:color w:val="000000"/>
      <w:szCs w:val="24"/>
      <w:lang w:eastAsia="pl-PL"/>
    </w:rPr>
  </w:style>
  <w:style w:type="paragraph" w:customStyle="1" w:styleId="xl73">
    <w:name w:val="xl73"/>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color w:val="000000"/>
      <w:szCs w:val="24"/>
      <w:lang w:eastAsia="pl-PL"/>
    </w:rPr>
  </w:style>
  <w:style w:type="paragraph" w:customStyle="1" w:styleId="xl74">
    <w:name w:val="xl74"/>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szCs w:val="24"/>
      <w:lang w:eastAsia="pl-PL"/>
    </w:rPr>
  </w:style>
  <w:style w:type="paragraph" w:customStyle="1" w:styleId="xl75">
    <w:name w:val="xl75"/>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Cs w:val="24"/>
      <w:lang w:eastAsia="pl-PL"/>
    </w:rPr>
  </w:style>
  <w:style w:type="paragraph" w:customStyle="1" w:styleId="xl76">
    <w:name w:val="xl76"/>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szCs w:val="24"/>
      <w:lang w:eastAsia="pl-PL"/>
    </w:rPr>
  </w:style>
  <w:style w:type="paragraph" w:customStyle="1" w:styleId="xl77">
    <w:name w:val="xl77"/>
    <w:basedOn w:val="Normalny"/>
    <w:rsid w:val="00C17C7F"/>
    <w:pPr>
      <w:pBdr>
        <w:top w:val="single" w:sz="4" w:space="0" w:color="auto"/>
        <w:left w:val="single" w:sz="4" w:space="0" w:color="auto"/>
        <w:bottom w:val="single" w:sz="4" w:space="0" w:color="auto"/>
      </w:pBdr>
      <w:spacing w:beforeAutospacing="1" w:after="100" w:afterAutospacing="1" w:line="240" w:lineRule="auto"/>
      <w:textAlignment w:val="center"/>
    </w:pPr>
    <w:rPr>
      <w:rFonts w:ascii="Arial" w:eastAsia="Times New Roman" w:hAnsi="Arial" w:cs="Arial"/>
      <w:szCs w:val="24"/>
      <w:lang w:eastAsia="pl-PL"/>
    </w:rPr>
  </w:style>
  <w:style w:type="paragraph" w:customStyle="1" w:styleId="xl78">
    <w:name w:val="xl78"/>
    <w:basedOn w:val="Normalny"/>
    <w:rsid w:val="00C17C7F"/>
    <w:pPr>
      <w:pBdr>
        <w:top w:val="single" w:sz="4" w:space="0" w:color="auto"/>
        <w:bottom w:val="single" w:sz="4" w:space="0" w:color="auto"/>
      </w:pBdr>
      <w:spacing w:beforeAutospacing="1" w:after="100" w:afterAutospacing="1" w:line="240" w:lineRule="auto"/>
      <w:textAlignment w:val="center"/>
    </w:pPr>
    <w:rPr>
      <w:rFonts w:ascii="Arial" w:eastAsia="Times New Roman" w:hAnsi="Arial" w:cs="Arial"/>
      <w:szCs w:val="24"/>
      <w:lang w:eastAsia="pl-PL"/>
    </w:rPr>
  </w:style>
  <w:style w:type="paragraph" w:customStyle="1" w:styleId="xl79">
    <w:name w:val="xl79"/>
    <w:basedOn w:val="Normalny"/>
    <w:rsid w:val="00C17C7F"/>
    <w:pPr>
      <w:pBdr>
        <w:top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Cs w:val="24"/>
      <w:lang w:eastAsia="pl-PL"/>
    </w:rPr>
  </w:style>
  <w:style w:type="paragraph" w:customStyle="1" w:styleId="xl80">
    <w:name w:val="xl80"/>
    <w:basedOn w:val="Normalny"/>
    <w:rsid w:val="00C17C7F"/>
    <w:pPr>
      <w:pBdr>
        <w:top w:val="single" w:sz="4" w:space="0" w:color="auto"/>
        <w:left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81">
    <w:name w:val="xl81"/>
    <w:basedOn w:val="Normalny"/>
    <w:rsid w:val="00C17C7F"/>
    <w:pPr>
      <w:pBdr>
        <w:top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82">
    <w:name w:val="xl82"/>
    <w:basedOn w:val="Normalny"/>
    <w:rsid w:val="00C17C7F"/>
    <w:pPr>
      <w:pBdr>
        <w:top w:val="single" w:sz="4" w:space="0" w:color="auto"/>
        <w:right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83">
    <w:name w:val="xl83"/>
    <w:basedOn w:val="Normalny"/>
    <w:rsid w:val="00C17C7F"/>
    <w:pPr>
      <w:pBdr>
        <w:left w:val="single" w:sz="4" w:space="0" w:color="auto"/>
        <w:bottom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84">
    <w:name w:val="xl84"/>
    <w:basedOn w:val="Normalny"/>
    <w:rsid w:val="00C17C7F"/>
    <w:pPr>
      <w:pBdr>
        <w:bottom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85">
    <w:name w:val="xl85"/>
    <w:basedOn w:val="Normalny"/>
    <w:rsid w:val="00C17C7F"/>
    <w:pPr>
      <w:pBdr>
        <w:bottom w:val="single" w:sz="4" w:space="0" w:color="auto"/>
        <w:right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86">
    <w:name w:val="xl86"/>
    <w:basedOn w:val="Normalny"/>
    <w:rsid w:val="00C17C7F"/>
    <w:pPr>
      <w:pBdr>
        <w:top w:val="single" w:sz="4" w:space="0" w:color="auto"/>
        <w:left w:val="single" w:sz="4" w:space="0" w:color="auto"/>
        <w:bottom w:val="single" w:sz="4" w:space="0" w:color="auto"/>
        <w:right w:val="single" w:sz="4" w:space="0" w:color="auto"/>
      </w:pBdr>
      <w:shd w:val="clear" w:color="000000" w:fill="A9D08E"/>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87">
    <w:name w:val="xl87"/>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i/>
      <w:iCs/>
      <w:color w:val="000000"/>
      <w:szCs w:val="24"/>
      <w:lang w:eastAsia="pl-PL"/>
    </w:rPr>
  </w:style>
  <w:style w:type="paragraph" w:customStyle="1" w:styleId="xl88">
    <w:name w:val="xl88"/>
    <w:basedOn w:val="Normalny"/>
    <w:rsid w:val="00C17C7F"/>
    <w:pPr>
      <w:pBdr>
        <w:top w:val="single" w:sz="4" w:space="0" w:color="auto"/>
        <w:left w:val="single" w:sz="4" w:space="0" w:color="auto"/>
        <w:right w:val="single" w:sz="4" w:space="0" w:color="auto"/>
      </w:pBdr>
      <w:shd w:val="clear" w:color="000000" w:fill="D9D9D9"/>
      <w:spacing w:beforeAutospacing="1" w:after="100" w:afterAutospacing="1" w:line="240" w:lineRule="auto"/>
      <w:jc w:val="center"/>
      <w:textAlignment w:val="center"/>
    </w:pPr>
    <w:rPr>
      <w:rFonts w:ascii="Arial" w:eastAsia="Times New Roman" w:hAnsi="Arial" w:cs="Arial"/>
      <w:b/>
      <w:bCs/>
      <w:color w:val="000000"/>
      <w:szCs w:val="24"/>
      <w:lang w:eastAsia="pl-PL"/>
    </w:rPr>
  </w:style>
  <w:style w:type="paragraph" w:customStyle="1" w:styleId="xl89">
    <w:name w:val="xl89"/>
    <w:basedOn w:val="Normalny"/>
    <w:rsid w:val="00C17C7F"/>
    <w:pPr>
      <w:pBdr>
        <w:left w:val="single" w:sz="4" w:space="0" w:color="auto"/>
        <w:bottom w:val="single" w:sz="4" w:space="0" w:color="auto"/>
        <w:right w:val="single" w:sz="4" w:space="0" w:color="auto"/>
      </w:pBdr>
      <w:shd w:val="clear" w:color="000000" w:fill="D9D9D9"/>
      <w:spacing w:beforeAutospacing="1" w:after="100" w:afterAutospacing="1" w:line="240" w:lineRule="auto"/>
      <w:jc w:val="center"/>
      <w:textAlignment w:val="center"/>
    </w:pPr>
    <w:rPr>
      <w:rFonts w:ascii="Arial" w:eastAsia="Times New Roman" w:hAnsi="Arial" w:cs="Arial"/>
      <w:b/>
      <w:bCs/>
      <w:color w:val="000000"/>
      <w:szCs w:val="24"/>
      <w:lang w:eastAsia="pl-PL"/>
    </w:rPr>
  </w:style>
  <w:style w:type="paragraph" w:customStyle="1" w:styleId="xl90">
    <w:name w:val="xl90"/>
    <w:basedOn w:val="Normalny"/>
    <w:rsid w:val="00C17C7F"/>
    <w:pPr>
      <w:pBdr>
        <w:top w:val="single" w:sz="4" w:space="0" w:color="auto"/>
        <w:left w:val="single" w:sz="4" w:space="0" w:color="auto"/>
      </w:pBdr>
      <w:shd w:val="clear" w:color="000000" w:fill="D9D9D9"/>
      <w:spacing w:beforeAutospacing="1" w:after="100" w:afterAutospacing="1" w:line="240" w:lineRule="auto"/>
      <w:jc w:val="center"/>
      <w:textAlignment w:val="center"/>
    </w:pPr>
    <w:rPr>
      <w:rFonts w:ascii="Arial" w:eastAsia="Times New Roman" w:hAnsi="Arial" w:cs="Arial"/>
      <w:b/>
      <w:bCs/>
      <w:color w:val="000000"/>
      <w:szCs w:val="24"/>
      <w:lang w:eastAsia="pl-PL"/>
    </w:rPr>
  </w:style>
  <w:style w:type="paragraph" w:customStyle="1" w:styleId="xl91">
    <w:name w:val="xl91"/>
    <w:basedOn w:val="Normalny"/>
    <w:rsid w:val="00C17C7F"/>
    <w:pPr>
      <w:pBdr>
        <w:top w:val="single" w:sz="4" w:space="0" w:color="auto"/>
      </w:pBdr>
      <w:shd w:val="clear" w:color="000000" w:fill="D9D9D9"/>
      <w:spacing w:beforeAutospacing="1" w:after="100" w:afterAutospacing="1" w:line="240" w:lineRule="auto"/>
      <w:jc w:val="center"/>
      <w:textAlignment w:val="center"/>
    </w:pPr>
    <w:rPr>
      <w:rFonts w:ascii="Arial" w:eastAsia="Times New Roman" w:hAnsi="Arial" w:cs="Arial"/>
      <w:b/>
      <w:bCs/>
      <w:color w:val="000000"/>
      <w:szCs w:val="24"/>
      <w:lang w:eastAsia="pl-PL"/>
    </w:rPr>
  </w:style>
  <w:style w:type="paragraph" w:customStyle="1" w:styleId="xl92">
    <w:name w:val="xl92"/>
    <w:basedOn w:val="Normalny"/>
    <w:rsid w:val="00C17C7F"/>
    <w:pPr>
      <w:pBdr>
        <w:top w:val="single" w:sz="4" w:space="0" w:color="auto"/>
        <w:right w:val="single" w:sz="4" w:space="0" w:color="auto"/>
      </w:pBdr>
      <w:shd w:val="clear" w:color="000000" w:fill="D9D9D9"/>
      <w:spacing w:beforeAutospacing="1" w:after="100" w:afterAutospacing="1" w:line="240" w:lineRule="auto"/>
      <w:jc w:val="center"/>
      <w:textAlignment w:val="center"/>
    </w:pPr>
    <w:rPr>
      <w:rFonts w:ascii="Arial" w:eastAsia="Times New Roman" w:hAnsi="Arial" w:cs="Arial"/>
      <w:b/>
      <w:bCs/>
      <w:color w:val="000000"/>
      <w:szCs w:val="24"/>
      <w:lang w:eastAsia="pl-PL"/>
    </w:rPr>
  </w:style>
  <w:style w:type="paragraph" w:customStyle="1" w:styleId="xl93">
    <w:name w:val="xl93"/>
    <w:basedOn w:val="Normalny"/>
    <w:rsid w:val="00C17C7F"/>
    <w:pPr>
      <w:pBdr>
        <w:left w:val="single" w:sz="4" w:space="0" w:color="auto"/>
        <w:bottom w:val="single" w:sz="4" w:space="0" w:color="auto"/>
      </w:pBdr>
      <w:shd w:val="clear" w:color="000000" w:fill="D9D9D9"/>
      <w:spacing w:beforeAutospacing="1" w:after="100" w:afterAutospacing="1" w:line="240" w:lineRule="auto"/>
      <w:jc w:val="center"/>
      <w:textAlignment w:val="center"/>
    </w:pPr>
    <w:rPr>
      <w:rFonts w:ascii="Arial" w:eastAsia="Times New Roman" w:hAnsi="Arial" w:cs="Arial"/>
      <w:b/>
      <w:bCs/>
      <w:color w:val="000000"/>
      <w:szCs w:val="24"/>
      <w:lang w:eastAsia="pl-PL"/>
    </w:rPr>
  </w:style>
  <w:style w:type="paragraph" w:customStyle="1" w:styleId="xl94">
    <w:name w:val="xl94"/>
    <w:basedOn w:val="Normalny"/>
    <w:rsid w:val="00C17C7F"/>
    <w:pPr>
      <w:pBdr>
        <w:bottom w:val="single" w:sz="4" w:space="0" w:color="auto"/>
      </w:pBdr>
      <w:shd w:val="clear" w:color="000000" w:fill="D9D9D9"/>
      <w:spacing w:beforeAutospacing="1" w:after="100" w:afterAutospacing="1" w:line="240" w:lineRule="auto"/>
      <w:jc w:val="center"/>
      <w:textAlignment w:val="center"/>
    </w:pPr>
    <w:rPr>
      <w:rFonts w:ascii="Arial" w:eastAsia="Times New Roman" w:hAnsi="Arial" w:cs="Arial"/>
      <w:b/>
      <w:bCs/>
      <w:color w:val="000000"/>
      <w:szCs w:val="24"/>
      <w:lang w:eastAsia="pl-PL"/>
    </w:rPr>
  </w:style>
  <w:style w:type="paragraph" w:customStyle="1" w:styleId="xl95">
    <w:name w:val="xl95"/>
    <w:basedOn w:val="Normalny"/>
    <w:rsid w:val="00C17C7F"/>
    <w:pPr>
      <w:pBdr>
        <w:bottom w:val="single" w:sz="4" w:space="0" w:color="auto"/>
        <w:right w:val="single" w:sz="4" w:space="0" w:color="auto"/>
      </w:pBdr>
      <w:shd w:val="clear" w:color="000000" w:fill="D9D9D9"/>
      <w:spacing w:beforeAutospacing="1" w:after="100" w:afterAutospacing="1" w:line="240" w:lineRule="auto"/>
      <w:jc w:val="center"/>
      <w:textAlignment w:val="center"/>
    </w:pPr>
    <w:rPr>
      <w:rFonts w:ascii="Arial" w:eastAsia="Times New Roman" w:hAnsi="Arial" w:cs="Arial"/>
      <w:b/>
      <w:bCs/>
      <w:color w:val="000000"/>
      <w:szCs w:val="24"/>
      <w:lang w:eastAsia="pl-PL"/>
    </w:rPr>
  </w:style>
  <w:style w:type="paragraph" w:customStyle="1" w:styleId="xl96">
    <w:name w:val="xl96"/>
    <w:basedOn w:val="Normalny"/>
    <w:rsid w:val="00C17C7F"/>
    <w:pPr>
      <w:pBdr>
        <w:top w:val="single" w:sz="4" w:space="0" w:color="auto"/>
        <w:left w:val="single" w:sz="4" w:space="0" w:color="auto"/>
        <w:bottom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97">
    <w:name w:val="xl97"/>
    <w:basedOn w:val="Normalny"/>
    <w:rsid w:val="00C17C7F"/>
    <w:pPr>
      <w:pBdr>
        <w:top w:val="single" w:sz="4" w:space="0" w:color="auto"/>
        <w:bottom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98">
    <w:name w:val="xl98"/>
    <w:basedOn w:val="Normalny"/>
    <w:rsid w:val="00C17C7F"/>
    <w:pPr>
      <w:pBdr>
        <w:top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99">
    <w:name w:val="xl99"/>
    <w:basedOn w:val="Normalny"/>
    <w:rsid w:val="00C17C7F"/>
    <w:pPr>
      <w:pBdr>
        <w:top w:val="single" w:sz="4" w:space="0" w:color="auto"/>
        <w:left w:val="single" w:sz="4" w:space="0" w:color="auto"/>
        <w:bottom w:val="single" w:sz="4" w:space="0" w:color="auto"/>
        <w:right w:val="single" w:sz="4" w:space="0" w:color="auto"/>
      </w:pBdr>
      <w:shd w:val="clear" w:color="000000" w:fill="FFFF00"/>
      <w:spacing w:beforeAutospacing="1" w:after="100" w:afterAutospacing="1" w:line="240" w:lineRule="auto"/>
      <w:textAlignment w:val="center"/>
    </w:pPr>
    <w:rPr>
      <w:rFonts w:ascii="Arial" w:eastAsia="Times New Roman" w:hAnsi="Arial" w:cs="Arial"/>
      <w:b/>
      <w:bCs/>
      <w:color w:val="000000"/>
      <w:szCs w:val="24"/>
      <w:lang w:eastAsia="pl-PL"/>
    </w:rPr>
  </w:style>
  <w:style w:type="paragraph" w:customStyle="1" w:styleId="xl100">
    <w:name w:val="xl100"/>
    <w:basedOn w:val="Normalny"/>
    <w:rsid w:val="00C17C7F"/>
    <w:pPr>
      <w:pBdr>
        <w:top w:val="single" w:sz="4" w:space="0" w:color="auto"/>
        <w:left w:val="single" w:sz="4" w:space="0" w:color="auto"/>
        <w:bottom w:val="single" w:sz="4" w:space="0" w:color="auto"/>
        <w:right w:val="single" w:sz="4" w:space="0" w:color="auto"/>
      </w:pBdr>
      <w:shd w:val="clear" w:color="000000" w:fill="B4C6E7"/>
      <w:spacing w:beforeAutospacing="1" w:after="100" w:afterAutospacing="1" w:line="240" w:lineRule="auto"/>
      <w:textAlignment w:val="center"/>
    </w:pPr>
    <w:rPr>
      <w:rFonts w:ascii="Arial" w:eastAsia="Times New Roman" w:hAnsi="Arial" w:cs="Arial"/>
      <w:b/>
      <w:bCs/>
      <w:color w:val="000000"/>
      <w:szCs w:val="24"/>
      <w:lang w:eastAsia="pl-PL"/>
    </w:rPr>
  </w:style>
  <w:style w:type="paragraph" w:customStyle="1" w:styleId="xl101">
    <w:name w:val="xl101"/>
    <w:basedOn w:val="Normalny"/>
    <w:rsid w:val="00C17C7F"/>
    <w:pPr>
      <w:pBdr>
        <w:top w:val="single" w:sz="4" w:space="0" w:color="auto"/>
        <w:bottom w:val="single" w:sz="4" w:space="0" w:color="auto"/>
      </w:pBdr>
      <w:spacing w:beforeAutospacing="1" w:after="100" w:afterAutospacing="1" w:line="240" w:lineRule="auto"/>
      <w:textAlignment w:val="center"/>
    </w:pPr>
    <w:rPr>
      <w:rFonts w:ascii="Arial" w:eastAsia="Times New Roman" w:hAnsi="Arial" w:cs="Arial"/>
      <w:szCs w:val="24"/>
      <w:lang w:eastAsia="pl-PL"/>
    </w:rPr>
  </w:style>
  <w:style w:type="paragraph" w:customStyle="1" w:styleId="xl102">
    <w:name w:val="xl102"/>
    <w:basedOn w:val="Normalny"/>
    <w:rsid w:val="00C17C7F"/>
    <w:pPr>
      <w:pBdr>
        <w:top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Cs w:val="24"/>
      <w:lang w:eastAsia="pl-PL"/>
    </w:rPr>
  </w:style>
  <w:style w:type="paragraph" w:customStyle="1" w:styleId="xl103">
    <w:name w:val="xl103"/>
    <w:basedOn w:val="Normalny"/>
    <w:rsid w:val="00C17C7F"/>
    <w:pPr>
      <w:pBdr>
        <w:top w:val="single" w:sz="4" w:space="0" w:color="auto"/>
        <w:left w:val="single" w:sz="4" w:space="0" w:color="auto"/>
        <w:right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104">
    <w:name w:val="xl104"/>
    <w:basedOn w:val="Normalny"/>
    <w:rsid w:val="00C17C7F"/>
    <w:pPr>
      <w:pBdr>
        <w:left w:val="single" w:sz="4" w:space="0" w:color="auto"/>
        <w:right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105">
    <w:name w:val="xl105"/>
    <w:basedOn w:val="Normalny"/>
    <w:rsid w:val="00C17C7F"/>
    <w:pPr>
      <w:pBdr>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106">
    <w:name w:val="xl106"/>
    <w:basedOn w:val="Normalny"/>
    <w:rsid w:val="00C17C7F"/>
    <w:pPr>
      <w:pBdr>
        <w:left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107">
    <w:name w:val="xl107"/>
    <w:basedOn w:val="Normalny"/>
    <w:rsid w:val="00C17C7F"/>
    <w:pPr>
      <w:pBdr>
        <w:right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108">
    <w:name w:val="xl108"/>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top"/>
    </w:pPr>
    <w:rPr>
      <w:rFonts w:ascii="Arial" w:eastAsia="Times New Roman" w:hAnsi="Arial" w:cs="Arial"/>
      <w:color w:val="000000"/>
      <w:szCs w:val="24"/>
      <w:lang w:eastAsia="pl-PL"/>
    </w:rPr>
  </w:style>
  <w:style w:type="paragraph" w:customStyle="1" w:styleId="xl109">
    <w:name w:val="xl109"/>
    <w:basedOn w:val="Normalny"/>
    <w:rsid w:val="00C17C7F"/>
    <w:pPr>
      <w:pBdr>
        <w:top w:val="single" w:sz="4" w:space="0" w:color="auto"/>
        <w:left w:val="single" w:sz="4" w:space="0" w:color="auto"/>
        <w:bottom w:val="single" w:sz="4" w:space="0" w:color="auto"/>
        <w:right w:val="single" w:sz="4" w:space="0" w:color="auto"/>
      </w:pBdr>
      <w:shd w:val="clear" w:color="000000" w:fill="A9D08E"/>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110">
    <w:name w:val="xl110"/>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b/>
      <w:bCs/>
      <w:color w:val="000000"/>
      <w:szCs w:val="24"/>
      <w:lang w:eastAsia="pl-PL"/>
    </w:rPr>
  </w:style>
  <w:style w:type="paragraph" w:customStyle="1" w:styleId="xl111">
    <w:name w:val="xl111"/>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color w:val="000000"/>
      <w:szCs w:val="24"/>
      <w:lang w:eastAsia="pl-PL"/>
    </w:rPr>
  </w:style>
  <w:style w:type="paragraph" w:customStyle="1" w:styleId="xl112">
    <w:name w:val="xl112"/>
    <w:basedOn w:val="Normalny"/>
    <w:rsid w:val="00C17C7F"/>
    <w:pPr>
      <w:pBdr>
        <w:top w:val="single" w:sz="4" w:space="0" w:color="auto"/>
        <w:left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color w:val="000000"/>
      <w:szCs w:val="24"/>
      <w:lang w:eastAsia="pl-PL"/>
    </w:rPr>
  </w:style>
  <w:style w:type="paragraph" w:customStyle="1" w:styleId="xl113">
    <w:name w:val="xl113"/>
    <w:basedOn w:val="Normalny"/>
    <w:rsid w:val="00C17C7F"/>
    <w:pPr>
      <w:pBdr>
        <w:left w:val="single" w:sz="4" w:space="0" w:color="auto"/>
        <w:bottom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color w:val="000000"/>
      <w:szCs w:val="24"/>
      <w:lang w:eastAsia="pl-PL"/>
    </w:rPr>
  </w:style>
  <w:style w:type="paragraph" w:customStyle="1" w:styleId="xl114">
    <w:name w:val="xl114"/>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top"/>
    </w:pPr>
    <w:rPr>
      <w:rFonts w:ascii="Arial" w:eastAsia="Times New Roman" w:hAnsi="Arial" w:cs="Arial"/>
      <w:szCs w:val="24"/>
      <w:lang w:eastAsia="pl-PL"/>
    </w:rPr>
  </w:style>
  <w:style w:type="paragraph" w:customStyle="1" w:styleId="xl115">
    <w:name w:val="xl115"/>
    <w:basedOn w:val="Normalny"/>
    <w:rsid w:val="00C17C7F"/>
    <w:pPr>
      <w:pBdr>
        <w:left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color w:val="000000"/>
      <w:szCs w:val="24"/>
      <w:lang w:eastAsia="pl-PL"/>
    </w:rPr>
  </w:style>
  <w:style w:type="paragraph" w:customStyle="1" w:styleId="xl116">
    <w:name w:val="xl116"/>
    <w:basedOn w:val="Normalny"/>
    <w:rsid w:val="00C17C7F"/>
    <w:pPr>
      <w:pBdr>
        <w:top w:val="single" w:sz="4" w:space="0" w:color="auto"/>
        <w:left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szCs w:val="24"/>
      <w:lang w:eastAsia="pl-PL"/>
    </w:rPr>
  </w:style>
  <w:style w:type="paragraph" w:customStyle="1" w:styleId="xl117">
    <w:name w:val="xl117"/>
    <w:basedOn w:val="Normalny"/>
    <w:rsid w:val="00C17C7F"/>
    <w:pPr>
      <w:pBdr>
        <w:left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szCs w:val="24"/>
      <w:lang w:eastAsia="pl-PL"/>
    </w:rPr>
  </w:style>
  <w:style w:type="paragraph" w:customStyle="1" w:styleId="xl118">
    <w:name w:val="xl118"/>
    <w:basedOn w:val="Normalny"/>
    <w:rsid w:val="00C17C7F"/>
    <w:pPr>
      <w:pBdr>
        <w:left w:val="single" w:sz="4" w:space="0" w:color="auto"/>
        <w:bottom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szCs w:val="24"/>
      <w:lang w:eastAsia="pl-PL"/>
    </w:rPr>
  </w:style>
  <w:style w:type="paragraph" w:customStyle="1" w:styleId="xl119">
    <w:name w:val="xl119"/>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pPr>
    <w:rPr>
      <w:rFonts w:ascii="Arial" w:eastAsia="Times New Roman" w:hAnsi="Arial" w:cs="Arial"/>
      <w:szCs w:val="24"/>
      <w:lang w:eastAsia="pl-PL"/>
    </w:rPr>
  </w:style>
  <w:style w:type="paragraph" w:customStyle="1" w:styleId="xl120">
    <w:name w:val="xl120"/>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121">
    <w:name w:val="xl121"/>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color w:val="FF0000"/>
      <w:szCs w:val="24"/>
      <w:lang w:eastAsia="pl-PL"/>
    </w:rPr>
  </w:style>
  <w:style w:type="paragraph" w:customStyle="1" w:styleId="xl122">
    <w:name w:val="xl122"/>
    <w:basedOn w:val="Normalny"/>
    <w:rsid w:val="00C17C7F"/>
    <w:pPr>
      <w:pBdr>
        <w:top w:val="single" w:sz="4" w:space="0" w:color="auto"/>
        <w:left w:val="single" w:sz="4" w:space="0" w:color="auto"/>
      </w:pBdr>
      <w:spacing w:beforeAutospacing="1" w:after="100" w:afterAutospacing="1" w:line="240" w:lineRule="auto"/>
      <w:jc w:val="center"/>
    </w:pPr>
    <w:rPr>
      <w:rFonts w:ascii="Arial" w:eastAsia="Times New Roman" w:hAnsi="Arial" w:cs="Arial"/>
      <w:szCs w:val="24"/>
      <w:lang w:eastAsia="pl-PL"/>
    </w:rPr>
  </w:style>
  <w:style w:type="paragraph" w:customStyle="1" w:styleId="xl123">
    <w:name w:val="xl123"/>
    <w:basedOn w:val="Normalny"/>
    <w:rsid w:val="00C17C7F"/>
    <w:pPr>
      <w:pBdr>
        <w:top w:val="single" w:sz="4" w:space="0" w:color="auto"/>
      </w:pBdr>
      <w:spacing w:beforeAutospacing="1" w:after="100" w:afterAutospacing="1" w:line="240" w:lineRule="auto"/>
      <w:jc w:val="center"/>
    </w:pPr>
    <w:rPr>
      <w:rFonts w:ascii="Arial" w:eastAsia="Times New Roman" w:hAnsi="Arial" w:cs="Arial"/>
      <w:szCs w:val="24"/>
      <w:lang w:eastAsia="pl-PL"/>
    </w:rPr>
  </w:style>
  <w:style w:type="paragraph" w:customStyle="1" w:styleId="xl124">
    <w:name w:val="xl124"/>
    <w:basedOn w:val="Normalny"/>
    <w:rsid w:val="00C17C7F"/>
    <w:pPr>
      <w:pBdr>
        <w:top w:val="single" w:sz="4" w:space="0" w:color="auto"/>
        <w:right w:val="single" w:sz="4" w:space="0" w:color="auto"/>
      </w:pBdr>
      <w:spacing w:beforeAutospacing="1" w:after="100" w:afterAutospacing="1" w:line="240" w:lineRule="auto"/>
      <w:jc w:val="center"/>
    </w:pPr>
    <w:rPr>
      <w:rFonts w:ascii="Arial" w:eastAsia="Times New Roman" w:hAnsi="Arial" w:cs="Arial"/>
      <w:szCs w:val="24"/>
      <w:lang w:eastAsia="pl-PL"/>
    </w:rPr>
  </w:style>
  <w:style w:type="paragraph" w:customStyle="1" w:styleId="xl125">
    <w:name w:val="xl125"/>
    <w:basedOn w:val="Normalny"/>
    <w:rsid w:val="00C17C7F"/>
    <w:pPr>
      <w:pBdr>
        <w:left w:val="single" w:sz="4" w:space="0" w:color="auto"/>
        <w:bottom w:val="single" w:sz="4" w:space="0" w:color="auto"/>
      </w:pBdr>
      <w:spacing w:beforeAutospacing="1" w:after="100" w:afterAutospacing="1" w:line="240" w:lineRule="auto"/>
      <w:jc w:val="center"/>
    </w:pPr>
    <w:rPr>
      <w:rFonts w:ascii="Arial" w:eastAsia="Times New Roman" w:hAnsi="Arial" w:cs="Arial"/>
      <w:szCs w:val="24"/>
      <w:lang w:eastAsia="pl-PL"/>
    </w:rPr>
  </w:style>
  <w:style w:type="paragraph" w:customStyle="1" w:styleId="xl126">
    <w:name w:val="xl126"/>
    <w:basedOn w:val="Normalny"/>
    <w:rsid w:val="00C17C7F"/>
    <w:pPr>
      <w:pBdr>
        <w:bottom w:val="single" w:sz="4" w:space="0" w:color="auto"/>
      </w:pBdr>
      <w:spacing w:beforeAutospacing="1" w:after="100" w:afterAutospacing="1" w:line="240" w:lineRule="auto"/>
      <w:jc w:val="center"/>
    </w:pPr>
    <w:rPr>
      <w:rFonts w:ascii="Arial" w:eastAsia="Times New Roman" w:hAnsi="Arial" w:cs="Arial"/>
      <w:szCs w:val="24"/>
      <w:lang w:eastAsia="pl-PL"/>
    </w:rPr>
  </w:style>
  <w:style w:type="paragraph" w:customStyle="1" w:styleId="xl127">
    <w:name w:val="xl127"/>
    <w:basedOn w:val="Normalny"/>
    <w:rsid w:val="00C17C7F"/>
    <w:pPr>
      <w:pBdr>
        <w:bottom w:val="single" w:sz="4" w:space="0" w:color="auto"/>
        <w:right w:val="single" w:sz="4" w:space="0" w:color="auto"/>
      </w:pBdr>
      <w:spacing w:beforeAutospacing="1" w:after="100" w:afterAutospacing="1" w:line="240" w:lineRule="auto"/>
      <w:jc w:val="center"/>
    </w:pPr>
    <w:rPr>
      <w:rFonts w:ascii="Arial" w:eastAsia="Times New Roman" w:hAnsi="Arial" w:cs="Arial"/>
      <w:szCs w:val="24"/>
      <w:lang w:eastAsia="pl-PL"/>
    </w:rPr>
  </w:style>
  <w:style w:type="paragraph" w:customStyle="1" w:styleId="xl128">
    <w:name w:val="xl128"/>
    <w:basedOn w:val="Normalny"/>
    <w:rsid w:val="00C17C7F"/>
    <w:pPr>
      <w:pBdr>
        <w:top w:val="single" w:sz="4" w:space="0" w:color="auto"/>
        <w:left w:val="single" w:sz="4" w:space="0" w:color="auto"/>
      </w:pBdr>
      <w:spacing w:beforeAutospacing="1" w:after="100" w:afterAutospacing="1" w:line="240" w:lineRule="auto"/>
    </w:pPr>
    <w:rPr>
      <w:rFonts w:ascii="Arial" w:eastAsia="Times New Roman" w:hAnsi="Arial" w:cs="Arial"/>
      <w:szCs w:val="24"/>
      <w:lang w:eastAsia="pl-PL"/>
    </w:rPr>
  </w:style>
  <w:style w:type="paragraph" w:customStyle="1" w:styleId="xl129">
    <w:name w:val="xl129"/>
    <w:basedOn w:val="Normalny"/>
    <w:rsid w:val="00C17C7F"/>
    <w:pPr>
      <w:pBdr>
        <w:top w:val="single" w:sz="4" w:space="0" w:color="auto"/>
      </w:pBdr>
      <w:spacing w:beforeAutospacing="1" w:after="100" w:afterAutospacing="1" w:line="240" w:lineRule="auto"/>
    </w:pPr>
    <w:rPr>
      <w:rFonts w:ascii="Arial" w:eastAsia="Times New Roman" w:hAnsi="Arial" w:cs="Arial"/>
      <w:szCs w:val="24"/>
      <w:lang w:eastAsia="pl-PL"/>
    </w:rPr>
  </w:style>
  <w:style w:type="paragraph" w:customStyle="1" w:styleId="xl130">
    <w:name w:val="xl130"/>
    <w:basedOn w:val="Normalny"/>
    <w:rsid w:val="00C17C7F"/>
    <w:pPr>
      <w:pBdr>
        <w:top w:val="single" w:sz="4" w:space="0" w:color="auto"/>
        <w:right w:val="single" w:sz="4" w:space="0" w:color="auto"/>
      </w:pBdr>
      <w:spacing w:beforeAutospacing="1" w:after="100" w:afterAutospacing="1" w:line="240" w:lineRule="auto"/>
    </w:pPr>
    <w:rPr>
      <w:rFonts w:ascii="Arial" w:eastAsia="Times New Roman" w:hAnsi="Arial" w:cs="Arial"/>
      <w:szCs w:val="24"/>
      <w:lang w:eastAsia="pl-PL"/>
    </w:rPr>
  </w:style>
  <w:style w:type="paragraph" w:customStyle="1" w:styleId="xl131">
    <w:name w:val="xl131"/>
    <w:basedOn w:val="Normalny"/>
    <w:rsid w:val="00C17C7F"/>
    <w:pPr>
      <w:pBdr>
        <w:left w:val="single" w:sz="4" w:space="0" w:color="auto"/>
        <w:bottom w:val="single" w:sz="4" w:space="0" w:color="auto"/>
      </w:pBdr>
      <w:spacing w:beforeAutospacing="1" w:after="100" w:afterAutospacing="1" w:line="240" w:lineRule="auto"/>
    </w:pPr>
    <w:rPr>
      <w:rFonts w:ascii="Arial" w:eastAsia="Times New Roman" w:hAnsi="Arial" w:cs="Arial"/>
      <w:szCs w:val="24"/>
      <w:lang w:eastAsia="pl-PL"/>
    </w:rPr>
  </w:style>
  <w:style w:type="paragraph" w:customStyle="1" w:styleId="xl132">
    <w:name w:val="xl132"/>
    <w:basedOn w:val="Normalny"/>
    <w:rsid w:val="00C17C7F"/>
    <w:pPr>
      <w:pBdr>
        <w:bottom w:val="single" w:sz="4" w:space="0" w:color="auto"/>
      </w:pBdr>
      <w:spacing w:beforeAutospacing="1" w:after="100" w:afterAutospacing="1" w:line="240" w:lineRule="auto"/>
    </w:pPr>
    <w:rPr>
      <w:rFonts w:ascii="Arial" w:eastAsia="Times New Roman" w:hAnsi="Arial" w:cs="Arial"/>
      <w:szCs w:val="24"/>
      <w:lang w:eastAsia="pl-PL"/>
    </w:rPr>
  </w:style>
  <w:style w:type="paragraph" w:customStyle="1" w:styleId="xl133">
    <w:name w:val="xl133"/>
    <w:basedOn w:val="Normalny"/>
    <w:rsid w:val="00C17C7F"/>
    <w:pPr>
      <w:pBdr>
        <w:bottom w:val="single" w:sz="4" w:space="0" w:color="auto"/>
        <w:right w:val="single" w:sz="4" w:space="0" w:color="auto"/>
      </w:pBdr>
      <w:spacing w:beforeAutospacing="1" w:after="100" w:afterAutospacing="1" w:line="240" w:lineRule="auto"/>
    </w:pPr>
    <w:rPr>
      <w:rFonts w:ascii="Arial" w:eastAsia="Times New Roman" w:hAnsi="Arial" w:cs="Arial"/>
      <w:szCs w:val="24"/>
      <w:lang w:eastAsia="pl-PL"/>
    </w:rPr>
  </w:style>
  <w:style w:type="paragraph" w:customStyle="1" w:styleId="xl134">
    <w:name w:val="xl134"/>
    <w:basedOn w:val="Normalny"/>
    <w:rsid w:val="00C17C7F"/>
    <w:pPr>
      <w:pBdr>
        <w:top w:val="single" w:sz="4" w:space="0" w:color="auto"/>
        <w:left w:val="single" w:sz="4" w:space="0" w:color="auto"/>
        <w:bottom w:val="single" w:sz="4" w:space="0" w:color="auto"/>
      </w:pBdr>
      <w:spacing w:beforeAutospacing="1" w:after="100" w:afterAutospacing="1" w:line="240" w:lineRule="auto"/>
      <w:textAlignment w:val="center"/>
    </w:pPr>
    <w:rPr>
      <w:rFonts w:ascii="Arial" w:eastAsia="Times New Roman" w:hAnsi="Arial" w:cs="Arial"/>
      <w:i/>
      <w:iCs/>
      <w:color w:val="000000"/>
      <w:szCs w:val="24"/>
      <w:lang w:eastAsia="pl-PL"/>
    </w:rPr>
  </w:style>
  <w:style w:type="paragraph" w:customStyle="1" w:styleId="xl135">
    <w:name w:val="xl135"/>
    <w:basedOn w:val="Normalny"/>
    <w:rsid w:val="00C17C7F"/>
    <w:pPr>
      <w:pBdr>
        <w:top w:val="single" w:sz="4" w:space="0" w:color="auto"/>
        <w:bottom w:val="single" w:sz="4" w:space="0" w:color="auto"/>
      </w:pBdr>
      <w:spacing w:beforeAutospacing="1" w:after="100" w:afterAutospacing="1" w:line="240" w:lineRule="auto"/>
      <w:textAlignment w:val="center"/>
    </w:pPr>
    <w:rPr>
      <w:rFonts w:ascii="Arial" w:eastAsia="Times New Roman" w:hAnsi="Arial" w:cs="Arial"/>
      <w:i/>
      <w:iCs/>
      <w:color w:val="000000"/>
      <w:szCs w:val="24"/>
      <w:lang w:eastAsia="pl-PL"/>
    </w:rPr>
  </w:style>
  <w:style w:type="paragraph" w:customStyle="1" w:styleId="xl136">
    <w:name w:val="xl136"/>
    <w:basedOn w:val="Normalny"/>
    <w:rsid w:val="00C17C7F"/>
    <w:pPr>
      <w:pBdr>
        <w:top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i/>
      <w:iCs/>
      <w:color w:val="000000"/>
      <w:szCs w:val="24"/>
      <w:lang w:eastAsia="pl-PL"/>
    </w:rPr>
  </w:style>
  <w:style w:type="paragraph" w:customStyle="1" w:styleId="xl137">
    <w:name w:val="xl137"/>
    <w:basedOn w:val="Normalny"/>
    <w:rsid w:val="00C17C7F"/>
    <w:pPr>
      <w:pBdr>
        <w:top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138">
    <w:name w:val="xl138"/>
    <w:basedOn w:val="Normalny"/>
    <w:rsid w:val="00C17C7F"/>
    <w:pPr>
      <w:pBdr>
        <w:top w:val="single" w:sz="4" w:space="0" w:color="auto"/>
        <w:right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139">
    <w:name w:val="xl139"/>
    <w:basedOn w:val="Normalny"/>
    <w:rsid w:val="00C17C7F"/>
    <w:pPr>
      <w:pBdr>
        <w:left w:val="single" w:sz="4" w:space="0" w:color="auto"/>
        <w:bottom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140">
    <w:name w:val="xl140"/>
    <w:basedOn w:val="Normalny"/>
    <w:rsid w:val="00C17C7F"/>
    <w:pPr>
      <w:pBdr>
        <w:bottom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141">
    <w:name w:val="xl141"/>
    <w:basedOn w:val="Normalny"/>
    <w:rsid w:val="00C17C7F"/>
    <w:pPr>
      <w:pBdr>
        <w:bottom w:val="single" w:sz="4" w:space="0" w:color="auto"/>
        <w:right w:val="single" w:sz="4" w:space="0" w:color="auto"/>
      </w:pBdr>
      <w:spacing w:beforeAutospacing="1" w:after="100" w:afterAutospacing="1" w:line="240" w:lineRule="auto"/>
      <w:textAlignment w:val="center"/>
    </w:pPr>
    <w:rPr>
      <w:rFonts w:ascii="Arial" w:eastAsia="Times New Roman" w:hAnsi="Arial" w:cs="Arial"/>
      <w:color w:val="000000"/>
      <w:szCs w:val="24"/>
      <w:lang w:eastAsia="pl-PL"/>
    </w:rPr>
  </w:style>
  <w:style w:type="paragraph" w:customStyle="1" w:styleId="xl142">
    <w:name w:val="xl142"/>
    <w:basedOn w:val="Normalny"/>
    <w:rsid w:val="00C17C7F"/>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top"/>
    </w:pPr>
    <w:rPr>
      <w:rFonts w:ascii="Arial" w:eastAsia="Times New Roman" w:hAnsi="Arial" w:cs="Arial"/>
      <w:szCs w:val="24"/>
      <w:lang w:eastAsia="pl-PL"/>
    </w:rPr>
  </w:style>
  <w:style w:type="character" w:customStyle="1" w:styleId="contextualspellingandgrammarerror">
    <w:name w:val="contextualspellingandgrammarerror"/>
    <w:basedOn w:val="Domylnaczcionkaakapitu"/>
    <w:rsid w:val="00C17C7F"/>
  </w:style>
  <w:style w:type="character" w:customStyle="1" w:styleId="scxw47380320">
    <w:name w:val="scxw47380320"/>
    <w:basedOn w:val="Domylnaczcionkaakapitu"/>
    <w:rsid w:val="00D101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836483">
      <w:bodyDiv w:val="1"/>
      <w:marLeft w:val="0"/>
      <w:marRight w:val="0"/>
      <w:marTop w:val="0"/>
      <w:marBottom w:val="0"/>
      <w:divBdr>
        <w:top w:val="none" w:sz="0" w:space="0" w:color="auto"/>
        <w:left w:val="none" w:sz="0" w:space="0" w:color="auto"/>
        <w:bottom w:val="none" w:sz="0" w:space="0" w:color="auto"/>
        <w:right w:val="none" w:sz="0" w:space="0" w:color="auto"/>
      </w:divBdr>
    </w:div>
    <w:div w:id="311327952">
      <w:bodyDiv w:val="1"/>
      <w:marLeft w:val="0"/>
      <w:marRight w:val="0"/>
      <w:marTop w:val="0"/>
      <w:marBottom w:val="0"/>
      <w:divBdr>
        <w:top w:val="none" w:sz="0" w:space="0" w:color="auto"/>
        <w:left w:val="none" w:sz="0" w:space="0" w:color="auto"/>
        <w:bottom w:val="none" w:sz="0" w:space="0" w:color="auto"/>
        <w:right w:val="none" w:sz="0" w:space="0" w:color="auto"/>
      </w:divBdr>
    </w:div>
    <w:div w:id="320693197">
      <w:bodyDiv w:val="1"/>
      <w:marLeft w:val="0"/>
      <w:marRight w:val="0"/>
      <w:marTop w:val="0"/>
      <w:marBottom w:val="0"/>
      <w:divBdr>
        <w:top w:val="none" w:sz="0" w:space="0" w:color="auto"/>
        <w:left w:val="none" w:sz="0" w:space="0" w:color="auto"/>
        <w:bottom w:val="none" w:sz="0" w:space="0" w:color="auto"/>
        <w:right w:val="none" w:sz="0" w:space="0" w:color="auto"/>
      </w:divBdr>
    </w:div>
    <w:div w:id="403574104">
      <w:bodyDiv w:val="1"/>
      <w:marLeft w:val="0"/>
      <w:marRight w:val="0"/>
      <w:marTop w:val="0"/>
      <w:marBottom w:val="0"/>
      <w:divBdr>
        <w:top w:val="none" w:sz="0" w:space="0" w:color="auto"/>
        <w:left w:val="none" w:sz="0" w:space="0" w:color="auto"/>
        <w:bottom w:val="none" w:sz="0" w:space="0" w:color="auto"/>
        <w:right w:val="none" w:sz="0" w:space="0" w:color="auto"/>
      </w:divBdr>
    </w:div>
    <w:div w:id="459037756">
      <w:bodyDiv w:val="1"/>
      <w:marLeft w:val="0"/>
      <w:marRight w:val="0"/>
      <w:marTop w:val="0"/>
      <w:marBottom w:val="0"/>
      <w:divBdr>
        <w:top w:val="none" w:sz="0" w:space="0" w:color="auto"/>
        <w:left w:val="none" w:sz="0" w:space="0" w:color="auto"/>
        <w:bottom w:val="none" w:sz="0" w:space="0" w:color="auto"/>
        <w:right w:val="none" w:sz="0" w:space="0" w:color="auto"/>
      </w:divBdr>
    </w:div>
    <w:div w:id="552160228">
      <w:bodyDiv w:val="1"/>
      <w:marLeft w:val="0"/>
      <w:marRight w:val="0"/>
      <w:marTop w:val="0"/>
      <w:marBottom w:val="0"/>
      <w:divBdr>
        <w:top w:val="none" w:sz="0" w:space="0" w:color="auto"/>
        <w:left w:val="none" w:sz="0" w:space="0" w:color="auto"/>
        <w:bottom w:val="none" w:sz="0" w:space="0" w:color="auto"/>
        <w:right w:val="none" w:sz="0" w:space="0" w:color="auto"/>
      </w:divBdr>
    </w:div>
    <w:div w:id="889657141">
      <w:bodyDiv w:val="1"/>
      <w:marLeft w:val="0"/>
      <w:marRight w:val="0"/>
      <w:marTop w:val="0"/>
      <w:marBottom w:val="0"/>
      <w:divBdr>
        <w:top w:val="none" w:sz="0" w:space="0" w:color="auto"/>
        <w:left w:val="none" w:sz="0" w:space="0" w:color="auto"/>
        <w:bottom w:val="none" w:sz="0" w:space="0" w:color="auto"/>
        <w:right w:val="none" w:sz="0" w:space="0" w:color="auto"/>
      </w:divBdr>
    </w:div>
    <w:div w:id="1128087417">
      <w:bodyDiv w:val="1"/>
      <w:marLeft w:val="0"/>
      <w:marRight w:val="0"/>
      <w:marTop w:val="0"/>
      <w:marBottom w:val="0"/>
      <w:divBdr>
        <w:top w:val="none" w:sz="0" w:space="0" w:color="auto"/>
        <w:left w:val="none" w:sz="0" w:space="0" w:color="auto"/>
        <w:bottom w:val="none" w:sz="0" w:space="0" w:color="auto"/>
        <w:right w:val="none" w:sz="0" w:space="0" w:color="auto"/>
      </w:divBdr>
    </w:div>
    <w:div w:id="1183544664">
      <w:bodyDiv w:val="1"/>
      <w:marLeft w:val="0"/>
      <w:marRight w:val="0"/>
      <w:marTop w:val="0"/>
      <w:marBottom w:val="0"/>
      <w:divBdr>
        <w:top w:val="none" w:sz="0" w:space="0" w:color="auto"/>
        <w:left w:val="none" w:sz="0" w:space="0" w:color="auto"/>
        <w:bottom w:val="none" w:sz="0" w:space="0" w:color="auto"/>
        <w:right w:val="none" w:sz="0" w:space="0" w:color="auto"/>
      </w:divBdr>
    </w:div>
    <w:div w:id="1219853139">
      <w:bodyDiv w:val="1"/>
      <w:marLeft w:val="0"/>
      <w:marRight w:val="0"/>
      <w:marTop w:val="0"/>
      <w:marBottom w:val="0"/>
      <w:divBdr>
        <w:top w:val="none" w:sz="0" w:space="0" w:color="auto"/>
        <w:left w:val="none" w:sz="0" w:space="0" w:color="auto"/>
        <w:bottom w:val="none" w:sz="0" w:space="0" w:color="auto"/>
        <w:right w:val="none" w:sz="0" w:space="0" w:color="auto"/>
      </w:divBdr>
    </w:div>
    <w:div w:id="1299872015">
      <w:bodyDiv w:val="1"/>
      <w:marLeft w:val="0"/>
      <w:marRight w:val="0"/>
      <w:marTop w:val="0"/>
      <w:marBottom w:val="0"/>
      <w:divBdr>
        <w:top w:val="none" w:sz="0" w:space="0" w:color="auto"/>
        <w:left w:val="none" w:sz="0" w:space="0" w:color="auto"/>
        <w:bottom w:val="none" w:sz="0" w:space="0" w:color="auto"/>
        <w:right w:val="none" w:sz="0" w:space="0" w:color="auto"/>
      </w:divBdr>
    </w:div>
    <w:div w:id="1381393771">
      <w:bodyDiv w:val="1"/>
      <w:marLeft w:val="0"/>
      <w:marRight w:val="0"/>
      <w:marTop w:val="0"/>
      <w:marBottom w:val="0"/>
      <w:divBdr>
        <w:top w:val="none" w:sz="0" w:space="0" w:color="auto"/>
        <w:left w:val="none" w:sz="0" w:space="0" w:color="auto"/>
        <w:bottom w:val="none" w:sz="0" w:space="0" w:color="auto"/>
        <w:right w:val="none" w:sz="0" w:space="0" w:color="auto"/>
      </w:divBdr>
    </w:div>
    <w:div w:id="1633828276">
      <w:bodyDiv w:val="1"/>
      <w:marLeft w:val="0"/>
      <w:marRight w:val="0"/>
      <w:marTop w:val="0"/>
      <w:marBottom w:val="0"/>
      <w:divBdr>
        <w:top w:val="none" w:sz="0" w:space="0" w:color="auto"/>
        <w:left w:val="none" w:sz="0" w:space="0" w:color="auto"/>
        <w:bottom w:val="none" w:sz="0" w:space="0" w:color="auto"/>
        <w:right w:val="none" w:sz="0" w:space="0" w:color="auto"/>
      </w:divBdr>
      <w:divsChild>
        <w:div w:id="634407711">
          <w:marLeft w:val="0"/>
          <w:marRight w:val="0"/>
          <w:marTop w:val="0"/>
          <w:marBottom w:val="0"/>
          <w:divBdr>
            <w:top w:val="none" w:sz="0" w:space="0" w:color="auto"/>
            <w:left w:val="none" w:sz="0" w:space="0" w:color="auto"/>
            <w:bottom w:val="none" w:sz="0" w:space="0" w:color="auto"/>
            <w:right w:val="none" w:sz="0" w:space="0" w:color="auto"/>
          </w:divBdr>
          <w:divsChild>
            <w:div w:id="249240873">
              <w:marLeft w:val="0"/>
              <w:marRight w:val="0"/>
              <w:marTop w:val="0"/>
              <w:marBottom w:val="0"/>
              <w:divBdr>
                <w:top w:val="none" w:sz="0" w:space="0" w:color="auto"/>
                <w:left w:val="none" w:sz="0" w:space="0" w:color="auto"/>
                <w:bottom w:val="none" w:sz="0" w:space="0" w:color="auto"/>
                <w:right w:val="none" w:sz="0" w:space="0" w:color="auto"/>
              </w:divBdr>
            </w:div>
            <w:div w:id="890464116">
              <w:marLeft w:val="0"/>
              <w:marRight w:val="0"/>
              <w:marTop w:val="0"/>
              <w:marBottom w:val="0"/>
              <w:divBdr>
                <w:top w:val="none" w:sz="0" w:space="0" w:color="auto"/>
                <w:left w:val="none" w:sz="0" w:space="0" w:color="auto"/>
                <w:bottom w:val="none" w:sz="0" w:space="0" w:color="auto"/>
                <w:right w:val="none" w:sz="0" w:space="0" w:color="auto"/>
              </w:divBdr>
            </w:div>
            <w:div w:id="1548764517">
              <w:marLeft w:val="0"/>
              <w:marRight w:val="0"/>
              <w:marTop w:val="0"/>
              <w:marBottom w:val="0"/>
              <w:divBdr>
                <w:top w:val="none" w:sz="0" w:space="0" w:color="auto"/>
                <w:left w:val="none" w:sz="0" w:space="0" w:color="auto"/>
                <w:bottom w:val="none" w:sz="0" w:space="0" w:color="auto"/>
                <w:right w:val="none" w:sz="0" w:space="0" w:color="auto"/>
              </w:divBdr>
            </w:div>
            <w:div w:id="33121975">
              <w:marLeft w:val="0"/>
              <w:marRight w:val="0"/>
              <w:marTop w:val="0"/>
              <w:marBottom w:val="0"/>
              <w:divBdr>
                <w:top w:val="none" w:sz="0" w:space="0" w:color="auto"/>
                <w:left w:val="none" w:sz="0" w:space="0" w:color="auto"/>
                <w:bottom w:val="none" w:sz="0" w:space="0" w:color="auto"/>
                <w:right w:val="none" w:sz="0" w:space="0" w:color="auto"/>
              </w:divBdr>
            </w:div>
          </w:divsChild>
        </w:div>
        <w:div w:id="984554780">
          <w:marLeft w:val="0"/>
          <w:marRight w:val="0"/>
          <w:marTop w:val="0"/>
          <w:marBottom w:val="0"/>
          <w:divBdr>
            <w:top w:val="none" w:sz="0" w:space="0" w:color="auto"/>
            <w:left w:val="none" w:sz="0" w:space="0" w:color="auto"/>
            <w:bottom w:val="none" w:sz="0" w:space="0" w:color="auto"/>
            <w:right w:val="none" w:sz="0" w:space="0" w:color="auto"/>
          </w:divBdr>
          <w:divsChild>
            <w:div w:id="548541667">
              <w:marLeft w:val="0"/>
              <w:marRight w:val="0"/>
              <w:marTop w:val="0"/>
              <w:marBottom w:val="0"/>
              <w:divBdr>
                <w:top w:val="none" w:sz="0" w:space="0" w:color="auto"/>
                <w:left w:val="none" w:sz="0" w:space="0" w:color="auto"/>
                <w:bottom w:val="none" w:sz="0" w:space="0" w:color="auto"/>
                <w:right w:val="none" w:sz="0" w:space="0" w:color="auto"/>
              </w:divBdr>
            </w:div>
            <w:div w:id="859664161">
              <w:marLeft w:val="0"/>
              <w:marRight w:val="0"/>
              <w:marTop w:val="0"/>
              <w:marBottom w:val="0"/>
              <w:divBdr>
                <w:top w:val="none" w:sz="0" w:space="0" w:color="auto"/>
                <w:left w:val="none" w:sz="0" w:space="0" w:color="auto"/>
                <w:bottom w:val="none" w:sz="0" w:space="0" w:color="auto"/>
                <w:right w:val="none" w:sz="0" w:space="0" w:color="auto"/>
              </w:divBdr>
            </w:div>
            <w:div w:id="989098631">
              <w:marLeft w:val="0"/>
              <w:marRight w:val="0"/>
              <w:marTop w:val="0"/>
              <w:marBottom w:val="0"/>
              <w:divBdr>
                <w:top w:val="none" w:sz="0" w:space="0" w:color="auto"/>
                <w:left w:val="none" w:sz="0" w:space="0" w:color="auto"/>
                <w:bottom w:val="none" w:sz="0" w:space="0" w:color="auto"/>
                <w:right w:val="none" w:sz="0" w:space="0" w:color="auto"/>
              </w:divBdr>
            </w:div>
            <w:div w:id="42407741">
              <w:marLeft w:val="0"/>
              <w:marRight w:val="0"/>
              <w:marTop w:val="0"/>
              <w:marBottom w:val="0"/>
              <w:divBdr>
                <w:top w:val="none" w:sz="0" w:space="0" w:color="auto"/>
                <w:left w:val="none" w:sz="0" w:space="0" w:color="auto"/>
                <w:bottom w:val="none" w:sz="0" w:space="0" w:color="auto"/>
                <w:right w:val="none" w:sz="0" w:space="0" w:color="auto"/>
              </w:divBdr>
            </w:div>
            <w:div w:id="707687230">
              <w:marLeft w:val="0"/>
              <w:marRight w:val="0"/>
              <w:marTop w:val="0"/>
              <w:marBottom w:val="0"/>
              <w:divBdr>
                <w:top w:val="none" w:sz="0" w:space="0" w:color="auto"/>
                <w:left w:val="none" w:sz="0" w:space="0" w:color="auto"/>
                <w:bottom w:val="none" w:sz="0" w:space="0" w:color="auto"/>
                <w:right w:val="none" w:sz="0" w:space="0" w:color="auto"/>
              </w:divBdr>
            </w:div>
          </w:divsChild>
        </w:div>
        <w:div w:id="1114834135">
          <w:marLeft w:val="0"/>
          <w:marRight w:val="0"/>
          <w:marTop w:val="0"/>
          <w:marBottom w:val="0"/>
          <w:divBdr>
            <w:top w:val="none" w:sz="0" w:space="0" w:color="auto"/>
            <w:left w:val="none" w:sz="0" w:space="0" w:color="auto"/>
            <w:bottom w:val="none" w:sz="0" w:space="0" w:color="auto"/>
            <w:right w:val="none" w:sz="0" w:space="0" w:color="auto"/>
          </w:divBdr>
          <w:divsChild>
            <w:div w:id="1199900629">
              <w:marLeft w:val="0"/>
              <w:marRight w:val="0"/>
              <w:marTop w:val="0"/>
              <w:marBottom w:val="0"/>
              <w:divBdr>
                <w:top w:val="none" w:sz="0" w:space="0" w:color="auto"/>
                <w:left w:val="none" w:sz="0" w:space="0" w:color="auto"/>
                <w:bottom w:val="none" w:sz="0" w:space="0" w:color="auto"/>
                <w:right w:val="none" w:sz="0" w:space="0" w:color="auto"/>
              </w:divBdr>
            </w:div>
            <w:div w:id="1992128882">
              <w:marLeft w:val="0"/>
              <w:marRight w:val="0"/>
              <w:marTop w:val="0"/>
              <w:marBottom w:val="0"/>
              <w:divBdr>
                <w:top w:val="none" w:sz="0" w:space="0" w:color="auto"/>
                <w:left w:val="none" w:sz="0" w:space="0" w:color="auto"/>
                <w:bottom w:val="none" w:sz="0" w:space="0" w:color="auto"/>
                <w:right w:val="none" w:sz="0" w:space="0" w:color="auto"/>
              </w:divBdr>
            </w:div>
          </w:divsChild>
        </w:div>
        <w:div w:id="896550546">
          <w:marLeft w:val="0"/>
          <w:marRight w:val="0"/>
          <w:marTop w:val="0"/>
          <w:marBottom w:val="0"/>
          <w:divBdr>
            <w:top w:val="none" w:sz="0" w:space="0" w:color="auto"/>
            <w:left w:val="none" w:sz="0" w:space="0" w:color="auto"/>
            <w:bottom w:val="none" w:sz="0" w:space="0" w:color="auto"/>
            <w:right w:val="none" w:sz="0" w:space="0" w:color="auto"/>
          </w:divBdr>
          <w:divsChild>
            <w:div w:id="768280768">
              <w:marLeft w:val="0"/>
              <w:marRight w:val="0"/>
              <w:marTop w:val="0"/>
              <w:marBottom w:val="0"/>
              <w:divBdr>
                <w:top w:val="none" w:sz="0" w:space="0" w:color="auto"/>
                <w:left w:val="none" w:sz="0" w:space="0" w:color="auto"/>
                <w:bottom w:val="none" w:sz="0" w:space="0" w:color="auto"/>
                <w:right w:val="none" w:sz="0" w:space="0" w:color="auto"/>
              </w:divBdr>
            </w:div>
            <w:div w:id="115626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45126">
      <w:bodyDiv w:val="1"/>
      <w:marLeft w:val="0"/>
      <w:marRight w:val="0"/>
      <w:marTop w:val="0"/>
      <w:marBottom w:val="0"/>
      <w:divBdr>
        <w:top w:val="none" w:sz="0" w:space="0" w:color="auto"/>
        <w:left w:val="none" w:sz="0" w:space="0" w:color="auto"/>
        <w:bottom w:val="none" w:sz="0" w:space="0" w:color="auto"/>
        <w:right w:val="none" w:sz="0" w:space="0" w:color="auto"/>
      </w:divBdr>
    </w:div>
    <w:div w:id="1927304171">
      <w:bodyDiv w:val="1"/>
      <w:marLeft w:val="0"/>
      <w:marRight w:val="0"/>
      <w:marTop w:val="0"/>
      <w:marBottom w:val="0"/>
      <w:divBdr>
        <w:top w:val="none" w:sz="0" w:space="0" w:color="auto"/>
        <w:left w:val="none" w:sz="0" w:space="0" w:color="auto"/>
        <w:bottom w:val="none" w:sz="0" w:space="0" w:color="auto"/>
        <w:right w:val="none" w:sz="0" w:space="0" w:color="auto"/>
      </w:divBdr>
    </w:div>
    <w:div w:id="2087261346">
      <w:bodyDiv w:val="1"/>
      <w:marLeft w:val="0"/>
      <w:marRight w:val="0"/>
      <w:marTop w:val="0"/>
      <w:marBottom w:val="0"/>
      <w:divBdr>
        <w:top w:val="none" w:sz="0" w:space="0" w:color="auto"/>
        <w:left w:val="none" w:sz="0" w:space="0" w:color="auto"/>
        <w:bottom w:val="none" w:sz="0" w:space="0" w:color="auto"/>
        <w:right w:val="none" w:sz="0" w:space="0" w:color="auto"/>
      </w:divBdr>
      <w:divsChild>
        <w:div w:id="650909912">
          <w:marLeft w:val="0"/>
          <w:marRight w:val="0"/>
          <w:marTop w:val="0"/>
          <w:marBottom w:val="0"/>
          <w:divBdr>
            <w:top w:val="none" w:sz="0" w:space="0" w:color="auto"/>
            <w:left w:val="none" w:sz="0" w:space="0" w:color="auto"/>
            <w:bottom w:val="none" w:sz="0" w:space="0" w:color="auto"/>
            <w:right w:val="none" w:sz="0" w:space="0" w:color="auto"/>
          </w:divBdr>
        </w:div>
        <w:div w:id="753279260">
          <w:marLeft w:val="0"/>
          <w:marRight w:val="0"/>
          <w:marTop w:val="0"/>
          <w:marBottom w:val="0"/>
          <w:divBdr>
            <w:top w:val="none" w:sz="0" w:space="0" w:color="auto"/>
            <w:left w:val="none" w:sz="0" w:space="0" w:color="auto"/>
            <w:bottom w:val="none" w:sz="0" w:space="0" w:color="auto"/>
            <w:right w:val="none" w:sz="0" w:space="0" w:color="auto"/>
          </w:divBdr>
        </w:div>
        <w:div w:id="1089352991">
          <w:marLeft w:val="0"/>
          <w:marRight w:val="0"/>
          <w:marTop w:val="0"/>
          <w:marBottom w:val="0"/>
          <w:divBdr>
            <w:top w:val="none" w:sz="0" w:space="0" w:color="auto"/>
            <w:left w:val="none" w:sz="0" w:space="0" w:color="auto"/>
            <w:bottom w:val="none" w:sz="0" w:space="0" w:color="auto"/>
            <w:right w:val="none" w:sz="0" w:space="0" w:color="auto"/>
          </w:divBdr>
        </w:div>
        <w:div w:id="1840459752">
          <w:marLeft w:val="0"/>
          <w:marRight w:val="0"/>
          <w:marTop w:val="0"/>
          <w:marBottom w:val="0"/>
          <w:divBdr>
            <w:top w:val="none" w:sz="0" w:space="0" w:color="auto"/>
            <w:left w:val="none" w:sz="0" w:space="0" w:color="auto"/>
            <w:bottom w:val="none" w:sz="0" w:space="0" w:color="auto"/>
            <w:right w:val="none" w:sz="0" w:space="0" w:color="auto"/>
          </w:divBdr>
        </w:div>
        <w:div w:id="1675835756">
          <w:marLeft w:val="0"/>
          <w:marRight w:val="0"/>
          <w:marTop w:val="0"/>
          <w:marBottom w:val="0"/>
          <w:divBdr>
            <w:top w:val="none" w:sz="0" w:space="0" w:color="auto"/>
            <w:left w:val="none" w:sz="0" w:space="0" w:color="auto"/>
            <w:bottom w:val="none" w:sz="0" w:space="0" w:color="auto"/>
            <w:right w:val="none" w:sz="0" w:space="0" w:color="auto"/>
          </w:divBdr>
        </w:div>
        <w:div w:id="2830660">
          <w:marLeft w:val="0"/>
          <w:marRight w:val="0"/>
          <w:marTop w:val="0"/>
          <w:marBottom w:val="0"/>
          <w:divBdr>
            <w:top w:val="none" w:sz="0" w:space="0" w:color="auto"/>
            <w:left w:val="none" w:sz="0" w:space="0" w:color="auto"/>
            <w:bottom w:val="none" w:sz="0" w:space="0" w:color="auto"/>
            <w:right w:val="none" w:sz="0" w:space="0" w:color="auto"/>
          </w:divBdr>
        </w:div>
        <w:div w:id="345518544">
          <w:marLeft w:val="0"/>
          <w:marRight w:val="0"/>
          <w:marTop w:val="0"/>
          <w:marBottom w:val="0"/>
          <w:divBdr>
            <w:top w:val="none" w:sz="0" w:space="0" w:color="auto"/>
            <w:left w:val="none" w:sz="0" w:space="0" w:color="auto"/>
            <w:bottom w:val="none" w:sz="0" w:space="0" w:color="auto"/>
            <w:right w:val="none" w:sz="0" w:space="0" w:color="auto"/>
          </w:divBdr>
        </w:div>
        <w:div w:id="383601534">
          <w:marLeft w:val="0"/>
          <w:marRight w:val="0"/>
          <w:marTop w:val="0"/>
          <w:marBottom w:val="0"/>
          <w:divBdr>
            <w:top w:val="none" w:sz="0" w:space="0" w:color="auto"/>
            <w:left w:val="none" w:sz="0" w:space="0" w:color="auto"/>
            <w:bottom w:val="none" w:sz="0" w:space="0" w:color="auto"/>
            <w:right w:val="none" w:sz="0" w:space="0" w:color="auto"/>
          </w:divBdr>
        </w:div>
        <w:div w:id="1118109869">
          <w:marLeft w:val="0"/>
          <w:marRight w:val="0"/>
          <w:marTop w:val="0"/>
          <w:marBottom w:val="0"/>
          <w:divBdr>
            <w:top w:val="none" w:sz="0" w:space="0" w:color="auto"/>
            <w:left w:val="none" w:sz="0" w:space="0" w:color="auto"/>
            <w:bottom w:val="none" w:sz="0" w:space="0" w:color="auto"/>
            <w:right w:val="none" w:sz="0" w:space="0" w:color="auto"/>
          </w:divBdr>
        </w:div>
        <w:div w:id="1662002766">
          <w:marLeft w:val="0"/>
          <w:marRight w:val="0"/>
          <w:marTop w:val="0"/>
          <w:marBottom w:val="0"/>
          <w:divBdr>
            <w:top w:val="none" w:sz="0" w:space="0" w:color="auto"/>
            <w:left w:val="none" w:sz="0" w:space="0" w:color="auto"/>
            <w:bottom w:val="none" w:sz="0" w:space="0" w:color="auto"/>
            <w:right w:val="none" w:sz="0" w:space="0" w:color="auto"/>
          </w:divBdr>
        </w:div>
        <w:div w:id="206646818">
          <w:marLeft w:val="0"/>
          <w:marRight w:val="0"/>
          <w:marTop w:val="0"/>
          <w:marBottom w:val="0"/>
          <w:divBdr>
            <w:top w:val="none" w:sz="0" w:space="0" w:color="auto"/>
            <w:left w:val="none" w:sz="0" w:space="0" w:color="auto"/>
            <w:bottom w:val="none" w:sz="0" w:space="0" w:color="auto"/>
            <w:right w:val="none" w:sz="0" w:space="0" w:color="auto"/>
          </w:divBdr>
        </w:div>
        <w:div w:id="1468352807">
          <w:marLeft w:val="0"/>
          <w:marRight w:val="0"/>
          <w:marTop w:val="0"/>
          <w:marBottom w:val="0"/>
          <w:divBdr>
            <w:top w:val="none" w:sz="0" w:space="0" w:color="auto"/>
            <w:left w:val="none" w:sz="0" w:space="0" w:color="auto"/>
            <w:bottom w:val="none" w:sz="0" w:space="0" w:color="auto"/>
            <w:right w:val="none" w:sz="0" w:space="0" w:color="auto"/>
          </w:divBdr>
        </w:div>
        <w:div w:id="1977876780">
          <w:marLeft w:val="0"/>
          <w:marRight w:val="0"/>
          <w:marTop w:val="0"/>
          <w:marBottom w:val="0"/>
          <w:divBdr>
            <w:top w:val="none" w:sz="0" w:space="0" w:color="auto"/>
            <w:left w:val="none" w:sz="0" w:space="0" w:color="auto"/>
            <w:bottom w:val="none" w:sz="0" w:space="0" w:color="auto"/>
            <w:right w:val="none" w:sz="0" w:space="0" w:color="auto"/>
          </w:divBdr>
        </w:div>
        <w:div w:id="145779031">
          <w:marLeft w:val="0"/>
          <w:marRight w:val="0"/>
          <w:marTop w:val="0"/>
          <w:marBottom w:val="0"/>
          <w:divBdr>
            <w:top w:val="none" w:sz="0" w:space="0" w:color="auto"/>
            <w:left w:val="none" w:sz="0" w:space="0" w:color="auto"/>
            <w:bottom w:val="none" w:sz="0" w:space="0" w:color="auto"/>
            <w:right w:val="none" w:sz="0" w:space="0" w:color="auto"/>
          </w:divBdr>
        </w:div>
        <w:div w:id="1669599166">
          <w:marLeft w:val="0"/>
          <w:marRight w:val="0"/>
          <w:marTop w:val="0"/>
          <w:marBottom w:val="0"/>
          <w:divBdr>
            <w:top w:val="none" w:sz="0" w:space="0" w:color="auto"/>
            <w:left w:val="none" w:sz="0" w:space="0" w:color="auto"/>
            <w:bottom w:val="none" w:sz="0" w:space="0" w:color="auto"/>
            <w:right w:val="none" w:sz="0" w:space="0" w:color="auto"/>
          </w:divBdr>
        </w:div>
        <w:div w:id="66390545">
          <w:marLeft w:val="0"/>
          <w:marRight w:val="0"/>
          <w:marTop w:val="0"/>
          <w:marBottom w:val="0"/>
          <w:divBdr>
            <w:top w:val="none" w:sz="0" w:space="0" w:color="auto"/>
            <w:left w:val="none" w:sz="0" w:space="0" w:color="auto"/>
            <w:bottom w:val="none" w:sz="0" w:space="0" w:color="auto"/>
            <w:right w:val="none" w:sz="0" w:space="0" w:color="auto"/>
          </w:divBdr>
        </w:div>
        <w:div w:id="727803779">
          <w:marLeft w:val="0"/>
          <w:marRight w:val="0"/>
          <w:marTop w:val="0"/>
          <w:marBottom w:val="0"/>
          <w:divBdr>
            <w:top w:val="none" w:sz="0" w:space="0" w:color="auto"/>
            <w:left w:val="none" w:sz="0" w:space="0" w:color="auto"/>
            <w:bottom w:val="none" w:sz="0" w:space="0" w:color="auto"/>
            <w:right w:val="none" w:sz="0" w:space="0" w:color="auto"/>
          </w:divBdr>
        </w:div>
        <w:div w:id="544951415">
          <w:marLeft w:val="0"/>
          <w:marRight w:val="0"/>
          <w:marTop w:val="0"/>
          <w:marBottom w:val="0"/>
          <w:divBdr>
            <w:top w:val="none" w:sz="0" w:space="0" w:color="auto"/>
            <w:left w:val="none" w:sz="0" w:space="0" w:color="auto"/>
            <w:bottom w:val="none" w:sz="0" w:space="0" w:color="auto"/>
            <w:right w:val="none" w:sz="0" w:space="0" w:color="auto"/>
          </w:divBdr>
        </w:div>
        <w:div w:id="238057638">
          <w:marLeft w:val="0"/>
          <w:marRight w:val="0"/>
          <w:marTop w:val="0"/>
          <w:marBottom w:val="0"/>
          <w:divBdr>
            <w:top w:val="none" w:sz="0" w:space="0" w:color="auto"/>
            <w:left w:val="none" w:sz="0" w:space="0" w:color="auto"/>
            <w:bottom w:val="none" w:sz="0" w:space="0" w:color="auto"/>
            <w:right w:val="none" w:sz="0" w:space="0" w:color="auto"/>
          </w:divBdr>
        </w:div>
        <w:div w:id="537165459">
          <w:marLeft w:val="0"/>
          <w:marRight w:val="0"/>
          <w:marTop w:val="0"/>
          <w:marBottom w:val="0"/>
          <w:divBdr>
            <w:top w:val="none" w:sz="0" w:space="0" w:color="auto"/>
            <w:left w:val="none" w:sz="0" w:space="0" w:color="auto"/>
            <w:bottom w:val="none" w:sz="0" w:space="0" w:color="auto"/>
            <w:right w:val="none" w:sz="0" w:space="0" w:color="auto"/>
          </w:divBdr>
        </w:div>
        <w:div w:id="2086753926">
          <w:marLeft w:val="0"/>
          <w:marRight w:val="0"/>
          <w:marTop w:val="0"/>
          <w:marBottom w:val="0"/>
          <w:divBdr>
            <w:top w:val="none" w:sz="0" w:space="0" w:color="auto"/>
            <w:left w:val="none" w:sz="0" w:space="0" w:color="auto"/>
            <w:bottom w:val="none" w:sz="0" w:space="0" w:color="auto"/>
            <w:right w:val="none" w:sz="0" w:space="0" w:color="auto"/>
          </w:divBdr>
        </w:div>
        <w:div w:id="2140493309">
          <w:marLeft w:val="0"/>
          <w:marRight w:val="0"/>
          <w:marTop w:val="0"/>
          <w:marBottom w:val="0"/>
          <w:divBdr>
            <w:top w:val="none" w:sz="0" w:space="0" w:color="auto"/>
            <w:left w:val="none" w:sz="0" w:space="0" w:color="auto"/>
            <w:bottom w:val="none" w:sz="0" w:space="0" w:color="auto"/>
            <w:right w:val="none" w:sz="0" w:space="0" w:color="auto"/>
          </w:divBdr>
        </w:div>
        <w:div w:id="1880126277">
          <w:marLeft w:val="0"/>
          <w:marRight w:val="0"/>
          <w:marTop w:val="0"/>
          <w:marBottom w:val="0"/>
          <w:divBdr>
            <w:top w:val="none" w:sz="0" w:space="0" w:color="auto"/>
            <w:left w:val="none" w:sz="0" w:space="0" w:color="auto"/>
            <w:bottom w:val="none" w:sz="0" w:space="0" w:color="auto"/>
            <w:right w:val="none" w:sz="0" w:space="0" w:color="auto"/>
          </w:divBdr>
        </w:div>
        <w:div w:id="1087771144">
          <w:marLeft w:val="0"/>
          <w:marRight w:val="0"/>
          <w:marTop w:val="0"/>
          <w:marBottom w:val="0"/>
          <w:divBdr>
            <w:top w:val="none" w:sz="0" w:space="0" w:color="auto"/>
            <w:left w:val="none" w:sz="0" w:space="0" w:color="auto"/>
            <w:bottom w:val="none" w:sz="0" w:space="0" w:color="auto"/>
            <w:right w:val="none" w:sz="0" w:space="0" w:color="auto"/>
          </w:divBdr>
        </w:div>
        <w:div w:id="1392652839">
          <w:marLeft w:val="0"/>
          <w:marRight w:val="0"/>
          <w:marTop w:val="0"/>
          <w:marBottom w:val="0"/>
          <w:divBdr>
            <w:top w:val="none" w:sz="0" w:space="0" w:color="auto"/>
            <w:left w:val="none" w:sz="0" w:space="0" w:color="auto"/>
            <w:bottom w:val="none" w:sz="0" w:space="0" w:color="auto"/>
            <w:right w:val="none" w:sz="0" w:space="0" w:color="auto"/>
          </w:divBdr>
        </w:div>
        <w:div w:id="157116540">
          <w:marLeft w:val="0"/>
          <w:marRight w:val="0"/>
          <w:marTop w:val="0"/>
          <w:marBottom w:val="0"/>
          <w:divBdr>
            <w:top w:val="none" w:sz="0" w:space="0" w:color="auto"/>
            <w:left w:val="none" w:sz="0" w:space="0" w:color="auto"/>
            <w:bottom w:val="none" w:sz="0" w:space="0" w:color="auto"/>
            <w:right w:val="none" w:sz="0" w:space="0" w:color="auto"/>
          </w:divBdr>
        </w:div>
        <w:div w:id="2087611241">
          <w:marLeft w:val="0"/>
          <w:marRight w:val="0"/>
          <w:marTop w:val="0"/>
          <w:marBottom w:val="0"/>
          <w:divBdr>
            <w:top w:val="none" w:sz="0" w:space="0" w:color="auto"/>
            <w:left w:val="none" w:sz="0" w:space="0" w:color="auto"/>
            <w:bottom w:val="none" w:sz="0" w:space="0" w:color="auto"/>
            <w:right w:val="none" w:sz="0" w:space="0" w:color="auto"/>
          </w:divBdr>
        </w:div>
        <w:div w:id="1135635267">
          <w:marLeft w:val="0"/>
          <w:marRight w:val="0"/>
          <w:marTop w:val="0"/>
          <w:marBottom w:val="0"/>
          <w:divBdr>
            <w:top w:val="none" w:sz="0" w:space="0" w:color="auto"/>
            <w:left w:val="none" w:sz="0" w:space="0" w:color="auto"/>
            <w:bottom w:val="none" w:sz="0" w:space="0" w:color="auto"/>
            <w:right w:val="none" w:sz="0" w:space="0" w:color="auto"/>
          </w:divBdr>
        </w:div>
        <w:div w:id="484395007">
          <w:marLeft w:val="0"/>
          <w:marRight w:val="0"/>
          <w:marTop w:val="0"/>
          <w:marBottom w:val="0"/>
          <w:divBdr>
            <w:top w:val="none" w:sz="0" w:space="0" w:color="auto"/>
            <w:left w:val="none" w:sz="0" w:space="0" w:color="auto"/>
            <w:bottom w:val="none" w:sz="0" w:space="0" w:color="auto"/>
            <w:right w:val="none" w:sz="0" w:space="0" w:color="auto"/>
          </w:divBdr>
        </w:div>
        <w:div w:id="280768947">
          <w:marLeft w:val="0"/>
          <w:marRight w:val="0"/>
          <w:marTop w:val="0"/>
          <w:marBottom w:val="0"/>
          <w:divBdr>
            <w:top w:val="none" w:sz="0" w:space="0" w:color="auto"/>
            <w:left w:val="none" w:sz="0" w:space="0" w:color="auto"/>
            <w:bottom w:val="none" w:sz="0" w:space="0" w:color="auto"/>
            <w:right w:val="none" w:sz="0" w:space="0" w:color="auto"/>
          </w:divBdr>
        </w:div>
        <w:div w:id="732461559">
          <w:marLeft w:val="0"/>
          <w:marRight w:val="0"/>
          <w:marTop w:val="0"/>
          <w:marBottom w:val="0"/>
          <w:divBdr>
            <w:top w:val="none" w:sz="0" w:space="0" w:color="auto"/>
            <w:left w:val="none" w:sz="0" w:space="0" w:color="auto"/>
            <w:bottom w:val="none" w:sz="0" w:space="0" w:color="auto"/>
            <w:right w:val="none" w:sz="0" w:space="0" w:color="auto"/>
          </w:divBdr>
        </w:div>
        <w:div w:id="568542085">
          <w:marLeft w:val="0"/>
          <w:marRight w:val="0"/>
          <w:marTop w:val="0"/>
          <w:marBottom w:val="0"/>
          <w:divBdr>
            <w:top w:val="none" w:sz="0" w:space="0" w:color="auto"/>
            <w:left w:val="none" w:sz="0" w:space="0" w:color="auto"/>
            <w:bottom w:val="none" w:sz="0" w:space="0" w:color="auto"/>
            <w:right w:val="none" w:sz="0" w:space="0" w:color="auto"/>
          </w:divBdr>
        </w:div>
        <w:div w:id="18834462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hyperlink" Target="https://www.gdos.gov.pl/dane-i-metadane" TargetMode="External"/><Relationship Id="rId42" Type="http://schemas.openxmlformats.org/officeDocument/2006/relationships/image" Target="media/image17.emf"/><Relationship Id="rId47" Type="http://schemas.openxmlformats.org/officeDocument/2006/relationships/hyperlink" Target="http://www.bdl.stat.gov.pl" TargetMode="External"/><Relationship Id="rId63" Type="http://schemas.openxmlformats.org/officeDocument/2006/relationships/image" Target="media/image22.png"/><Relationship Id="rId68" Type="http://schemas.openxmlformats.org/officeDocument/2006/relationships/hyperlink" Target="https://powietrze.gios.gov.pl/pjp/rwms/publications/card/1426" TargetMode="External"/><Relationship Id="rId16" Type="http://schemas.openxmlformats.org/officeDocument/2006/relationships/footer" Target="footer5.xml"/><Relationship Id="rId11" Type="http://schemas.openxmlformats.org/officeDocument/2006/relationships/footer" Target="footer2.xml"/><Relationship Id="rId24" Type="http://schemas.openxmlformats.org/officeDocument/2006/relationships/hyperlink" Target="https://www.gdos.gov.pl/dane-i-metadane" TargetMode="External"/><Relationship Id="rId32" Type="http://schemas.openxmlformats.org/officeDocument/2006/relationships/image" Target="media/image12.emf"/><Relationship Id="rId37" Type="http://schemas.openxmlformats.org/officeDocument/2006/relationships/image" Target="media/image15.tiff"/><Relationship Id="rId40" Type="http://schemas.openxmlformats.org/officeDocument/2006/relationships/image" Target="media/image16.emf"/><Relationship Id="rId45" Type="http://schemas.openxmlformats.org/officeDocument/2006/relationships/hyperlink" Target="http://www.bdl.stat.gov.pl" TargetMode="External"/><Relationship Id="rId53" Type="http://schemas.openxmlformats.org/officeDocument/2006/relationships/hyperlink" Target="https://powietrze.gios.gov.pl/pjp/rwms/publications/card/1426" TargetMode="External"/><Relationship Id="rId58" Type="http://schemas.openxmlformats.org/officeDocument/2006/relationships/hyperlink" Target="https://powietrze.gios.gov.pl/pjp/rwms/publications/card/1426" TargetMode="External"/><Relationship Id="rId66" Type="http://schemas.openxmlformats.org/officeDocument/2006/relationships/hyperlink" Target="https://powietrze.gios.gov.pl/pjp/rwms/publications/card/1426" TargetMode="External"/><Relationship Id="rId74" Type="http://schemas.openxmlformats.org/officeDocument/2006/relationships/image" Target="media/image29.tmp"/><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1.png"/><Relationship Id="rId19" Type="http://schemas.openxmlformats.org/officeDocument/2006/relationships/hyperlink" Target="https://stat.gov.pl/" TargetMode="External"/><Relationship Id="rId14" Type="http://schemas.openxmlformats.org/officeDocument/2006/relationships/footer" Target="footer3.xml"/><Relationship Id="rId22" Type="http://schemas.openxmlformats.org/officeDocument/2006/relationships/hyperlink" Target="https://www.gdos.gov.pl/dane-i-metadane" TargetMode="External"/><Relationship Id="rId27" Type="http://schemas.openxmlformats.org/officeDocument/2006/relationships/image" Target="media/image9.tiff"/><Relationship Id="rId30" Type="http://schemas.openxmlformats.org/officeDocument/2006/relationships/hyperlink" Target="http://epsh.pgi.gov.pl/epsh/" TargetMode="External"/><Relationship Id="rId35" Type="http://schemas.openxmlformats.org/officeDocument/2006/relationships/image" Target="media/image14.tiff"/><Relationship Id="rId43" Type="http://schemas.openxmlformats.org/officeDocument/2006/relationships/hyperlink" Target="http://www.bdl.stat.gov.pl" TargetMode="External"/><Relationship Id="rId48" Type="http://schemas.openxmlformats.org/officeDocument/2006/relationships/hyperlink" Target="http://www.bdl.stat.gov.pl" TargetMode="External"/><Relationship Id="rId56" Type="http://schemas.openxmlformats.org/officeDocument/2006/relationships/hyperlink" Target="https://powietrze.gios.gov.pl/pjp/rwms/publications/card/1426" TargetMode="External"/><Relationship Id="rId64" Type="http://schemas.openxmlformats.org/officeDocument/2006/relationships/image" Target="media/image23.emf"/><Relationship Id="rId69" Type="http://schemas.openxmlformats.org/officeDocument/2006/relationships/image" Target="media/image26.png"/><Relationship Id="rId77" Type="http://schemas.openxmlformats.org/officeDocument/2006/relationships/chart" Target="charts/chart4.xml"/><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tiff"/><Relationship Id="rId25" Type="http://schemas.openxmlformats.org/officeDocument/2006/relationships/chart" Target="charts/chart1.xml"/><Relationship Id="rId33" Type="http://schemas.openxmlformats.org/officeDocument/2006/relationships/hyperlink" Target="http://www.bdl.stat.gov.pl" TargetMode="External"/><Relationship Id="rId38" Type="http://schemas.openxmlformats.org/officeDocument/2006/relationships/hyperlink" Target="https://www.gios.gov.pl/images/dokumenty/pms/monitoring_wod/Klasyfikacja_i_ocena_stanu_RW_2014-2019_monitoring_2.xlsx" TargetMode="External"/><Relationship Id="rId46" Type="http://schemas.openxmlformats.org/officeDocument/2006/relationships/image" Target="media/image18.emf"/><Relationship Id="rId59" Type="http://schemas.openxmlformats.org/officeDocument/2006/relationships/hyperlink" Target="https://powietrze.gios.gov.pl/pjp/rwms/publications/card/1426" TargetMode="External"/><Relationship Id="rId67" Type="http://schemas.openxmlformats.org/officeDocument/2006/relationships/image" Target="media/image25.png"/><Relationship Id="rId20" Type="http://schemas.openxmlformats.org/officeDocument/2006/relationships/image" Target="media/image7.png"/><Relationship Id="rId41" Type="http://schemas.openxmlformats.org/officeDocument/2006/relationships/hyperlink" Target="http://www.bdl.stat.gov.pl" TargetMode="External"/><Relationship Id="rId54" Type="http://schemas.openxmlformats.org/officeDocument/2006/relationships/hyperlink" Target="https://powietrze.gios.gov.pl/pjp/rwms/publications/card/1426" TargetMode="External"/><Relationship Id="rId62" Type="http://schemas.openxmlformats.org/officeDocument/2006/relationships/hyperlink" Target="https://powietrze.gios.gov.pl/pjp/rwms/publications/card/1426" TargetMode="External"/><Relationship Id="rId70" Type="http://schemas.openxmlformats.org/officeDocument/2006/relationships/image" Target="media/image27.png"/><Relationship Id="rId75" Type="http://schemas.openxmlformats.org/officeDocument/2006/relationships/image" Target="media/image30.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8.png"/><Relationship Id="rId28" Type="http://schemas.openxmlformats.org/officeDocument/2006/relationships/image" Target="media/image10.tiff"/><Relationship Id="rId36" Type="http://schemas.openxmlformats.org/officeDocument/2006/relationships/hyperlink" Target="https://mjwp.gios.gov.pl/" TargetMode="External"/><Relationship Id="rId49" Type="http://schemas.openxmlformats.org/officeDocument/2006/relationships/image" Target="media/image19.emf"/><Relationship Id="rId57" Type="http://schemas.openxmlformats.org/officeDocument/2006/relationships/hyperlink" Target="https://powietrze.gios.gov.pl/pjp/rwms/publications/card/1426" TargetMode="External"/><Relationship Id="rId10" Type="http://schemas.openxmlformats.org/officeDocument/2006/relationships/footer" Target="footer1.xml"/><Relationship Id="rId31" Type="http://schemas.openxmlformats.org/officeDocument/2006/relationships/hyperlink" Target="http://epsh.pgi.gov.pl/epsh/" TargetMode="External"/><Relationship Id="rId44" Type="http://schemas.openxmlformats.org/officeDocument/2006/relationships/hyperlink" Target="http://www.bdl.stat.gov.pl" TargetMode="External"/><Relationship Id="rId52" Type="http://schemas.openxmlformats.org/officeDocument/2006/relationships/hyperlink" Target="https://powietrze.gios.gov.pl/pjp/rwms/publications/card/1426" TargetMode="External"/><Relationship Id="rId60" Type="http://schemas.openxmlformats.org/officeDocument/2006/relationships/hyperlink" Target="https://powietrze.gios.gov.pl/pjp/rwms/publications/card/1426" TargetMode="External"/><Relationship Id="rId65" Type="http://schemas.openxmlformats.org/officeDocument/2006/relationships/image" Target="media/image24.emf"/><Relationship Id="rId73" Type="http://schemas.openxmlformats.org/officeDocument/2006/relationships/hyperlink" Target="https://powietrze.gios.gov.pl/pjp/rwms/publications/card/1426"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emf"/><Relationship Id="rId18" Type="http://schemas.openxmlformats.org/officeDocument/2006/relationships/image" Target="media/image6.png"/><Relationship Id="rId39" Type="http://schemas.openxmlformats.org/officeDocument/2006/relationships/hyperlink" Target="http://www.bdl.stat.gov.pl" TargetMode="External"/><Relationship Id="rId34" Type="http://schemas.openxmlformats.org/officeDocument/2006/relationships/image" Target="media/image13.tiff"/><Relationship Id="rId50" Type="http://schemas.openxmlformats.org/officeDocument/2006/relationships/hyperlink" Target="http://www.bdl.stat.gov.pl" TargetMode="External"/><Relationship Id="rId55" Type="http://schemas.openxmlformats.org/officeDocument/2006/relationships/hyperlink" Target="https://powietrze.gios.gov.pl/pjp/rwms/publications/card/1426" TargetMode="External"/><Relationship Id="rId76" Type="http://schemas.openxmlformats.org/officeDocument/2006/relationships/chart" Target="charts/chart3.xml"/><Relationship Id="rId7" Type="http://schemas.openxmlformats.org/officeDocument/2006/relationships/endnotes" Target="endnotes.xml"/><Relationship Id="rId71" Type="http://schemas.openxmlformats.org/officeDocument/2006/relationships/hyperlink" Target="https://powietrze.gios.gov.pl/pjp/rwms/publications/card/1426" TargetMode="External"/><Relationship Id="rId2" Type="http://schemas.openxmlformats.org/officeDocument/2006/relationships/numbering" Target="numbering.xml"/><Relationship Id="rId29" Type="http://schemas.openxmlformats.org/officeDocument/2006/relationships/image" Target="media/image11.tiff"/></Relationships>
</file>

<file path=word/_rels/footnotes.xml.rels><?xml version="1.0" encoding="UTF-8" standalone="yes"?>
<Relationships xmlns="http://schemas.openxmlformats.org/package/2006/relationships"><Relationship Id="rId8" Type="http://schemas.openxmlformats.org/officeDocument/2006/relationships/hyperlink" Target="http://www.wolinpn.pl/" TargetMode="External"/><Relationship Id="rId13" Type="http://schemas.openxmlformats.org/officeDocument/2006/relationships/hyperlink" Target="http://www.rzgw.szczecin.pl/komunalne-i-przemyslowe" TargetMode="External"/><Relationship Id="rId18" Type="http://schemas.openxmlformats.org/officeDocument/2006/relationships/hyperlink" Target="https://www.gios.gov.pl/chemizm_gleb/" TargetMode="External"/><Relationship Id="rId26" Type="http://schemas.openxmlformats.org/officeDocument/2006/relationships/hyperlink" Target="https://www.prezydent.pl/aktualnosci/polityka-historyczna/pomniki-historii/obiekty-wpisane-na-liste-pomnikow-historii/podzial-wg-wojewodztw" TargetMode="External"/><Relationship Id="rId3" Type="http://schemas.openxmlformats.org/officeDocument/2006/relationships/hyperlink" Target="https://prawo.ug.edu.pl/sites/default/files/_nodes/strona-pia/33461/files/79_ochrona_ciaglosci.pdf" TargetMode="External"/><Relationship Id="rId21" Type="http://schemas.openxmlformats.org/officeDocument/2006/relationships/hyperlink" Target="https://wios.szczecin.pl/bip/files/C6A90FB140574816BF3714D9D70B12EF/02.%20Og%C3%B3lna%20charakterystyka%20wojew%C3%B3dztwa%20zachodniopomorskiego.pdf" TargetMode="External"/><Relationship Id="rId7" Type="http://schemas.openxmlformats.org/officeDocument/2006/relationships/hyperlink" Target="http://dpn.pl/przyroda" TargetMode="External"/><Relationship Id="rId12" Type="http://schemas.openxmlformats.org/officeDocument/2006/relationships/hyperlink" Target="http://www.bdl.stat.gov.pl" TargetMode="External"/><Relationship Id="rId17" Type="http://schemas.openxmlformats.org/officeDocument/2006/relationships/hyperlink" Target="https://powietrze.gios.gov.pl/pjp/rwms/publications/card/1426" TargetMode="External"/><Relationship Id="rId25" Type="http://schemas.openxmlformats.org/officeDocument/2006/relationships/hyperlink" Target="https://ibdo.pl/baza-instalacji/" TargetMode="External"/><Relationship Id="rId2" Type="http://schemas.openxmlformats.org/officeDocument/2006/relationships/hyperlink" Target="http://www.wolinpn.pl/index.php?page=42&amp;artykul=76" TargetMode="External"/><Relationship Id="rId16" Type="http://schemas.openxmlformats.org/officeDocument/2006/relationships/hyperlink" Target="https://powietrze.gios.gov.pl/pjp/rwms/publications/card/1426" TargetMode="External"/><Relationship Id="rId20" Type="http://schemas.openxmlformats.org/officeDocument/2006/relationships/hyperlink" Target="http://eregion.wzp.pl/obszary/krajobraz-i-gleby" TargetMode="External"/><Relationship Id="rId1" Type="http://schemas.openxmlformats.org/officeDocument/2006/relationships/hyperlink" Target="https://www.lasy.gov.pl/pl/informacje/publikacje/informacje-statystyczne-i-raporty/raport-o-stanie-lasow/raport-o-lasach-2020.pdf/@@download/file/raport_o_stanie_lasow_w_Polsce_2020_NET.pdf" TargetMode="External"/><Relationship Id="rId6" Type="http://schemas.openxmlformats.org/officeDocument/2006/relationships/hyperlink" Target="http://planochrony.dpn.pl/" TargetMode="External"/><Relationship Id="rId11" Type="http://schemas.openxmlformats.org/officeDocument/2006/relationships/hyperlink" Target="https://apgw.gov.pl/pl/news/show/445" TargetMode="External"/><Relationship Id="rId24" Type="http://schemas.openxmlformats.org/officeDocument/2006/relationships/hyperlink" Target="http://eregion.wzp.pl/obszary/zloza-naturalnych-surowcow-energetycznych" TargetMode="External"/><Relationship Id="rId5" Type="http://schemas.openxmlformats.org/officeDocument/2006/relationships/hyperlink" Target="https://ec.europa.eu/environment/pubs/pdf/factsheets/Eco-systems%20goods%20and%20Services/Ecosystem_PL.pdf" TargetMode="External"/><Relationship Id="rId15" Type="http://schemas.openxmlformats.org/officeDocument/2006/relationships/hyperlink" Target="https://powietrze.gios.gov.pl/pjp/rwms/publications/card/1426" TargetMode="External"/><Relationship Id="rId23" Type="http://schemas.openxmlformats.org/officeDocument/2006/relationships/hyperlink" Target="https://powietrze.gios.gov.pl/pjp/rwms/publications/card/1426" TargetMode="External"/><Relationship Id="rId10" Type="http://schemas.openxmlformats.org/officeDocument/2006/relationships/hyperlink" Target="http://eregion.wzp.pl/obszary/stan-i-ochrona-srodowiska" TargetMode="External"/><Relationship Id="rId19" Type="http://schemas.openxmlformats.org/officeDocument/2006/relationships/hyperlink" Target="http://szczecin.rdos.gov.pl/zachodniopomorskie-w-liczbach" TargetMode="External"/><Relationship Id="rId4" Type="http://schemas.openxmlformats.org/officeDocument/2006/relationships/hyperlink" Target="https://ec.europa.eu/environment/eia/pdf/SEA%20Guidance.pdf" TargetMode="External"/><Relationship Id="rId9" Type="http://schemas.openxmlformats.org/officeDocument/2006/relationships/hyperlink" Target="https://natura2000.gdos.gov.pl/cele-tworzenia-obszarow-przedmiot-ochrony" TargetMode="External"/><Relationship Id="rId14" Type="http://schemas.openxmlformats.org/officeDocument/2006/relationships/hyperlink" Target="http://www.bdl.stat.gov.pl" TargetMode="External"/><Relationship Id="rId22" Type="http://schemas.openxmlformats.org/officeDocument/2006/relationships/hyperlink" Target="http://bip.um.szczecin.pl/UMSzczecinFiles/file/BPPM/STUDIUM/PROGNOZA_CALOSC.pdf" TargetMode="External"/><Relationship Id="rId27" Type="http://schemas.openxmlformats.org/officeDocument/2006/relationships/hyperlink" Target="https://dane.gov.pl/dataset/154,zestawienie-danych-statystycznych-z-rejestru-zabytkow-zabytki-nieruchome"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F:\PRACA%20ZDALNA_ARCHIWUM_28062021\2022_SOOS_ZACHODNIOPOMORSKIE\Rozdzia&#322;%204\odpady\wykresy_odpady%20komunalne_zagospdorowanie.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F:\PRACA%20ZDALNA_ARCHIWUM_28062021\2022_SOOS_ZACHODNIOPOMORSKIE\Rozdzia&#322;%204\dzikie%20wysypiska.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832174103237096"/>
          <c:y val="5.1400554097404488E-2"/>
          <c:w val="0.69545951305849796"/>
          <c:h val="0.8326195683872849"/>
        </c:manualLayout>
      </c:layout>
      <c:barChart>
        <c:barDir val="col"/>
        <c:grouping val="clustered"/>
        <c:varyColors val="0"/>
        <c:ser>
          <c:idx val="1"/>
          <c:order val="0"/>
          <c:tx>
            <c:strRef>
              <c:f>Arkusz1!$A$32</c:f>
              <c:strCache>
                <c:ptCount val="1"/>
                <c:pt idx="0">
                  <c:v>mieszkańcy w wieku 80 lat i więcej</c:v>
                </c:pt>
              </c:strCache>
            </c:strRef>
          </c:tx>
          <c:invertIfNegative val="0"/>
          <c:cat>
            <c:numRef>
              <c:f>Arkusz1!$C$30:$H$30</c:f>
              <c:numCache>
                <c:formatCode>General</c:formatCode>
                <c:ptCount val="6"/>
                <c:pt idx="0">
                  <c:v>2010</c:v>
                </c:pt>
                <c:pt idx="1">
                  <c:v>2012</c:v>
                </c:pt>
                <c:pt idx="2">
                  <c:v>2014</c:v>
                </c:pt>
                <c:pt idx="3">
                  <c:v>2016</c:v>
                </c:pt>
                <c:pt idx="4">
                  <c:v>2018</c:v>
                </c:pt>
                <c:pt idx="5">
                  <c:v>2020</c:v>
                </c:pt>
              </c:numCache>
            </c:numRef>
          </c:cat>
          <c:val>
            <c:numRef>
              <c:f>Arkusz1!$C$33:$H$33</c:f>
              <c:numCache>
                <c:formatCode>General</c:formatCode>
                <c:ptCount val="6"/>
                <c:pt idx="0">
                  <c:v>52955</c:v>
                </c:pt>
                <c:pt idx="1">
                  <c:v>58158</c:v>
                </c:pt>
                <c:pt idx="2">
                  <c:v>62411</c:v>
                </c:pt>
                <c:pt idx="3">
                  <c:v>66359</c:v>
                </c:pt>
                <c:pt idx="4">
                  <c:v>68261</c:v>
                </c:pt>
                <c:pt idx="5">
                  <c:v>68615</c:v>
                </c:pt>
              </c:numCache>
            </c:numRef>
          </c:val>
          <c:extLst>
            <c:ext xmlns:c16="http://schemas.microsoft.com/office/drawing/2014/chart" uri="{C3380CC4-5D6E-409C-BE32-E72D297353CC}">
              <c16:uniqueId val="{00000000-B610-49B8-B8C2-6C2A75BBCE99}"/>
            </c:ext>
          </c:extLst>
        </c:ser>
        <c:dLbls>
          <c:showLegendKey val="0"/>
          <c:showVal val="0"/>
          <c:showCatName val="0"/>
          <c:showSerName val="0"/>
          <c:showPercent val="0"/>
          <c:showBubbleSize val="0"/>
        </c:dLbls>
        <c:gapWidth val="150"/>
        <c:axId val="455639808"/>
        <c:axId val="455641344"/>
      </c:barChart>
      <c:catAx>
        <c:axId val="455639808"/>
        <c:scaling>
          <c:orientation val="minMax"/>
        </c:scaling>
        <c:delete val="0"/>
        <c:axPos val="b"/>
        <c:numFmt formatCode="General" sourceLinked="0"/>
        <c:majorTickMark val="out"/>
        <c:minorTickMark val="none"/>
        <c:tickLblPos val="nextTo"/>
        <c:crossAx val="455641344"/>
        <c:crosses val="autoZero"/>
        <c:auto val="1"/>
        <c:lblAlgn val="ctr"/>
        <c:lblOffset val="100"/>
        <c:noMultiLvlLbl val="0"/>
      </c:catAx>
      <c:valAx>
        <c:axId val="455641344"/>
        <c:scaling>
          <c:orientation val="minMax"/>
        </c:scaling>
        <c:delete val="0"/>
        <c:axPos val="l"/>
        <c:majorGridlines/>
        <c:numFmt formatCode="General" sourceLinked="1"/>
        <c:majorTickMark val="out"/>
        <c:minorTickMark val="none"/>
        <c:tickLblPos val="nextTo"/>
        <c:crossAx val="455639808"/>
        <c:crosses val="autoZero"/>
        <c:crossBetween val="between"/>
      </c:valAx>
    </c:plotArea>
    <c:legend>
      <c:legendPos val="r"/>
      <c:layout>
        <c:manualLayout>
          <c:xMode val="edge"/>
          <c:yMode val="edge"/>
          <c:x val="0.81820516093961049"/>
          <c:y val="0.33316631380459716"/>
          <c:w val="0.17181374164003557"/>
          <c:h val="0.38502697579469264"/>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21"/>
    </mc:Choice>
    <mc:Fallback>
      <c:style val="2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Arkusz1!$B$5</c:f>
              <c:strCache>
                <c:ptCount val="1"/>
                <c:pt idx="0">
                  <c:v>ogółem</c:v>
                </c:pt>
              </c:strCache>
            </c:strRef>
          </c:tx>
          <c:invertIfNegative val="0"/>
          <c:dLbls>
            <c:dLbl>
              <c:idx val="1"/>
              <c:layout>
                <c:manualLayout>
                  <c:x val="0"/>
                  <c:y val="-1.85185185185185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0CD-4D67-865A-2AFD707A5E4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Arkusz1!$C$4:$F$4</c:f>
              <c:numCache>
                <c:formatCode>General</c:formatCode>
                <c:ptCount val="4"/>
                <c:pt idx="0">
                  <c:v>2010</c:v>
                </c:pt>
                <c:pt idx="1">
                  <c:v>2015</c:v>
                </c:pt>
                <c:pt idx="2">
                  <c:v>2019</c:v>
                </c:pt>
                <c:pt idx="3">
                  <c:v>2020</c:v>
                </c:pt>
              </c:numCache>
            </c:numRef>
          </c:cat>
          <c:val>
            <c:numRef>
              <c:f>Arkusz1!$C$5:$F$5</c:f>
              <c:numCache>
                <c:formatCode>General</c:formatCode>
                <c:ptCount val="4"/>
                <c:pt idx="0">
                  <c:v>173.8</c:v>
                </c:pt>
                <c:pt idx="1">
                  <c:v>222.5</c:v>
                </c:pt>
                <c:pt idx="2">
                  <c:v>508.9</c:v>
                </c:pt>
                <c:pt idx="3">
                  <c:v>452.8</c:v>
                </c:pt>
              </c:numCache>
            </c:numRef>
          </c:val>
          <c:extLst>
            <c:ext xmlns:c16="http://schemas.microsoft.com/office/drawing/2014/chart" uri="{C3380CC4-5D6E-409C-BE32-E72D297353CC}">
              <c16:uniqueId val="{00000001-D0CD-4D67-865A-2AFD707A5E45}"/>
            </c:ext>
          </c:extLst>
        </c:ser>
        <c:ser>
          <c:idx val="1"/>
          <c:order val="1"/>
          <c:tx>
            <c:strRef>
              <c:f>Arkusz1!$B$6</c:f>
              <c:strCache>
                <c:ptCount val="1"/>
                <c:pt idx="0">
                  <c:v>w tym podmioty wyspecjalizowane badawczo</c:v>
                </c:pt>
              </c:strCache>
            </c:strRef>
          </c:tx>
          <c:invertIfNegative val="0"/>
          <c:dLbls>
            <c:dLbl>
              <c:idx val="0"/>
              <c:layout>
                <c:manualLayout>
                  <c:x val="8.3333333333333367E-3"/>
                  <c:y val="1.85185185185185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0CD-4D67-865A-2AFD707A5E45}"/>
                </c:ext>
              </c:extLst>
            </c:dLbl>
            <c:dLbl>
              <c:idx val="1"/>
              <c:layout>
                <c:manualLayout>
                  <c:x val="1.111111111111112E-2"/>
                  <c:y val="1.8518518518518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0CD-4D67-865A-2AFD707A5E45}"/>
                </c:ext>
              </c:extLst>
            </c:dLbl>
            <c:dLbl>
              <c:idx val="2"/>
              <c:layout>
                <c:manualLayout>
                  <c:x val="1.111111111111112E-2"/>
                  <c:y val="1.388888888888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0CD-4D67-865A-2AFD707A5E45}"/>
                </c:ext>
              </c:extLst>
            </c:dLbl>
            <c:dLbl>
              <c:idx val="3"/>
              <c:layout>
                <c:manualLayout>
                  <c:x val="1.666666666666667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0CD-4D67-865A-2AFD707A5E4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Arkusz1!$C$6:$F$6</c:f>
              <c:numCache>
                <c:formatCode>General</c:formatCode>
                <c:ptCount val="4"/>
                <c:pt idx="1">
                  <c:v>143.30000000000001</c:v>
                </c:pt>
                <c:pt idx="2">
                  <c:v>319.5</c:v>
                </c:pt>
                <c:pt idx="3">
                  <c:v>302.89999999999986</c:v>
                </c:pt>
              </c:numCache>
            </c:numRef>
          </c:val>
          <c:extLst>
            <c:ext xmlns:c16="http://schemas.microsoft.com/office/drawing/2014/chart" uri="{C3380CC4-5D6E-409C-BE32-E72D297353CC}">
              <c16:uniqueId val="{00000006-D0CD-4D67-865A-2AFD707A5E45}"/>
            </c:ext>
          </c:extLst>
        </c:ser>
        <c:dLbls>
          <c:showLegendKey val="0"/>
          <c:showVal val="1"/>
          <c:showCatName val="0"/>
          <c:showSerName val="0"/>
          <c:showPercent val="0"/>
          <c:showBubbleSize val="0"/>
        </c:dLbls>
        <c:gapWidth val="75"/>
        <c:overlap val="-21"/>
        <c:axId val="448040320"/>
        <c:axId val="448042112"/>
      </c:barChart>
      <c:catAx>
        <c:axId val="448040320"/>
        <c:scaling>
          <c:orientation val="minMax"/>
        </c:scaling>
        <c:delete val="0"/>
        <c:axPos val="b"/>
        <c:numFmt formatCode="General" sourceLinked="1"/>
        <c:majorTickMark val="none"/>
        <c:minorTickMark val="none"/>
        <c:tickLblPos val="nextTo"/>
        <c:crossAx val="448042112"/>
        <c:crosses val="autoZero"/>
        <c:auto val="1"/>
        <c:lblAlgn val="ctr"/>
        <c:lblOffset val="100"/>
        <c:noMultiLvlLbl val="0"/>
      </c:catAx>
      <c:valAx>
        <c:axId val="448042112"/>
        <c:scaling>
          <c:orientation val="minMax"/>
        </c:scaling>
        <c:delete val="0"/>
        <c:axPos val="l"/>
        <c:title>
          <c:tx>
            <c:rich>
              <a:bodyPr rot="-5400000" vert="horz"/>
              <a:lstStyle/>
              <a:p>
                <a:pPr>
                  <a:defRPr/>
                </a:pPr>
                <a:r>
                  <a:rPr lang="pl-PL"/>
                  <a:t>mln PLN</a:t>
                </a:r>
              </a:p>
            </c:rich>
          </c:tx>
          <c:overlay val="0"/>
        </c:title>
        <c:numFmt formatCode="General" sourceLinked="1"/>
        <c:majorTickMark val="none"/>
        <c:minorTickMark val="none"/>
        <c:tickLblPos val="nextTo"/>
        <c:crossAx val="448040320"/>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5596262272771462"/>
          <c:y val="5.5041280960720543E-2"/>
          <c:w val="0.52413656626255056"/>
          <c:h val="0.81460268429668703"/>
        </c:manualLayout>
      </c:layout>
      <c:barChart>
        <c:barDir val="bar"/>
        <c:grouping val="clustered"/>
        <c:varyColors val="0"/>
        <c:ser>
          <c:idx val="0"/>
          <c:order val="0"/>
          <c:tx>
            <c:strRef>
              <c:f>TABLICA!$C$9</c:f>
              <c:strCache>
                <c:ptCount val="1"/>
                <c:pt idx="0">
                  <c:v>2017</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TABLICA!$B$10:$B$14</c:f>
              <c:strCache>
                <c:ptCount val="5"/>
                <c:pt idx="0">
                  <c:v>masa zebranych odpadów komunalnych przeznaczonych do recyklingu</c:v>
                </c:pt>
                <c:pt idx="1">
                  <c:v>masa zebranych odpadów komunalnych przeznaczonych do kompostowania lub fermentacji</c:v>
                </c:pt>
                <c:pt idx="2">
                  <c:v>masa zebranych odpadów komunalnych przeznaczonych do przekształcania termicznego z odzyskiem energii</c:v>
                </c:pt>
                <c:pt idx="3">
                  <c:v>masa zebranych odpadów komunalnych przeznaczonych do przekształcania termicznego bez odzysku energii</c:v>
                </c:pt>
                <c:pt idx="4">
                  <c:v>masa zebranych odpadów komunalnych przeznaczonych do składowania</c:v>
                </c:pt>
              </c:strCache>
            </c:strRef>
          </c:cat>
          <c:val>
            <c:numRef>
              <c:f>TABLICA!$C$10:$C$14</c:f>
              <c:numCache>
                <c:formatCode>#,##0.0</c:formatCode>
                <c:ptCount val="5"/>
                <c:pt idx="0">
                  <c:v>188968.8</c:v>
                </c:pt>
                <c:pt idx="1">
                  <c:v>39894.699999999997</c:v>
                </c:pt>
                <c:pt idx="2">
                  <c:v>118448.4</c:v>
                </c:pt>
                <c:pt idx="3">
                  <c:v>1.2</c:v>
                </c:pt>
                <c:pt idx="4">
                  <c:v>291220.59999999998</c:v>
                </c:pt>
              </c:numCache>
            </c:numRef>
          </c:val>
          <c:extLst>
            <c:ext xmlns:c16="http://schemas.microsoft.com/office/drawing/2014/chart" uri="{C3380CC4-5D6E-409C-BE32-E72D297353CC}">
              <c16:uniqueId val="{00000000-B62A-4F29-9294-8E81FF5304B3}"/>
            </c:ext>
          </c:extLst>
        </c:ser>
        <c:ser>
          <c:idx val="1"/>
          <c:order val="1"/>
          <c:tx>
            <c:strRef>
              <c:f>TABLICA!$D$9</c:f>
              <c:strCache>
                <c:ptCount val="1"/>
                <c:pt idx="0">
                  <c:v>2018</c:v>
                </c:pt>
              </c:strCache>
            </c:strRef>
          </c:tx>
          <c:invertIfNegative val="0"/>
          <c:cat>
            <c:strRef>
              <c:f>TABLICA!$B$10:$B$14</c:f>
              <c:strCache>
                <c:ptCount val="5"/>
                <c:pt idx="0">
                  <c:v>masa zebranych odpadów komunalnych przeznaczonych do recyklingu</c:v>
                </c:pt>
                <c:pt idx="1">
                  <c:v>masa zebranych odpadów komunalnych przeznaczonych do kompostowania lub fermentacji</c:v>
                </c:pt>
                <c:pt idx="2">
                  <c:v>masa zebranych odpadów komunalnych przeznaczonych do przekształcania termicznego z odzyskiem energii</c:v>
                </c:pt>
                <c:pt idx="3">
                  <c:v>masa zebranych odpadów komunalnych przeznaczonych do przekształcania termicznego bez odzysku energii</c:v>
                </c:pt>
                <c:pt idx="4">
                  <c:v>masa zebranych odpadów komunalnych przeznaczonych do składowania</c:v>
                </c:pt>
              </c:strCache>
            </c:strRef>
          </c:cat>
          <c:val>
            <c:numRef>
              <c:f>TABLICA!$D$10:$D$14</c:f>
              <c:numCache>
                <c:formatCode>#,##0.0</c:formatCode>
                <c:ptCount val="5"/>
                <c:pt idx="0">
                  <c:v>171634.9</c:v>
                </c:pt>
                <c:pt idx="1">
                  <c:v>43509.3</c:v>
                </c:pt>
                <c:pt idx="2">
                  <c:v>239833.9</c:v>
                </c:pt>
                <c:pt idx="3">
                  <c:v>0.9</c:v>
                </c:pt>
                <c:pt idx="4">
                  <c:v>187007.7</c:v>
                </c:pt>
              </c:numCache>
            </c:numRef>
          </c:val>
          <c:extLst>
            <c:ext xmlns:c16="http://schemas.microsoft.com/office/drawing/2014/chart" uri="{C3380CC4-5D6E-409C-BE32-E72D297353CC}">
              <c16:uniqueId val="{00000001-B62A-4F29-9294-8E81FF5304B3}"/>
            </c:ext>
          </c:extLst>
        </c:ser>
        <c:ser>
          <c:idx val="2"/>
          <c:order val="2"/>
          <c:tx>
            <c:strRef>
              <c:f>TABLICA!$E$9</c:f>
              <c:strCache>
                <c:ptCount val="1"/>
                <c:pt idx="0">
                  <c:v>2019</c:v>
                </c:pt>
              </c:strCache>
            </c:strRef>
          </c:tx>
          <c:invertIfNegative val="0"/>
          <c:cat>
            <c:strRef>
              <c:f>TABLICA!$B$10:$B$14</c:f>
              <c:strCache>
                <c:ptCount val="5"/>
                <c:pt idx="0">
                  <c:v>masa zebranych odpadów komunalnych przeznaczonych do recyklingu</c:v>
                </c:pt>
                <c:pt idx="1">
                  <c:v>masa zebranych odpadów komunalnych przeznaczonych do kompostowania lub fermentacji</c:v>
                </c:pt>
                <c:pt idx="2">
                  <c:v>masa zebranych odpadów komunalnych przeznaczonych do przekształcania termicznego z odzyskiem energii</c:v>
                </c:pt>
                <c:pt idx="3">
                  <c:v>masa zebranych odpadów komunalnych przeznaczonych do przekształcania termicznego bez odzysku energii</c:v>
                </c:pt>
                <c:pt idx="4">
                  <c:v>masa zebranych odpadów komunalnych przeznaczonych do składowania</c:v>
                </c:pt>
              </c:strCache>
            </c:strRef>
          </c:cat>
          <c:val>
            <c:numRef>
              <c:f>TABLICA!$E$10:$E$14</c:f>
              <c:numCache>
                <c:formatCode>#,##0.0</c:formatCode>
                <c:ptCount val="5"/>
                <c:pt idx="0">
                  <c:v>172744.9</c:v>
                </c:pt>
                <c:pt idx="1">
                  <c:v>55203</c:v>
                </c:pt>
                <c:pt idx="2">
                  <c:v>287051.40000000002</c:v>
                </c:pt>
                <c:pt idx="3">
                  <c:v>9.6999999999999993</c:v>
                </c:pt>
                <c:pt idx="4">
                  <c:v>148428.29999999999</c:v>
                </c:pt>
              </c:numCache>
            </c:numRef>
          </c:val>
          <c:extLst>
            <c:ext xmlns:c16="http://schemas.microsoft.com/office/drawing/2014/chart" uri="{C3380CC4-5D6E-409C-BE32-E72D297353CC}">
              <c16:uniqueId val="{00000002-B62A-4F29-9294-8E81FF5304B3}"/>
            </c:ext>
          </c:extLst>
        </c:ser>
        <c:ser>
          <c:idx val="3"/>
          <c:order val="3"/>
          <c:tx>
            <c:strRef>
              <c:f>TABLICA!$F$9</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TABLICA!$B$10:$B$14</c:f>
              <c:strCache>
                <c:ptCount val="5"/>
                <c:pt idx="0">
                  <c:v>masa zebranych odpadów komunalnych przeznaczonych do recyklingu</c:v>
                </c:pt>
                <c:pt idx="1">
                  <c:v>masa zebranych odpadów komunalnych przeznaczonych do kompostowania lub fermentacji</c:v>
                </c:pt>
                <c:pt idx="2">
                  <c:v>masa zebranych odpadów komunalnych przeznaczonych do przekształcania termicznego z odzyskiem energii</c:v>
                </c:pt>
                <c:pt idx="3">
                  <c:v>masa zebranych odpadów komunalnych przeznaczonych do przekształcania termicznego bez odzysku energii</c:v>
                </c:pt>
                <c:pt idx="4">
                  <c:v>masa zebranych odpadów komunalnych przeznaczonych do składowania</c:v>
                </c:pt>
              </c:strCache>
            </c:strRef>
          </c:cat>
          <c:val>
            <c:numRef>
              <c:f>TABLICA!$F$10:$F$14</c:f>
              <c:numCache>
                <c:formatCode>#,##0.0</c:formatCode>
                <c:ptCount val="5"/>
                <c:pt idx="0">
                  <c:v>147923.4</c:v>
                </c:pt>
                <c:pt idx="1">
                  <c:v>71130.2</c:v>
                </c:pt>
                <c:pt idx="2">
                  <c:v>228427.7</c:v>
                </c:pt>
                <c:pt idx="3">
                  <c:v>3.1</c:v>
                </c:pt>
                <c:pt idx="4">
                  <c:v>199494.7</c:v>
                </c:pt>
              </c:numCache>
            </c:numRef>
          </c:val>
          <c:extLst>
            <c:ext xmlns:c16="http://schemas.microsoft.com/office/drawing/2014/chart" uri="{C3380CC4-5D6E-409C-BE32-E72D297353CC}">
              <c16:uniqueId val="{00000003-B62A-4F29-9294-8E81FF5304B3}"/>
            </c:ext>
          </c:extLst>
        </c:ser>
        <c:dLbls>
          <c:showLegendKey val="0"/>
          <c:showVal val="0"/>
          <c:showCatName val="0"/>
          <c:showSerName val="0"/>
          <c:showPercent val="0"/>
          <c:showBubbleSize val="0"/>
        </c:dLbls>
        <c:gapWidth val="150"/>
        <c:axId val="467404672"/>
        <c:axId val="467406208"/>
      </c:barChart>
      <c:catAx>
        <c:axId val="467404672"/>
        <c:scaling>
          <c:orientation val="minMax"/>
        </c:scaling>
        <c:delete val="0"/>
        <c:axPos val="l"/>
        <c:numFmt formatCode="General" sourceLinked="0"/>
        <c:majorTickMark val="out"/>
        <c:minorTickMark val="none"/>
        <c:tickLblPos val="nextTo"/>
        <c:txPr>
          <a:bodyPr/>
          <a:lstStyle/>
          <a:p>
            <a:pPr>
              <a:defRPr sz="900"/>
            </a:pPr>
            <a:endParaRPr lang="pl-PL"/>
          </a:p>
        </c:txPr>
        <c:crossAx val="467406208"/>
        <c:crosses val="autoZero"/>
        <c:auto val="1"/>
        <c:lblAlgn val="r"/>
        <c:lblOffset val="100"/>
        <c:noMultiLvlLbl val="0"/>
      </c:catAx>
      <c:valAx>
        <c:axId val="467406208"/>
        <c:scaling>
          <c:orientation val="minMax"/>
        </c:scaling>
        <c:delete val="0"/>
        <c:axPos val="b"/>
        <c:majorGridlines/>
        <c:numFmt formatCode="#,##0.0" sourceLinked="1"/>
        <c:majorTickMark val="out"/>
        <c:minorTickMark val="none"/>
        <c:tickLblPos val="nextTo"/>
        <c:crossAx val="467404672"/>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TABLICA!$H$11</c:f>
              <c:strCache>
                <c:ptCount val="1"/>
                <c:pt idx="0">
                  <c:v>odpady komunalne zebrane podczas likwidacji dzikich wysypisk - w ciągu roku [t]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TABLICA!$I$10:$L$10</c:f>
              <c:strCache>
                <c:ptCount val="4"/>
                <c:pt idx="0">
                  <c:v>2017</c:v>
                </c:pt>
                <c:pt idx="1">
                  <c:v>2018</c:v>
                </c:pt>
                <c:pt idx="2">
                  <c:v>2019</c:v>
                </c:pt>
                <c:pt idx="3">
                  <c:v>2020</c:v>
                </c:pt>
              </c:strCache>
            </c:strRef>
          </c:cat>
          <c:val>
            <c:numRef>
              <c:f>TABLICA!$I$11:$L$11</c:f>
              <c:numCache>
                <c:formatCode>#,##0.0</c:formatCode>
                <c:ptCount val="4"/>
                <c:pt idx="0">
                  <c:v>1021</c:v>
                </c:pt>
                <c:pt idx="1">
                  <c:v>894.4</c:v>
                </c:pt>
                <c:pt idx="2">
                  <c:v>670.9</c:v>
                </c:pt>
                <c:pt idx="3">
                  <c:v>892.1</c:v>
                </c:pt>
              </c:numCache>
            </c:numRef>
          </c:val>
          <c:extLst>
            <c:ext xmlns:c16="http://schemas.microsoft.com/office/drawing/2014/chart" uri="{C3380CC4-5D6E-409C-BE32-E72D297353CC}">
              <c16:uniqueId val="{00000000-9688-45CA-8FF4-A7D21D8BF131}"/>
            </c:ext>
          </c:extLst>
        </c:ser>
        <c:ser>
          <c:idx val="1"/>
          <c:order val="1"/>
          <c:tx>
            <c:strRef>
              <c:f>TABLICA!$H$12</c:f>
              <c:strCache>
                <c:ptCount val="1"/>
                <c:pt idx="0">
                  <c:v>Dzikie wysypiska zlikwidowane [szt.]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TABLICA!$I$10:$L$10</c:f>
              <c:strCache>
                <c:ptCount val="4"/>
                <c:pt idx="0">
                  <c:v>2017</c:v>
                </c:pt>
                <c:pt idx="1">
                  <c:v>2018</c:v>
                </c:pt>
                <c:pt idx="2">
                  <c:v>2019</c:v>
                </c:pt>
                <c:pt idx="3">
                  <c:v>2020</c:v>
                </c:pt>
              </c:strCache>
            </c:strRef>
          </c:cat>
          <c:val>
            <c:numRef>
              <c:f>TABLICA!$I$12:$L$12</c:f>
              <c:numCache>
                <c:formatCode>#,##0</c:formatCode>
                <c:ptCount val="4"/>
                <c:pt idx="0">
                  <c:v>580</c:v>
                </c:pt>
                <c:pt idx="1">
                  <c:v>595</c:v>
                </c:pt>
                <c:pt idx="2">
                  <c:v>467</c:v>
                </c:pt>
                <c:pt idx="3">
                  <c:v>633</c:v>
                </c:pt>
              </c:numCache>
            </c:numRef>
          </c:val>
          <c:extLst>
            <c:ext xmlns:c16="http://schemas.microsoft.com/office/drawing/2014/chart" uri="{C3380CC4-5D6E-409C-BE32-E72D297353CC}">
              <c16:uniqueId val="{00000001-9688-45CA-8FF4-A7D21D8BF131}"/>
            </c:ext>
          </c:extLst>
        </c:ser>
        <c:ser>
          <c:idx val="2"/>
          <c:order val="2"/>
          <c:tx>
            <c:strRef>
              <c:f>TABLICA!$H$13</c:f>
              <c:strCache>
                <c:ptCount val="1"/>
                <c:pt idx="0">
                  <c:v>Dzikie wysypiska istniejące [szt.]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TABLICA!$I$10:$L$10</c:f>
              <c:strCache>
                <c:ptCount val="4"/>
                <c:pt idx="0">
                  <c:v>2017</c:v>
                </c:pt>
                <c:pt idx="1">
                  <c:v>2018</c:v>
                </c:pt>
                <c:pt idx="2">
                  <c:v>2019</c:v>
                </c:pt>
                <c:pt idx="3">
                  <c:v>2020</c:v>
                </c:pt>
              </c:strCache>
            </c:strRef>
          </c:cat>
          <c:val>
            <c:numRef>
              <c:f>TABLICA!$I$13:$L$13</c:f>
              <c:numCache>
                <c:formatCode>#,##0</c:formatCode>
                <c:ptCount val="4"/>
                <c:pt idx="0">
                  <c:v>133</c:v>
                </c:pt>
                <c:pt idx="1">
                  <c:v>124</c:v>
                </c:pt>
                <c:pt idx="2">
                  <c:v>117</c:v>
                </c:pt>
                <c:pt idx="3">
                  <c:v>75</c:v>
                </c:pt>
              </c:numCache>
            </c:numRef>
          </c:val>
          <c:extLst>
            <c:ext xmlns:c16="http://schemas.microsoft.com/office/drawing/2014/chart" uri="{C3380CC4-5D6E-409C-BE32-E72D297353CC}">
              <c16:uniqueId val="{00000002-9688-45CA-8FF4-A7D21D8BF131}"/>
            </c:ext>
          </c:extLst>
        </c:ser>
        <c:dLbls>
          <c:showLegendKey val="0"/>
          <c:showVal val="0"/>
          <c:showCatName val="0"/>
          <c:showSerName val="0"/>
          <c:showPercent val="0"/>
          <c:showBubbleSize val="0"/>
        </c:dLbls>
        <c:gapWidth val="150"/>
        <c:axId val="582368256"/>
        <c:axId val="582509312"/>
      </c:barChart>
      <c:catAx>
        <c:axId val="582368256"/>
        <c:scaling>
          <c:orientation val="minMax"/>
        </c:scaling>
        <c:delete val="0"/>
        <c:axPos val="l"/>
        <c:numFmt formatCode="General" sourceLinked="0"/>
        <c:majorTickMark val="out"/>
        <c:minorTickMark val="none"/>
        <c:tickLblPos val="nextTo"/>
        <c:crossAx val="582509312"/>
        <c:crosses val="autoZero"/>
        <c:auto val="1"/>
        <c:lblAlgn val="ctr"/>
        <c:lblOffset val="100"/>
        <c:noMultiLvlLbl val="0"/>
      </c:catAx>
      <c:valAx>
        <c:axId val="582509312"/>
        <c:scaling>
          <c:orientation val="minMax"/>
        </c:scaling>
        <c:delete val="0"/>
        <c:axPos val="b"/>
        <c:majorGridlines/>
        <c:numFmt formatCode="#,##0.0" sourceLinked="1"/>
        <c:majorTickMark val="out"/>
        <c:minorTickMark val="none"/>
        <c:tickLblPos val="nextTo"/>
        <c:crossAx val="582368256"/>
        <c:crosses val="autoZero"/>
        <c:crossBetween val="between"/>
      </c:valAx>
    </c:plotArea>
    <c:legend>
      <c:legendPos val="r"/>
      <c:overlay val="0"/>
    </c:legend>
    <c:plotVisOnly val="1"/>
    <c:dispBlanksAs val="gap"/>
    <c:showDLblsOverMax val="0"/>
  </c:chart>
  <c:externalData r:id="rId2">
    <c:autoUpdate val="0"/>
  </c:externalData>
</c:chartSpace>
</file>

<file path=word/theme/_rels/theme1.xml.rels><?xml version="1.0" encoding="UTF-8" standalone="yes"?>
<Relationships xmlns="http://schemas.openxmlformats.org/package/2006/relationships"><Relationship Id="rId1" Type="http://schemas.openxmlformats.org/officeDocument/2006/relationships/image" Target="../media/image32.jpeg"/></Relationships>
</file>

<file path=word/theme/_rels/themeOverride3.xml.rels><?xml version="1.0" encoding="UTF-8" standalone="yes"?>
<Relationships xmlns="http://schemas.openxmlformats.org/package/2006/relationships"><Relationship Id="rId1" Type="http://schemas.openxmlformats.org/officeDocument/2006/relationships/image" Target="../media/image31.jpeg"/></Relationships>
</file>

<file path=word/theme/_rels/themeOverride4.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Equity">
  <a:themeElements>
    <a:clrScheme name="Zielony">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Zielony">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Override>
</file>

<file path=word/theme/themeOverride4.xml><?xml version="1.0" encoding="utf-8"?>
<a:themeOverride xmlns:a="http://schemas.openxmlformats.org/drawingml/2006/main">
  <a:clrScheme name="Zielony">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7FC7AC-7B81-4175-86FD-8A333E09F3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102388</Words>
  <Characters>614334</Characters>
  <Application>Microsoft Office Word</Application>
  <DocSecurity>0</DocSecurity>
  <Lines>5119</Lines>
  <Paragraphs>1430</Paragraphs>
  <ScaleCrop>false</ScaleCrop>
  <HeadingPairs>
    <vt:vector size="2" baseType="variant">
      <vt:variant>
        <vt:lpstr>Tytuł</vt:lpstr>
      </vt:variant>
      <vt:variant>
        <vt:i4>1</vt:i4>
      </vt:variant>
    </vt:vector>
  </HeadingPairs>
  <TitlesOfParts>
    <vt:vector size="1" baseType="lpstr">
      <vt:lpstr>PROGNOZA ODDZIAŁYWANIA NA ŚRODOWISKO PROJEKTU PROGRAMU FUNDUSZE EUROPEJSKIE dla Pomorza Zachodniego 2021-2027</vt:lpstr>
    </vt:vector>
  </TitlesOfParts>
  <Company/>
  <LinksUpToDate>false</LinksUpToDate>
  <CharactersWithSpaces>715292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PROGNOZA ODDZIAŁYWANIA NA ŚRODOWISKO PROJEKTU PROGRAMU FUNDUSZE EUROPEJSKIE dla Pomorza Zachodniego 2021-2027</dc:title>
  <dc:creator>Mariusz Kruczek</dc:creator>
  <cp:lastModifiedBy>Wanda Skorupska</cp:lastModifiedBy>
  <cp:revision>2</cp:revision>
  <dcterms:created xsi:type="dcterms:W3CDTF">2022-06-06T13:45:00Z</dcterms:created>
  <dcterms:modified xsi:type="dcterms:W3CDTF">2022-06-06T13:45:00Z</dcterms:modified>
</cp:coreProperties>
</file>