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423"/>
        <w:gridCol w:w="1711"/>
        <w:gridCol w:w="987"/>
        <w:gridCol w:w="3835"/>
        <w:gridCol w:w="3834"/>
        <w:gridCol w:w="2434"/>
        <w:gridCol w:w="1273"/>
      </w:tblGrid>
      <w:tr w:rsidR="00750A2C" w:rsidRPr="00726F09" w:rsidTr="0024293A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Pr="00844494" w:rsidRDefault="00750A2C" w:rsidP="00726F09">
            <w:pPr>
              <w:spacing w:after="0" w:line="240" w:lineRule="auto"/>
              <w:rPr>
                <w:rFonts w:eastAsia="Times New Roman" w:cs="Times New Roman"/>
                <w:color w:val="92D050"/>
                <w:sz w:val="18"/>
                <w:szCs w:val="18"/>
                <w:lang w:eastAsia="pl-PL"/>
              </w:rPr>
            </w:pPr>
          </w:p>
        </w:tc>
        <w:tc>
          <w:tcPr>
            <w:tcW w:w="69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0" w:name="RANGE!B1"/>
            <w:r>
              <w:rPr>
                <w:rFonts w:eastAsia="Times New Roman" w:cs="Times New Roman"/>
                <w:b/>
                <w:bCs/>
                <w:noProof/>
                <w:color w:val="000000"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3DDFAF1A" wp14:editId="494D586E">
                  <wp:simplePos x="0" y="0"/>
                  <wp:positionH relativeFrom="column">
                    <wp:posOffset>1230808</wp:posOffset>
                  </wp:positionH>
                  <wp:positionV relativeFrom="paragraph">
                    <wp:posOffset>-1651</wp:posOffset>
                  </wp:positionV>
                  <wp:extent cx="6570345" cy="779780"/>
                  <wp:effectExtent l="0" t="0" r="1905" b="1270"/>
                  <wp:wrapNone/>
                  <wp:docPr id="1" name="Obraz 1" descr="efsi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i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0345" cy="77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EC38A4" w:rsidRDefault="00EC38A4" w:rsidP="0086598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50A2C" w:rsidRPr="00726F09" w:rsidRDefault="00750A2C" w:rsidP="00F73B5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Rejestr zmian </w:t>
            </w:r>
            <w:r w:rsidR="00FD14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regulaminu konkursu</w:t>
            </w: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- </w:t>
            </w:r>
            <w:bookmarkEnd w:id="0"/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RPZP.0</w:t>
            </w:r>
            <w:r w:rsidR="00DD0F4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 w:rsidR="003E70A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.00-IP.01-32-K0</w:t>
            </w:r>
            <w:r w:rsidR="00F73B5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/1</w:t>
            </w:r>
            <w:r w:rsidR="00F73B5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750A2C" w:rsidRPr="00726F09" w:rsidTr="0024293A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:rsidR="00EC38A4" w:rsidRPr="00726F09" w:rsidRDefault="00EC38A4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750A2C" w:rsidRPr="00726F09" w:rsidTr="0024293A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Dokument, w którym wprowadzane są zmiany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Rozdział / Podrozdział / Punkt /Strona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0B4CC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Dotychczasow</w:t>
            </w:r>
            <w:r w:rsidR="000B4CC0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a </w:t>
            </w: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wersja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Aktualna wersja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Uzasadnienie zmian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hideMark/>
          </w:tcPr>
          <w:p w:rsidR="00750A2C" w:rsidRPr="00726F09" w:rsidRDefault="00750A2C" w:rsidP="00726F0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26F0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Data wprowadzenia zmiany</w:t>
            </w:r>
          </w:p>
        </w:tc>
      </w:tr>
      <w:tr w:rsidR="00D23D38" w:rsidRPr="001C6FEE" w:rsidTr="0024293A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23D38" w:rsidRPr="00726F09" w:rsidRDefault="00D23D38" w:rsidP="00D23D3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D38" w:rsidRDefault="00D23D38" w:rsidP="00D23D38">
            <w:pPr>
              <w:pStyle w:val="Akapitzlist"/>
              <w:numPr>
                <w:ilvl w:val="0"/>
                <w:numId w:val="24"/>
              </w:numPr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D38" w:rsidRPr="00F76D36" w:rsidRDefault="00D23D38" w:rsidP="00D23D38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D38" w:rsidRPr="00F76D36" w:rsidRDefault="00D23D38" w:rsidP="00D23D38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5</w:t>
            </w:r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D38" w:rsidRPr="004F00C8" w:rsidRDefault="00D23D38" w:rsidP="00D23D38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15.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Maksymalna moc instalowanych elektrowni/jednostek to: 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D38" w:rsidRDefault="00D23D38" w:rsidP="00D23D3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15.</w:t>
            </w:r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ab/>
              <w:t>Maksymalna moc instalowanych elektrowni/jednostek to</w:t>
            </w:r>
            <w:r w:rsidRPr="004F00C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  <w:t>3</w:t>
            </w:r>
            <w:r w:rsidRPr="004F00C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:  </w:t>
            </w:r>
          </w:p>
          <w:p w:rsidR="00D23D38" w:rsidRPr="007D74D9" w:rsidRDefault="00D23D38" w:rsidP="00D23D38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F00C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  <w:t>3</w:t>
            </w:r>
            <w:r w:rsidRPr="004F00C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Na potrzeby konkursu limity maksymalnych mocy instalacji dotyczyć będą instalacji przyłączonych w jednym miejscu przyłączenia.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D38" w:rsidRDefault="00D23D38" w:rsidP="00D23D38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3D38" w:rsidRDefault="00D23D38" w:rsidP="00D23D38">
            <w:r w:rsidRPr="0079437D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1C6FEE" w:rsidTr="0024293A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726F09" w:rsidRDefault="00396C00" w:rsidP="00396C0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6745D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E505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E505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Podrozdział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1E505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1E505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2. </w:t>
            </w:r>
            <w:r w:rsidRPr="00396C0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Nabór wniosków o dofinansowanie w ramach niniejszego konkursu trwa od 31 stycznia 2017 r. do </w:t>
            </w:r>
            <w:r w:rsidRPr="00396C0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28 lutego 2017 r.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1E5054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2. </w:t>
            </w:r>
            <w:r w:rsidRPr="00396C0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Nabór wniosków o dofinansowanie w ramach niniejszego konkursu trwa od 31 stycznia 2017 r. do </w:t>
            </w:r>
            <w:r w:rsidRPr="00396C0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14 marca 2017 r.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B0247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 uwagi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na zakres wprowadzonych do regulaminu zmian </w:t>
            </w:r>
            <w:r w:rsidRPr="000B0247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Instytucja Pośrednicząca podjęła decyzję o przedłużeniu naboru.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396C0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1C6FEE" w:rsidTr="0024293A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726F09" w:rsidRDefault="00396C00" w:rsidP="00396C0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6745D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E505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E505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Podrozdział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1E505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1E505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396C0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396C0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Skuteczne złożenie wniosku o dofinansowanie polega na opublikowaniu wniosku o  dofinansowanie w wersji elektronicznej w LSI w terminie naboru projektów oraz doręczeniu do IOK pisemnego wniosku o przyznanie pomocy, podpisanego zgodnie z zasadami reprezentacji obowiązującymi wnioskodawcę, zawierającego właściwą sumę kontrolną, najpóźniej w terminie 7 dni od dnia zakończenia naboru wniosków o dofinasowanie, tj. do dnia </w:t>
            </w:r>
            <w:r w:rsidRPr="00396C0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7 marca 2017 r.</w:t>
            </w:r>
            <w:r w:rsidRPr="00396C0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Wniosek  o  dofinansowanie  wraz  z  załącznikami  należy  opublikować najpóźniej do godziny 15:00 ostatniego dnia trwania naboru tj. </w:t>
            </w:r>
            <w:r w:rsidRPr="00396C0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28 lutego 2017 r.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CC0897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4. </w:t>
            </w:r>
            <w:r w:rsidR="00396C00" w:rsidRPr="00396C0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Skuteczne złożenie wniosku o dofinansowanie polega na opublikowaniu wniosku o  dofinansowanie w wersji elektronicznej w LSI w terminie naboru projektów oraz doręczeniu do IOK pisemnego wniosku o przyznanie pomocy, podpisanego zgodnie z zasadami reprezentacji obowiązującymi wnioskodawcę, zawierającego właściwą sumę kontrolną, najpóźniej w terminie 7 dni od dnia zakończenia naboru wniosków o dofinasowanie, tj. do dnia </w:t>
            </w:r>
            <w:r w:rsidR="00396C00" w:rsidRPr="00396C0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21 marca 2017 </w:t>
            </w:r>
            <w:r w:rsidR="00396C00" w:rsidRPr="00396C0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r. Wniosek  o  dofinansowanie  wraz  z  załącznikami  należy  opublikować najpóźniej do godziny 15:00 ostatniego dnia trwania naboru tj. </w:t>
            </w:r>
            <w:r w:rsidR="00396C00" w:rsidRPr="00396C0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14 marca 2017 r.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B0247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 uwagi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na zakres wprowadzonych do reg</w:t>
            </w:r>
            <w:bookmarkStart w:id="1" w:name="_GoBack"/>
            <w:bookmarkEnd w:id="1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ulaminu zmian </w:t>
            </w:r>
            <w:r w:rsidRPr="000B0247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Instytucja Pośrednicząca podjęła decyzję o przedłużeniu naboru.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396C0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1C6FEE" w:rsidTr="0024293A">
        <w:trPr>
          <w:trHeight w:val="7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726F09" w:rsidRDefault="00396C00" w:rsidP="00396C00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F76D36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F00C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F76D36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1.1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3 lit. b) pkt 2)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F272D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Jeżeli wnioskodawca (podmiot inny niż </w:t>
            </w:r>
            <w:proofErr w:type="spellStart"/>
            <w:r w:rsidRPr="009F272D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jst</w:t>
            </w:r>
            <w:proofErr w:type="spellEnd"/>
            <w:r w:rsidRPr="009F272D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) działa krócej niż 2 lata, to przedkłada dokumenty za okres prowadzonej działalności. W przypadku gdy podmiot nie dysponuje dokumentami za ostatni zamknięty rok, powinien sporządzić dokumenty za ostatni zamknięty okres np. kwartał lub miesiąc.</w:t>
            </w:r>
          </w:p>
          <w:p w:rsidR="00396C00" w:rsidRPr="00F76D36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3E70A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Aby potwierdzić sytuację finansową wnioskodawcy na potrzeby oceny kryterium wykonalności 3.2 „Zdolność finansowa” suma bilansowa musi kształtować się co najmniej na poziomie 100% wartości wkładu własnego dla projektu.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D74D9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Jednym z warunków potwierdzających sytuację finansową wnioskodawcy, na potrzeby oceny kryterium wykonalności 3.2 „Zdolność finansowa” jest wykazanie, że suma bilansowa wnikająca z bilansu za ostatni zamknięty 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rok obrotowy</w:t>
            </w:r>
            <w:r w:rsidRPr="007D74D9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kształtuje się co najmniej na poziomie 100% wartości wkładu własnego</w:t>
            </w:r>
            <w:r w:rsidRPr="00A07835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  <w:t>9</w:t>
            </w:r>
            <w:r w:rsidRPr="007D74D9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 dla projektu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C121D3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(dotyczy to wnioskodawców zobowiązanych do sporządzania sprawozdań finansowych).</w:t>
            </w:r>
            <w:r w:rsidRPr="007D74D9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Ocena warunku przeprowadzona będzie w oparciu o dokumenty stanowiące Załącznik nr 2 wniosku o dofinansowanie (Dokumenty potwierdzające sytuację finansową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7D74D9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wnioskodawcy).</w:t>
            </w:r>
            <w:r w:rsidRPr="007A271C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396C00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F33EF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>Warunek dotyczący sumy bilansowej można zastąpić promesą kredytową dołączoną na etapie składania wniosku o dofina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>n</w:t>
            </w:r>
            <w:r w:rsidRPr="00FF33EF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u w:val="single"/>
                <w:lang w:eastAsia="pl-PL"/>
              </w:rPr>
              <w:t>sowanie,</w:t>
            </w:r>
            <w:r w:rsidRPr="005864FC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zawierającą informację o pozytywnej ocenie zdolności kredytowej wnioskodawcy</w:t>
            </w:r>
            <w:r w:rsidRPr="00534EB9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 w:rsidRPr="00C50983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Promesa musi być wydana przez instytucję finansową nad którą nadzór sprawuje Komisja Nadzoru Finansowego</w:t>
            </w:r>
            <w:r w:rsidRPr="005864FC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oraz opiewać co najmniej na kwotę wkładu własnego i wydatków niekwalifikowalnych.</w:t>
            </w:r>
          </w:p>
          <w:p w:rsidR="00396C00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F272D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Jeżeli wnioskodawca 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(</w:t>
            </w:r>
            <w:r w:rsidRPr="002B07A0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podmiot 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inny niż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jst</w:t>
            </w:r>
            <w:proofErr w:type="spellEnd"/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) </w:t>
            </w:r>
            <w:r w:rsidRPr="009F272D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działa krócej niż 2 lata, to przedkłada dokumenty za okres prowadzonej działalności.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9F272D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Jeśli nowopowstałe podmioty są zobowiązane do sporządzania sprawozdań finansowych, a nie dysponują dokumentami za ostatni zamknięty rok, powinny sporządzić sprawozdanie za ostatni zamknięty okres np. kwartał lub miesiąc. </w:t>
            </w:r>
          </w:p>
          <w:p w:rsidR="00396C00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:rsidR="00396C00" w:rsidRPr="00B75A18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</w:pPr>
            <w:r w:rsidRPr="00A07835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  <w:t>9</w:t>
            </w:r>
            <w:r w:rsidRPr="007B23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wkład własny – środki finansowe zabezpieczone przez beneficjenta, które zostaną przeznaczone na pokrycie wydatków kwalifikowalnych i nie zostaną beneficjentowi przekazane w formie dofinansowania (różnica między kwotą wydatków kwalifikowalnych a kwotą dofinansowania przekazaną beneficjentowi, zgodnie ze stopą dofinansowania dla projektu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- w</w:t>
            </w:r>
            <w:r w:rsidRPr="008E3634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ynikająca z punktu G.6 wniosku o dofinansowanie</w:t>
            </w:r>
            <w:r w:rsidRPr="007B23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);</w:t>
            </w:r>
          </w:p>
          <w:p w:rsidR="00396C00" w:rsidRPr="00F76D36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F76D36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79437D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F76D36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F76D36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1.1</w:t>
            </w:r>
            <w:r w:rsidRPr="00F76D3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3 lit. k)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5A7061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A706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Załącznik 16. Kalkulator pomocy horyzontalnej (jeśli dotyczy). </w:t>
            </w:r>
          </w:p>
          <w:p w:rsidR="00396C00" w:rsidRPr="000E7723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A706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Załącznik 16. Kalkulator pomocy horyzontalnej (jeśli dotyczy)</w:t>
            </w:r>
            <w:r w:rsidRPr="00A0783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  <w:t>10</w:t>
            </w:r>
            <w:r w:rsidRPr="005A706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</w:p>
          <w:p w:rsidR="00396C00" w:rsidRPr="005A7061" w:rsidRDefault="00396C00" w:rsidP="00396C0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07835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  <w:t>10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5A706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Kalkulator pomocy horyzontalnej został opracowany na podstawie raportu pt. „Analiza w celu określenia nakładów inwestycyjnych instalacji referencyjnych dla projektów </w:t>
            </w:r>
            <w:proofErr w:type="spellStart"/>
            <w:r w:rsidRPr="005A706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oze</w:t>
            </w:r>
            <w:proofErr w:type="spellEnd"/>
            <w:r w:rsidRPr="005A706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i wysokosprawnej kogeneracji do obliczenia kwoty pomocy inwestycyjnej”, który dostępny jest na stronie </w:t>
            </w:r>
            <w:hyperlink r:id="rId9" w:history="1">
              <w:r w:rsidRPr="00E12948">
                <w:rPr>
                  <w:rStyle w:val="Hipercze"/>
                  <w:rFonts w:eastAsia="Times New Roman" w:cs="Times New Roman"/>
                  <w:b/>
                  <w:bCs/>
                  <w:sz w:val="18"/>
                  <w:szCs w:val="18"/>
                  <w:lang w:eastAsia="pl-PL"/>
                </w:rPr>
                <w:t>https://www.wfos.szczecin.pl/1450</w:t>
              </w:r>
            </w:hyperlink>
            <w:r w:rsidRPr="005A706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8E3634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Dane zawarte w raporcie stanowić mogą </w:t>
            </w:r>
            <w:r w:rsidRPr="008E3634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podstawę oceny poprawności określenia kwot niezbędnych do wyliczenia pomocy 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horyzontalnej.</w:t>
            </w:r>
            <w:r w:rsidRPr="005A706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E4CA7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79437D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E4CA7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2.1.1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lit.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</w:t>
            </w:r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)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d) </w:t>
            </w:r>
            <w:r w:rsidRPr="006C7C4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Załącznik 6.4. Promesa kredytowa/leasingowa (jeśli dotyczy) - Dokumenty potwierdzające zewnętrzne źródła finansowania; </w:t>
            </w:r>
          </w:p>
          <w:p w:rsidR="00396C00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  <w:p w:rsidR="00396C00" w:rsidRPr="008E4CA7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przypadku wnioskodawców, którzy przewidują finansowanie projektu z kredytu lub leasingu należy załączyć promesę kredytową/leasingową zawierającą informację o pozytywnej ocenie zdolności kredytowej wnioskodawcy. Promesy bez ww. informacji nie będą uznane przez IOK jako dokumenty potwierdzające zewnętrzne źródła finansowania </w:t>
            </w:r>
            <w:r w:rsidRPr="000E7723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na potrzeby oceny kryterium wykonalności 3.2 „Zdolność finansowa”.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C7C4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d)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6C7C4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Załącznik 6.4. Promesa kredytowa/leasingowa (jeśli dotyczy)</w:t>
            </w:r>
            <w:r w:rsidRPr="00A0783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  <w:t>11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6C7C49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- Dokumenty potwierdzające zewnętrzne źródła finansowania; </w:t>
            </w:r>
          </w:p>
          <w:p w:rsidR="00396C00" w:rsidRDefault="00396C00" w:rsidP="00396C0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86A2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 przypadku wnioskodawców, którzy przewidują finansowanie projektu z kredytu lub leasingu należy załączyć promesę kredytową/leasingową</w:t>
            </w:r>
            <w:r w:rsidRPr="00C5098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C50983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wydaną przez instytucję finansową nad którą nadzór sprawuje Komisja Nadzoru Finansowego</w:t>
            </w:r>
            <w:r w:rsidRPr="00C5098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886A2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zawierającą informację o pozytywnej ocenie zdolności kredytowej wnioskodawcy. Promesy bez ww. informacji nie będą uznane przez IOK jako dokumenty potwierdzające zewnętrzne źródła finansowania. </w:t>
            </w:r>
          </w:p>
          <w:p w:rsidR="00396C00" w:rsidRPr="006C7C49" w:rsidRDefault="00396C00" w:rsidP="00396C00">
            <w:pPr>
              <w:jc w:val="both"/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07835">
              <w:rPr>
                <w:b/>
                <w:sz w:val="18"/>
                <w:vertAlign w:val="superscript"/>
              </w:rPr>
              <w:t>11</w:t>
            </w:r>
            <w:r w:rsidRPr="006C7C49">
              <w:rPr>
                <w:b/>
                <w:sz w:val="18"/>
              </w:rPr>
              <w:t xml:space="preserve"> Z zastrzeżeniem zapisów podrozdziału 2.1.1 ust. 3 lit. b) pkt 2).  </w:t>
            </w:r>
          </w:p>
          <w:p w:rsidR="00396C00" w:rsidRPr="008E4CA7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E4CA7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79437D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E4CA7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0E7723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4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0E7723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D00E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4.</w:t>
            </w:r>
            <w:r w:rsidRPr="005D00E2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W fazie oceny dopuszczalności</w:t>
            </w:r>
            <w:r w:rsidRPr="005D00E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5D00E2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nie ma możliwości poprawy dokumentacji aplikacyjnej.</w:t>
            </w:r>
            <w:r w:rsidRPr="005D00E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5D00E2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IOK przewiduje jedynie</w:t>
            </w:r>
            <w:r w:rsidRPr="005D00E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możliwość złożenia wyjaśnień przez wnioskodawcę w terminie 7 dni, liczonych od dnia następnego po doręczeniu wezwania.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0E7723" w:rsidRDefault="00396C00" w:rsidP="00396C00">
            <w:pPr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4. </w:t>
            </w:r>
            <w:r w:rsidRPr="005D00E2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 ramach fazy oceny dopuszczalności przewidziana jest jednokrotna możliwość uzupełnienia/korekty wniosku o dofinansowanie projektu w zakresie błędów lub brakujących informacji w celu potwierdzenia spełnienia kryteriów. W ramach tej fazy IOK przewiduje również</w:t>
            </w:r>
            <w:r w:rsidRPr="005D00E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możliwość złożenia wyjaśnień przez wnioskodawcę w terminie 7 dni, liczonych od dnia następnego po doręczeniu wezwania.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0E7723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Zwiększenie możliwości poprawy wniosku o dofinasowanie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20115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</w:t>
            </w: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6745D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Regulamin konkursu</w:t>
            </w:r>
            <w:r w:rsidRPr="004663F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 3.8 ust. 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EC4978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1. Na wniosek IOK, w przypadku </w:t>
            </w:r>
            <w:r w:rsidRPr="00EC49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stwierdzenia,</w:t>
            </w: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EC49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 ramach fazy oceny kryteriów administracyjności i  wykonalności, braków lub błędów w zakresie przedstawionych informacji</w:t>
            </w: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, wniosek może zostać skierowany do uzupełnienia/korekty w wyznaczonym terminie. </w:t>
            </w:r>
          </w:p>
          <w:p w:rsidR="00396C00" w:rsidRPr="00EC4978" w:rsidRDefault="00396C00" w:rsidP="00396C00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EC4978" w:rsidRDefault="00396C00" w:rsidP="00396C00"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1. Na wniosek IOK, w przypadku </w:t>
            </w:r>
            <w:r w:rsidRPr="00EC49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stwierdzenia braków lub błędów w zakresie przedstawionych informacji, w ramach fazy oceny kryteriów dopuszczalności lub fazy oceny kryteriów administracyjności i  wykonalności,</w:t>
            </w: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wniosek może zostać skierowany do uzupełnienia/korekty w wyznaczonym terminie.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0E7723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711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Zwiększenie możliwości poprawy wniosku o dofinasowanie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</w:t>
            </w: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D562D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Regulamin konkursu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3.8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EC4978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3. Uzupełnienie/korekta wniosku o dofinansowanie projektu w zakresie błędów lub brakujących informacji odbywa się</w:t>
            </w:r>
            <w:r w:rsidRPr="00EC49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jednokrotnie </w:t>
            </w:r>
            <w:r w:rsidRPr="00EC49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na etapie oceny</w:t>
            </w: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w celu potwierdzenia spełnienia kryteriów.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EC4978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3. Uzupełnienie/korekta wniosku o dofinansowanie projektu w zakresie błędów lub brakujących informacji odbywa się </w:t>
            </w:r>
            <w:r w:rsidRPr="00EC49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jednokrotnie </w:t>
            </w:r>
            <w:r w:rsidRPr="00EC49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w ramach danej fazy oceny</w:t>
            </w: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w celu potwierdzenia spełnienia kryteriów.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0E7723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46711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Zwiększenie możliwości poprawy wniosku o dofinasowanie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20115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</w:t>
            </w:r>
            <w:r w:rsidRPr="00EC49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D562D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Regulamin konkursu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6</w:t>
            </w: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</w:t>
            </w: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4 lit. c)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D7DA1" w:rsidRDefault="00396C00" w:rsidP="00396C00"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3) </w:t>
            </w:r>
            <w:r w:rsidRPr="003D7DA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przygotowanie terenu pod budowę </w:t>
            </w:r>
            <w:r w:rsidRPr="003D7DA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(zagospodarowanie terenu budowy wraz z budową tymczasowych obiektów);</w:t>
            </w:r>
          </w:p>
          <w:p w:rsidR="00396C00" w:rsidRPr="003D7DA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3D7DA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4) prace zabezpieczające teren objęty projektem;</w:t>
            </w:r>
          </w:p>
          <w:p w:rsidR="00396C00" w:rsidRPr="0060202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5) </w:t>
            </w:r>
            <w:r w:rsidRPr="003D7DA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przebudowa/budowa infrastruktury technicznej: przewodów lub urządzeń wodociągowych, kanalizacyjnych, ciepłowniczych, elektrycznych, gazowych, telekomunikacyjnych lub włókien światłowodowych na potrzeby przebudowy/budowy;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D7DA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3D7DA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3) przygotowanie terenu pod budowę </w:t>
            </w:r>
            <w:r w:rsidRPr="003D7DA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(zagospodarowanie i zabezpieczenie terenu budowy wraz z budową tymczasowych obiektów);</w:t>
            </w:r>
          </w:p>
          <w:p w:rsidR="00396C00" w:rsidRPr="0060202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</w:t>
            </w:r>
            <w:r w:rsidRPr="003D7DA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) przebudowa/budowa infrastruktury technicznej: przewodów lub urządzeń wodociągowych, kanalizacyjnych, ciepłowniczych, elektrycznych, gazowych, telekomunikacyjnych lub włókien światłowodowych na potrzeby przebudowy/budowy;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0E7723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8D562D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Regulamin konkursu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Podrozdz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6</w:t>
            </w: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3.1</w:t>
            </w:r>
            <w:r w:rsidRPr="0060202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6 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3D7DA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6.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3D7DA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Wysokość kosztów kwalifikowalnych musi być obligatoryjnie obliczona przy użyciu „Kalkulatora pomocy horyzontalnej” stanowiącego załącznik nr 9 do niniejszego regulaminu. 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D7DA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3D7DA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6.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3D7DA1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Wysokość kosztów kwalifikowalnych musi być obligatoryjnie obliczona przy użyciu „Kalkulatora pomocy horyzontalnej” stanowiącego załącznik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nr 9 do niniejszego regulaminu </w:t>
            </w:r>
            <w:r w:rsidRPr="003D7DA1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- nie dotyczy to kosztów kwalifikowalnych przedstawionych na podstawie ust. 5 lit. a)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860F4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- z uwzględnieniem zasad dotyczących projektów generujących dochód opisanych w podrozdziale 6.5 regulaminu.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0E7723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Regulamin konkursu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odrozdz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6.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3.2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D7DA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7. W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ysokość kosztów kwalifikowalnych musi być obligatoryjnie obliczona przy użyciu „Kalkulatora pomocy horyzontalnej” stanowiącego załącznik nr 9 do niniejszego regulaminu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D7DA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7. 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Wysokość kosztów kwalifikowalnych musi być obligatoryjnie obliczona przy użyciu „Kalkulatora pomocy horyzontalnej” stanowiącego załącznik nr 9 do niniejszego regulaminu</w:t>
            </w:r>
            <w:r w:rsidRPr="00860F4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,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860F46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z uwzględnieniem zasad dotyczących projektów generujących dochód opisanych w podrozdziale 6.5 regulaminu.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7B2378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Regulamin konkursu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odrozdz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6.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5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1. </w:t>
            </w:r>
            <w:r w:rsidRPr="00A3567E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Wysokość wydatków kwalifikowalnych w ramach projektu winna uwzględniać dochód generowany przez projekt w trakcie realizacji oraz po jego ukończeniu, zgodnie z art. 61 rozporządzenia ogólnego. 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Wysokość wydatków kwalifikowalnych w ramach projektu winna uwzględniać dochód generowany przez projekt w trakcie realizacji oraz po jego ukończeniu, zgodnie z art. 61 rozporządzenia ogólnego. </w:t>
            </w:r>
            <w:r w:rsidRPr="00A3567E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W przypadku projektów, dla których dofinansowanie stanowić będzie pomoc publiczną, jak też wymagających uwzględnienia zasad dotyczących generowania dochodu, wydatki kwalifikowalne w ramach projektu nie mogą przekroczyć ani kwoty obliczonej przy użyciu „Kalkulatora pomocy </w:t>
            </w:r>
            <w:r w:rsidRPr="00A3567E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horyzontalnej” stanowiącego załącznik nr 9 do niniejszego regulaminu, ani kwoty obliczonej w studium wykonalności po uwzględnieniu dochodu generowanego przez projekt. Oznacza to, że w przypadkach, gdy wnioskodawca zobowiązany jest zarówno do uwzględnienia zasad pomocy publicznej, jak i zasad dotyczących generowania dochodu, wydatki kwalifikowalne powinny zostać ustalone poprzez wskazanie mniejszej wartości: albo kwoty obliczonej przy pomocy „Kalkulatora pomocy horyzontalnej” stanowiącego załącznik nr 9 do niniejszego regulaminu, albo kwoty obliczonej w studium wykonalności z uwzględnieniem dochodu generowanego przez projekt.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7B2378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Regulamin konkursu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odrozdz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6.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5</w:t>
            </w:r>
            <w:r w:rsidRPr="00860F46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4. </w:t>
            </w:r>
            <w:r w:rsidRPr="00A3567E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Zasady dotyczące projektów generujących dochód nie dotyczą projektów, dla których dofinansowanie stanowi pomoc de </w:t>
            </w:r>
            <w:proofErr w:type="spellStart"/>
            <w:r w:rsidRPr="00A3567E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minimis</w:t>
            </w:r>
            <w:proofErr w:type="spellEnd"/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A3567E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4. </w:t>
            </w:r>
            <w:r w:rsidRPr="00A3567E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Zasady dotyczące projektów generujących dochód nie dotyczą projektów, dla których dofinansowanie stanowi pomoc de </w:t>
            </w:r>
            <w:proofErr w:type="spellStart"/>
            <w:r w:rsidRPr="00A3567E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minimis</w:t>
            </w:r>
            <w:proofErr w:type="spellEnd"/>
            <w:r w:rsidRPr="00A3567E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, jak też wnioskodawców będących mikro, małymi lub średnimi przedsiębiorcami, dla których dofinansowanie stanowić będzie horyzontalną pomoc publiczną.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7B2378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3567E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6AEC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Zał. nr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726AEC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regulaminu konkursu –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F73B5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Wzór wniosku o dofinansowanie projektu wraz z instrukcją wypełniania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F73B5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Słownik pojęć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D7DA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8) 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wkład własny – środki finansowe zabezpieczone przez beneficjenta, które zostaną przeznaczone na pokrycie wydatków kwalifikowalnych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7B23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/niekwalifikowalnych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i nie zostaną beneficjentowi przekazane w formie dofinansowania (różnica między kwotą wydatków kwalifikowalnych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7B2378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/niekwalifikowalnych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a kwotą dofinansowania przekazaną beneficjentowi, zgodnie ze stopą dofinansowania dla projektu)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  <w:t>1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D7DA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8) 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wkład własny – środki finansowe zabezpieczone przez beneficjenta, które zostaną przeznaczone na pokrycie wydatków kwalifikowalnych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i nie zostaną beneficjentowi przekazane w formie dofinansowania (różnica między kwotą wydatków kwalifikowalnych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a kwotą dofinansowania przekazaną beneficjentowi, zgodnie ze stopą dofinansowania dla projektu)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vertAlign w:val="superscript"/>
                <w:lang w:eastAsia="pl-PL"/>
              </w:rPr>
              <w:t>1</w:t>
            </w: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0E7723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B2378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6AEC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Zał. nr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726AEC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regulaminu konkursu –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F73B50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Wzór wniosku o dofinansowanie projektu wraz z instrukcją wypełniania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D567A7" w:rsidRDefault="00396C00" w:rsidP="00396C00"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D567A7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Usunięto pole E.5, E.6 i G.8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7B2378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Poprawienie błędu edytorskiego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Zał. nr 2 regulaminu konkursu – Wzór umowy o dofinansowanie projektu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33AA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§ 19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ust. 2 pkt. 4)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D7DA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33AA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4)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933AA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logotypu promocyjnego „Pomorze Zachodnie” </w:t>
            </w:r>
            <w:r w:rsidRPr="00933AA5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oraz logotypu Wojewódzkiego Funduszu Ochrony Środowiska i Gospodarki Wodnej w Szczecinie</w:t>
            </w:r>
            <w:r w:rsidRPr="00933AA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3D7DA1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33AA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4)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933AA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logotypu promocyjnego „Pomorze Zachodnie”.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0E7723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Dostosowanie umowy o dofinansowanie do zapisów </w:t>
            </w:r>
            <w:r w:rsidRPr="00467114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Rozporządzeniu Parlamentu  Europejskiego i Rady  (UE)  nr  1303/2013  z dnia 17 grudnia  2013 r. oraz Rozporządzeniu  Wykonawczym Komisji (UE)  NR  821/2014 z dnia 28 lipca 2014 r.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Zał. nr 2 regulaminu konkursu – Wzór umowy o dofinansowanie projektu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933AA5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§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933AA5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52041C" w:rsidRDefault="00396C00" w:rsidP="00396C00"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2041C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Dodano ust. 4 o następującej treści:</w:t>
            </w:r>
          </w:p>
          <w:p w:rsidR="00396C00" w:rsidRPr="0052041C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2041C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4.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52041C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Instytucja Pośrednicząca jest uprawniona do przeniesienia wszelkich praw i obowiązków wynikających z niniejszej Umowy na każdy podmiot, któremu zostanie powierzone wykonywanie zadań należących w dniu zawarcia niniejszej Umowy do Instytucji Pośredniczącej, a w szczególności na Zarząd Województwa Zachodniopomorskiego. W takiej sytuacji podmiot, na który zostaną przeniesione prawa i obowiązki Instytucji Pośredniczącej, wstępuje do niniejszej Umowy w miejsce Instytucji Pośredniczącej. Zmiana taka nie wymaga aneksu do niniejszej umowy. O zmianie Beneficjent zostanie poinformowany w formie pisemnej po przeniesieniu praw i obowiązków.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2041C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Doprecyzowanie zapisów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  <w:tr w:rsidR="00396C00" w:rsidRPr="008C48F2" w:rsidTr="00F76D36">
        <w:trPr>
          <w:trHeight w:val="41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96C00" w:rsidRPr="008E4CA7" w:rsidRDefault="00396C00" w:rsidP="00396C00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A869BF" w:rsidRDefault="00396C00" w:rsidP="00396C00">
            <w:pPr>
              <w:pStyle w:val="Akapitzlist"/>
              <w:numPr>
                <w:ilvl w:val="0"/>
                <w:numId w:val="24"/>
              </w:numPr>
              <w:ind w:left="360"/>
              <w:jc w:val="left"/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Zał. nr 8 regulaminu konkursu – </w:t>
            </w: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8.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Metryki wskaźników;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Definicja wskaźnika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: </w:t>
            </w:r>
          </w:p>
          <w:p w:rsidR="00396C00" w:rsidRPr="005C183A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Produkcja energii elektrycznej z nowo wybudowanych instalacji wykorzystujących OZE [</w:t>
            </w:r>
            <w:proofErr w:type="spellStart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MWhe</w:t>
            </w:r>
            <w:proofErr w:type="spellEnd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/rok] / </w:t>
            </w:r>
          </w:p>
          <w:p w:rsidR="00396C00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Produkcja energii elektrycznej z nowych </w:t>
            </w: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mocy wytwórczych instalacji wykorzystujących OZE [</w:t>
            </w:r>
            <w:proofErr w:type="spellStart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MWhe</w:t>
            </w:r>
            <w:proofErr w:type="spellEnd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/rok],</w:t>
            </w:r>
          </w:p>
          <w:p w:rsidR="00396C00" w:rsidRPr="00602021" w:rsidRDefault="00396C00" w:rsidP="00396C00">
            <w:pPr>
              <w:spacing w:after="0" w:line="240" w:lineRule="auto"/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Wskaźnik mierzy roczną wielkość produkcji energii elektrycznej z nowo wybudowanych instalacji odnawialnego źródła energii / nowych mocy wytwórczych (istniejących instalacji) wykorzystujących odnawialne źródła energii. 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Instalacja odnawialnego źródła energii – instalacja  stanowiąca wyodrębniony zespół: 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a) urządzeń  służących do wytwarzania energii i wyprowadzania mocy, </w:t>
            </w:r>
            <w:r w:rsidRPr="005C183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przyłączonych  w jednym  miejscu przyłączenia, w których energia  elektryczna jest wytwarzana z jednego rodzaju odnawialnego źródła energii, lub</w:t>
            </w: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b) obiektów budowlanych i urządzeń stanowiących całość </w:t>
            </w:r>
            <w:proofErr w:type="spellStart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techniczno</w:t>
            </w:r>
            <w:proofErr w:type="spellEnd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- użytkową służący do wytwarzania </w:t>
            </w:r>
            <w:r w:rsidRPr="005C183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energii. 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Odnawialne źródło energii (zgodnie z ustawą  o odnawialnych źródłach energii z dnia 20  lutego 2015  r.  z  </w:t>
            </w:r>
            <w:proofErr w:type="spellStart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późn</w:t>
            </w:r>
            <w:proofErr w:type="spellEnd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 zm.) – odnawialne,  niekopalne źródła  energii  obejmujące  energię  wiatru,   promieniowania   słonecznego, </w:t>
            </w:r>
            <w:proofErr w:type="spellStart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aerotermalną</w:t>
            </w:r>
            <w:proofErr w:type="spellEnd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,   geotermalną,   hydrotermalną,  hydroenergię,  energię  fal,  prądów  i  pływów  morskich,  energię  otrzymywaną  z  biomasy,  biogazu, biogazu rolniczego oraz z </w:t>
            </w:r>
            <w:proofErr w:type="spellStart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biopłynów</w:t>
            </w:r>
            <w:proofErr w:type="spellEnd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Wskaźnik przedstawia wzrost wielkości wytwarzanej energii elektrycznej w  wybudowanych,  przebudowanych lub wyposażonych instalacji odnawialnego źródła energii w wyniku realizacji  projektu – od wielkości wytwarzanej energii  elektrycznej ze źródeł odnawialnych po projekcie  (wartość końcowa) należy odjąć wielkość wytwarzanej energii elektrycznej przed projektem (wartość  początkowa). 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przypadku budowy od podstaw instalacji odnawialnego źródła wielkość wytwarzanej energii przed projektem będzie wynosić zero. </w:t>
            </w:r>
          </w:p>
          <w:p w:rsidR="00396C00" w:rsidRPr="00933AA5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Wskaźnik odnosi się do wielkości  wytwarzanej energii elektrycznej w ciągu roku. 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Wskaźnik mierzy roczną wielkość produkcji energii elektrycznej z nowo wybudowanych instalacji odnawialnego źródła energii / nowych mocy wytwórczych (istniejących instalacji) wykorzystujących odnawialne źródła energii. 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I</w:t>
            </w: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nstalacja odnawialnego źródła energii - instalację stanowiącą wyodrębniony zespół: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a) urządzeń służących do wytwarzania energii i wyprowadzania mocy, </w:t>
            </w:r>
            <w:r w:rsidRPr="005C183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w których energia elektryczna lub ciepło są wytwarzane z odnawialnych źródeł energii</w:t>
            </w:r>
          </w:p>
          <w:p w:rsidR="00396C00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b) obiektów budowlanych i urządzeń stanowiących całość techniczno-użytkową służący do wytwarzania </w:t>
            </w:r>
            <w:r w:rsidRPr="005C183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biogazu rolniczego, a także </w:t>
            </w:r>
            <w:r w:rsidRPr="005C183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>połączony z tym zespołem magazyn energii, w tym  magazyn bioga</w:t>
            </w:r>
            <w: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>zu rolniczego.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Odnawialne źródło energii (zgodnie z ustawą  o odnawialnych źródłach energii z dnia 20  lutego 2015  r.  z  </w:t>
            </w:r>
            <w:proofErr w:type="spellStart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późn</w:t>
            </w:r>
            <w:proofErr w:type="spellEnd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.  zm.) – odnawialne,  niekopalne źródła  energii  obejmujące  energię  wiatru,   promieniowania   słonecznego, </w:t>
            </w:r>
            <w:proofErr w:type="spellStart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aerotermalną</w:t>
            </w:r>
            <w:proofErr w:type="spellEnd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,   geotermalną,   hydrotermalną,  hydroenergię,  energię  fal,  prądów  i  pływów  morskich,  energię  otrzymywaną  z  biomasy,  biogazu, biogazu rolniczego oraz z </w:t>
            </w:r>
            <w:proofErr w:type="spellStart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biopłynów</w:t>
            </w:r>
            <w:proofErr w:type="spellEnd"/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.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Wskaźnik przedstawia wzrost wielkości wytwarzanej energii elektrycznej w  wybudowanych,  przebudowanych lub wyposażonych instalacji odnawialnego źródła energii w wyniku realizacji  projektu – od wielkości wytwarzanej energii  elektrycznej ze źródeł odnawialnych po projekcie  (wartość końcowa) należy odjąć wielkość wytwarzanej energii elektrycznej przed projektem (wartość  początkowa). </w:t>
            </w:r>
          </w:p>
          <w:p w:rsidR="00396C00" w:rsidRPr="005C183A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W przypadku budowy od podstaw instalacji odnawialnego źródła wielkość wytwarzanej energii przed projektem będzie wynosić zero. </w:t>
            </w:r>
          </w:p>
          <w:p w:rsidR="00396C00" w:rsidRPr="0052041C" w:rsidRDefault="00396C00" w:rsidP="00396C00">
            <w:pPr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Wskaźnik odnosi się do wielkości  wytwarzanej energii elektrycznej w ciągu roku.</w:t>
            </w:r>
            <w:r w:rsidRPr="005C183A">
              <w:rPr>
                <w:rFonts w:eastAsia="Times New Roman" w:cs="Times New Roman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Pr="0052041C" w:rsidRDefault="00396C00" w:rsidP="00396C00">
            <w:pP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Dostosowanie do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zmienionych </w:t>
            </w: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zapisów 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wprowadzonych u</w:t>
            </w: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staw</w:t>
            </w:r>
            <w:r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ą</w:t>
            </w:r>
            <w:r w:rsidRPr="005C183A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 xml:space="preserve"> z dnia 22 czerwca 2016 r. o zmianie ustawy o odnawialnych źródłach energii oraz niektórych innych ustaw (Dz. U. nr 0 poz. 925)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6C00" w:rsidRDefault="00396C00" w:rsidP="00396C00">
            <w:r w:rsidRPr="00F57F82">
              <w:rPr>
                <w:rFonts w:eastAsia="Times New Roman" w:cs="Times New Roman"/>
                <w:bCs/>
                <w:color w:val="000000" w:themeColor="text1"/>
                <w:sz w:val="18"/>
                <w:szCs w:val="18"/>
                <w:lang w:eastAsia="pl-PL"/>
              </w:rPr>
              <w:t>14.02.2017r.</w:t>
            </w:r>
          </w:p>
        </w:tc>
      </w:tr>
    </w:tbl>
    <w:p w:rsidR="00820115" w:rsidRDefault="00820115"/>
    <w:p w:rsidR="00820115" w:rsidRDefault="00820115">
      <w:r>
        <w:t xml:space="preserve">Wyżej wymienione zmiany w </w:t>
      </w:r>
      <w:r w:rsidRPr="00820115">
        <w:t>regulamin</w:t>
      </w:r>
      <w:r w:rsidR="00B42C73">
        <w:t>ie</w:t>
      </w:r>
      <w:r w:rsidRPr="00820115">
        <w:t xml:space="preserve"> konkursu RPZP.02.</w:t>
      </w:r>
      <w:r w:rsidR="003E70A6">
        <w:t>10</w:t>
      </w:r>
      <w:r w:rsidRPr="00820115">
        <w:t>.00-IP.01-32-K0</w:t>
      </w:r>
      <w:r w:rsidR="00F73B50">
        <w:t>2</w:t>
      </w:r>
      <w:r w:rsidRPr="00820115">
        <w:t>/1</w:t>
      </w:r>
      <w:r w:rsidR="00F73B50">
        <w:t>7</w:t>
      </w:r>
      <w:r w:rsidRPr="00820115">
        <w:t xml:space="preserve"> zatwierdza:</w:t>
      </w:r>
      <w:r>
        <w:t xml:space="preserve"> </w:t>
      </w:r>
    </w:p>
    <w:p w:rsidR="00820115" w:rsidRDefault="00820115"/>
    <w:sectPr w:rsidR="00820115" w:rsidSect="0083366B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EB1" w:rsidRDefault="00BB2EB1" w:rsidP="006260A2">
      <w:pPr>
        <w:spacing w:after="0" w:line="240" w:lineRule="auto"/>
      </w:pPr>
      <w:r>
        <w:separator/>
      </w:r>
    </w:p>
  </w:endnote>
  <w:endnote w:type="continuationSeparator" w:id="0">
    <w:p w:rsidR="00BB2EB1" w:rsidRDefault="00BB2EB1" w:rsidP="0062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846482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260A2" w:rsidRDefault="006260A2">
            <w:pPr>
              <w:pStyle w:val="Stopka"/>
              <w:jc w:val="center"/>
            </w:pPr>
            <w:r w:rsidRPr="00A516D2">
              <w:rPr>
                <w:sz w:val="18"/>
              </w:rPr>
              <w:t xml:space="preserve">Strona </w:t>
            </w:r>
            <w:r w:rsidR="00452963" w:rsidRPr="00A516D2">
              <w:rPr>
                <w:bCs/>
                <w:sz w:val="20"/>
                <w:szCs w:val="24"/>
              </w:rPr>
              <w:fldChar w:fldCharType="begin"/>
            </w:r>
            <w:r w:rsidRPr="00A516D2">
              <w:rPr>
                <w:bCs/>
                <w:sz w:val="18"/>
              </w:rPr>
              <w:instrText>PAGE</w:instrText>
            </w:r>
            <w:r w:rsidR="00452963" w:rsidRPr="00A516D2">
              <w:rPr>
                <w:bCs/>
                <w:sz w:val="20"/>
                <w:szCs w:val="24"/>
              </w:rPr>
              <w:fldChar w:fldCharType="separate"/>
            </w:r>
            <w:r w:rsidR="00CC0897">
              <w:rPr>
                <w:bCs/>
                <w:noProof/>
                <w:sz w:val="18"/>
              </w:rPr>
              <w:t>7</w:t>
            </w:r>
            <w:r w:rsidR="00452963" w:rsidRPr="00A516D2">
              <w:rPr>
                <w:bCs/>
                <w:sz w:val="20"/>
                <w:szCs w:val="24"/>
              </w:rPr>
              <w:fldChar w:fldCharType="end"/>
            </w:r>
            <w:r w:rsidRPr="00A516D2">
              <w:rPr>
                <w:sz w:val="18"/>
              </w:rPr>
              <w:t xml:space="preserve"> z </w:t>
            </w:r>
            <w:r w:rsidR="00452963" w:rsidRPr="00A516D2">
              <w:rPr>
                <w:bCs/>
                <w:sz w:val="20"/>
                <w:szCs w:val="24"/>
              </w:rPr>
              <w:fldChar w:fldCharType="begin"/>
            </w:r>
            <w:r w:rsidRPr="00A516D2">
              <w:rPr>
                <w:bCs/>
                <w:sz w:val="18"/>
              </w:rPr>
              <w:instrText>NUMPAGES</w:instrText>
            </w:r>
            <w:r w:rsidR="00452963" w:rsidRPr="00A516D2">
              <w:rPr>
                <w:bCs/>
                <w:sz w:val="20"/>
                <w:szCs w:val="24"/>
              </w:rPr>
              <w:fldChar w:fldCharType="separate"/>
            </w:r>
            <w:r w:rsidR="00CC0897">
              <w:rPr>
                <w:bCs/>
                <w:noProof/>
                <w:sz w:val="18"/>
              </w:rPr>
              <w:t>7</w:t>
            </w:r>
            <w:r w:rsidR="00452963" w:rsidRPr="00A516D2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EB1" w:rsidRDefault="00BB2EB1" w:rsidP="006260A2">
      <w:pPr>
        <w:spacing w:after="0" w:line="240" w:lineRule="auto"/>
      </w:pPr>
      <w:r>
        <w:separator/>
      </w:r>
    </w:p>
  </w:footnote>
  <w:footnote w:type="continuationSeparator" w:id="0">
    <w:p w:rsidR="00BB2EB1" w:rsidRDefault="00BB2EB1" w:rsidP="00626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0"/>
    <w:multiLevelType w:val="multilevel"/>
    <w:tmpl w:val="3C9807E6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5F1C1A"/>
    <w:multiLevelType w:val="hybridMultilevel"/>
    <w:tmpl w:val="79C4B5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AF10D0"/>
    <w:multiLevelType w:val="hybridMultilevel"/>
    <w:tmpl w:val="0472C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079A3"/>
    <w:multiLevelType w:val="hybridMultilevel"/>
    <w:tmpl w:val="E54404FE"/>
    <w:lvl w:ilvl="0" w:tplc="D16E2230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37027D"/>
    <w:multiLevelType w:val="hybridMultilevel"/>
    <w:tmpl w:val="67909BB4"/>
    <w:lvl w:ilvl="0" w:tplc="969ED9CC">
      <w:start w:val="2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70C82"/>
    <w:multiLevelType w:val="hybridMultilevel"/>
    <w:tmpl w:val="DE7E3B34"/>
    <w:lvl w:ilvl="0" w:tplc="8778A97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825EF"/>
    <w:multiLevelType w:val="hybridMultilevel"/>
    <w:tmpl w:val="7240986E"/>
    <w:lvl w:ilvl="0" w:tplc="457AA966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D5A58"/>
    <w:multiLevelType w:val="hybridMultilevel"/>
    <w:tmpl w:val="4B3EDE4E"/>
    <w:lvl w:ilvl="0" w:tplc="63DC530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803CE"/>
    <w:multiLevelType w:val="hybridMultilevel"/>
    <w:tmpl w:val="597656B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10A54"/>
    <w:multiLevelType w:val="hybridMultilevel"/>
    <w:tmpl w:val="202A7418"/>
    <w:lvl w:ilvl="0" w:tplc="2CDE9E62">
      <w:start w:val="1"/>
      <w:numFmt w:val="decimal"/>
      <w:lvlText w:val="%1)"/>
      <w:lvlJc w:val="left"/>
      <w:pPr>
        <w:ind w:left="838" w:hanging="360"/>
      </w:pPr>
      <w:rPr>
        <w:rFonts w:asciiTheme="minorHAnsi" w:eastAsia="Times New Roman" w:hAnsiTheme="minorHAnsi" w:cs="Times New Roman"/>
        <w:spacing w:val="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C0E0E"/>
    <w:multiLevelType w:val="hybridMultilevel"/>
    <w:tmpl w:val="15BADF66"/>
    <w:lvl w:ilvl="0" w:tplc="02AE266A">
      <w:start w:val="1"/>
      <w:numFmt w:val="decimal"/>
      <w:lvlText w:val="%1."/>
      <w:lvlJc w:val="left"/>
      <w:pPr>
        <w:ind w:left="478" w:hanging="478"/>
      </w:pPr>
      <w:rPr>
        <w:rFonts w:ascii="Calibri" w:eastAsia="Calibri" w:hAnsi="Calibri" w:hint="default"/>
        <w:spacing w:val="1"/>
        <w:sz w:val="22"/>
        <w:szCs w:val="22"/>
      </w:rPr>
    </w:lvl>
    <w:lvl w:ilvl="1" w:tplc="1D4E9056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AB988C08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8130B7C2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3ACAD686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85FEF4A6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22F0DBEC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70DE82FC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814E0E3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1" w15:restartNumberingAfterBreak="0">
    <w:nsid w:val="2D276D50"/>
    <w:multiLevelType w:val="hybridMultilevel"/>
    <w:tmpl w:val="CDA4C348"/>
    <w:lvl w:ilvl="0" w:tplc="F500B9A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05F3F"/>
    <w:multiLevelType w:val="hybridMultilevel"/>
    <w:tmpl w:val="E03E3F18"/>
    <w:lvl w:ilvl="0" w:tplc="E236CA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70B51"/>
    <w:multiLevelType w:val="hybridMultilevel"/>
    <w:tmpl w:val="079E7F0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F26FD"/>
    <w:multiLevelType w:val="hybridMultilevel"/>
    <w:tmpl w:val="3BAC8970"/>
    <w:lvl w:ilvl="0" w:tplc="A4DADC9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C7851"/>
    <w:multiLevelType w:val="hybridMultilevel"/>
    <w:tmpl w:val="FC46BE32"/>
    <w:lvl w:ilvl="0" w:tplc="E6A6F34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6" w15:restartNumberingAfterBreak="0">
    <w:nsid w:val="4331684B"/>
    <w:multiLevelType w:val="hybridMultilevel"/>
    <w:tmpl w:val="C9D0A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55BBB"/>
    <w:multiLevelType w:val="hybridMultilevel"/>
    <w:tmpl w:val="A49EDA64"/>
    <w:lvl w:ilvl="0" w:tplc="F0404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235DC"/>
    <w:multiLevelType w:val="hybridMultilevel"/>
    <w:tmpl w:val="0CFEA9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05744"/>
    <w:multiLevelType w:val="hybridMultilevel"/>
    <w:tmpl w:val="EADECC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11884"/>
    <w:multiLevelType w:val="hybridMultilevel"/>
    <w:tmpl w:val="737CC04E"/>
    <w:lvl w:ilvl="0" w:tplc="EDEE8624">
      <w:start w:val="1"/>
      <w:numFmt w:val="decimal"/>
      <w:lvlText w:val="%1."/>
      <w:lvlJc w:val="left"/>
      <w:pPr>
        <w:ind w:left="463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23" w:hanging="180"/>
      </w:pPr>
      <w:rPr>
        <w:rFonts w:cs="Times New Roman"/>
      </w:rPr>
    </w:lvl>
  </w:abstractNum>
  <w:abstractNum w:abstractNumId="21" w15:restartNumberingAfterBreak="0">
    <w:nsid w:val="4C366772"/>
    <w:multiLevelType w:val="hybridMultilevel"/>
    <w:tmpl w:val="53E4CCAE"/>
    <w:lvl w:ilvl="0" w:tplc="C88E7BBA">
      <w:start w:val="1"/>
      <w:numFmt w:val="decimal"/>
      <w:lvlText w:val="%1)"/>
      <w:lvlJc w:val="left"/>
      <w:pPr>
        <w:ind w:left="21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F2D3749"/>
    <w:multiLevelType w:val="hybridMultilevel"/>
    <w:tmpl w:val="E80481D4"/>
    <w:lvl w:ilvl="0" w:tplc="06CE67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A5A96"/>
    <w:multiLevelType w:val="hybridMultilevel"/>
    <w:tmpl w:val="0512CD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6C6B7C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9710B"/>
    <w:multiLevelType w:val="hybridMultilevel"/>
    <w:tmpl w:val="E07214C2"/>
    <w:lvl w:ilvl="0" w:tplc="A6F20280">
      <w:start w:val="1"/>
      <w:numFmt w:val="decimal"/>
      <w:lvlText w:val="%1)"/>
      <w:lvlJc w:val="left"/>
      <w:pPr>
        <w:ind w:left="838" w:hanging="360"/>
      </w:pPr>
      <w:rPr>
        <w:rFonts w:ascii="Calibri" w:eastAsia="Calibri" w:hAnsi="Calibri"/>
        <w:spacing w:val="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85FD9"/>
    <w:multiLevelType w:val="hybridMultilevel"/>
    <w:tmpl w:val="7304C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2B1D73"/>
    <w:multiLevelType w:val="hybridMultilevel"/>
    <w:tmpl w:val="385CAE24"/>
    <w:lvl w:ilvl="0" w:tplc="A27CF982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7" w15:restartNumberingAfterBreak="0">
    <w:nsid w:val="5DB81A25"/>
    <w:multiLevelType w:val="hybridMultilevel"/>
    <w:tmpl w:val="62C4848C"/>
    <w:lvl w:ilvl="0" w:tplc="62D4F18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F94D12"/>
    <w:multiLevelType w:val="hybridMultilevel"/>
    <w:tmpl w:val="E9C851B0"/>
    <w:lvl w:ilvl="0" w:tplc="5D588FF8">
      <w:start w:val="1"/>
      <w:numFmt w:val="decimal"/>
      <w:lvlText w:val="%1)"/>
      <w:lvlJc w:val="left"/>
      <w:pPr>
        <w:ind w:left="21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3197A4B"/>
    <w:multiLevelType w:val="hybridMultilevel"/>
    <w:tmpl w:val="5C2EBFBE"/>
    <w:lvl w:ilvl="0" w:tplc="6FC2092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7487C"/>
    <w:multiLevelType w:val="hybridMultilevel"/>
    <w:tmpl w:val="1A98BE32"/>
    <w:lvl w:ilvl="0" w:tplc="62D4F18A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74E2F"/>
    <w:multiLevelType w:val="hybridMultilevel"/>
    <w:tmpl w:val="2BD840F2"/>
    <w:lvl w:ilvl="0" w:tplc="E2E030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D7BB9"/>
    <w:multiLevelType w:val="hybridMultilevel"/>
    <w:tmpl w:val="8D8E2AF6"/>
    <w:lvl w:ilvl="0" w:tplc="4EC658AA">
      <w:start w:val="10"/>
      <w:numFmt w:val="decimal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F0421"/>
    <w:multiLevelType w:val="hybridMultilevel"/>
    <w:tmpl w:val="BC9AE7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8CCB64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03DDE"/>
    <w:multiLevelType w:val="hybridMultilevel"/>
    <w:tmpl w:val="26086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8083C92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8141A"/>
    <w:multiLevelType w:val="hybridMultilevel"/>
    <w:tmpl w:val="413ADA16"/>
    <w:lvl w:ilvl="0" w:tplc="3B7A0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E3274B"/>
    <w:multiLevelType w:val="hybridMultilevel"/>
    <w:tmpl w:val="4B3EDE4E"/>
    <w:lvl w:ilvl="0" w:tplc="63DC530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5"/>
  </w:num>
  <w:num w:numId="4">
    <w:abstractNumId w:val="34"/>
  </w:num>
  <w:num w:numId="5">
    <w:abstractNumId w:val="23"/>
  </w:num>
  <w:num w:numId="6">
    <w:abstractNumId w:val="11"/>
  </w:num>
  <w:num w:numId="7">
    <w:abstractNumId w:val="16"/>
  </w:num>
  <w:num w:numId="8">
    <w:abstractNumId w:val="10"/>
  </w:num>
  <w:num w:numId="9">
    <w:abstractNumId w:val="24"/>
  </w:num>
  <w:num w:numId="10">
    <w:abstractNumId w:val="6"/>
    <w:lvlOverride w:ilvl="0">
      <w:startOverride w:val="5"/>
    </w:lvlOverride>
  </w:num>
  <w:num w:numId="11">
    <w:abstractNumId w:val="9"/>
  </w:num>
  <w:num w:numId="12">
    <w:abstractNumId w:val="22"/>
  </w:num>
  <w:num w:numId="13">
    <w:abstractNumId w:val="17"/>
  </w:num>
  <w:num w:numId="14">
    <w:abstractNumId w:val="36"/>
  </w:num>
  <w:num w:numId="15">
    <w:abstractNumId w:val="31"/>
  </w:num>
  <w:num w:numId="16">
    <w:abstractNumId w:val="25"/>
  </w:num>
  <w:num w:numId="17">
    <w:abstractNumId w:val="29"/>
  </w:num>
  <w:num w:numId="18">
    <w:abstractNumId w:val="20"/>
  </w:num>
  <w:num w:numId="19">
    <w:abstractNumId w:val="19"/>
  </w:num>
  <w:num w:numId="20">
    <w:abstractNumId w:val="5"/>
  </w:num>
  <w:num w:numId="21">
    <w:abstractNumId w:val="5"/>
    <w:lvlOverride w:ilvl="0">
      <w:startOverride w:val="1"/>
    </w:lvlOverride>
  </w:num>
  <w:num w:numId="22">
    <w:abstractNumId w:val="2"/>
  </w:num>
  <w:num w:numId="23">
    <w:abstractNumId w:val="2"/>
    <w:lvlOverride w:ilvl="0">
      <w:startOverride w:val="1"/>
    </w:lvlOverride>
  </w:num>
  <w:num w:numId="24">
    <w:abstractNumId w:val="1"/>
  </w:num>
  <w:num w:numId="25">
    <w:abstractNumId w:val="2"/>
  </w:num>
  <w:num w:numId="26">
    <w:abstractNumId w:val="2"/>
  </w:num>
  <w:num w:numId="27">
    <w:abstractNumId w:val="2"/>
  </w:num>
  <w:num w:numId="28">
    <w:abstractNumId w:val="3"/>
  </w:num>
  <w:num w:numId="29">
    <w:abstractNumId w:val="15"/>
  </w:num>
  <w:num w:numId="30">
    <w:abstractNumId w:val="32"/>
  </w:num>
  <w:num w:numId="31">
    <w:abstractNumId w:val="26"/>
  </w:num>
  <w:num w:numId="32">
    <w:abstractNumId w:val="14"/>
  </w:num>
  <w:num w:numId="33">
    <w:abstractNumId w:val="2"/>
  </w:num>
  <w:num w:numId="34">
    <w:abstractNumId w:val="13"/>
  </w:num>
  <w:num w:numId="35">
    <w:abstractNumId w:val="2"/>
    <w:lvlOverride w:ilvl="0">
      <w:startOverride w:val="1"/>
    </w:lvlOverride>
  </w:num>
  <w:num w:numId="36">
    <w:abstractNumId w:val="7"/>
  </w:num>
  <w:num w:numId="37">
    <w:abstractNumId w:val="37"/>
  </w:num>
  <w:num w:numId="38">
    <w:abstractNumId w:val="21"/>
  </w:num>
  <w:num w:numId="39">
    <w:abstractNumId w:val="33"/>
  </w:num>
  <w:num w:numId="40">
    <w:abstractNumId w:val="18"/>
  </w:num>
  <w:num w:numId="41">
    <w:abstractNumId w:val="8"/>
  </w:num>
  <w:num w:numId="42">
    <w:abstractNumId w:val="27"/>
  </w:num>
  <w:num w:numId="43">
    <w:abstractNumId w:val="30"/>
  </w:num>
  <w:num w:numId="44">
    <w:abstractNumId w:val="28"/>
  </w:num>
  <w:num w:numId="45">
    <w:abstractNumId w:val="12"/>
  </w:num>
  <w:num w:numId="4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6B"/>
    <w:rsid w:val="0000028E"/>
    <w:rsid w:val="000034F3"/>
    <w:rsid w:val="00031333"/>
    <w:rsid w:val="00032F10"/>
    <w:rsid w:val="00043F87"/>
    <w:rsid w:val="0004530B"/>
    <w:rsid w:val="0005126F"/>
    <w:rsid w:val="000639F3"/>
    <w:rsid w:val="00067E2D"/>
    <w:rsid w:val="00071878"/>
    <w:rsid w:val="000A1ED6"/>
    <w:rsid w:val="000B0F3D"/>
    <w:rsid w:val="000B2C63"/>
    <w:rsid w:val="000B4CC0"/>
    <w:rsid w:val="000B7C22"/>
    <w:rsid w:val="000C238E"/>
    <w:rsid w:val="000D3403"/>
    <w:rsid w:val="000D4B51"/>
    <w:rsid w:val="000E24F9"/>
    <w:rsid w:val="000E6C78"/>
    <w:rsid w:val="000E7723"/>
    <w:rsid w:val="00102B19"/>
    <w:rsid w:val="0010326D"/>
    <w:rsid w:val="001033AD"/>
    <w:rsid w:val="00113D35"/>
    <w:rsid w:val="0011531E"/>
    <w:rsid w:val="00116CCE"/>
    <w:rsid w:val="0012514A"/>
    <w:rsid w:val="00126771"/>
    <w:rsid w:val="0014525A"/>
    <w:rsid w:val="00156018"/>
    <w:rsid w:val="00157885"/>
    <w:rsid w:val="0016428A"/>
    <w:rsid w:val="00180A08"/>
    <w:rsid w:val="001A3A8F"/>
    <w:rsid w:val="001B4903"/>
    <w:rsid w:val="001C6FEE"/>
    <w:rsid w:val="001C71FB"/>
    <w:rsid w:val="001D2C63"/>
    <w:rsid w:val="001D5DD8"/>
    <w:rsid w:val="001D7F47"/>
    <w:rsid w:val="001F67AB"/>
    <w:rsid w:val="00203617"/>
    <w:rsid w:val="00211070"/>
    <w:rsid w:val="0021382A"/>
    <w:rsid w:val="00223F12"/>
    <w:rsid w:val="00231F99"/>
    <w:rsid w:val="0024293A"/>
    <w:rsid w:val="00285396"/>
    <w:rsid w:val="0028752F"/>
    <w:rsid w:val="00297DE3"/>
    <w:rsid w:val="002B07A0"/>
    <w:rsid w:val="002B772F"/>
    <w:rsid w:val="002C2A10"/>
    <w:rsid w:val="002D46D8"/>
    <w:rsid w:val="002E64FC"/>
    <w:rsid w:val="00312E4E"/>
    <w:rsid w:val="00323DDB"/>
    <w:rsid w:val="00325D3B"/>
    <w:rsid w:val="00352F51"/>
    <w:rsid w:val="00393F1C"/>
    <w:rsid w:val="00396C00"/>
    <w:rsid w:val="003A1932"/>
    <w:rsid w:val="003A435B"/>
    <w:rsid w:val="003C207F"/>
    <w:rsid w:val="003D14DF"/>
    <w:rsid w:val="003D3387"/>
    <w:rsid w:val="003D7DA1"/>
    <w:rsid w:val="003E70A6"/>
    <w:rsid w:val="003F5020"/>
    <w:rsid w:val="004078BF"/>
    <w:rsid w:val="00430614"/>
    <w:rsid w:val="004329B6"/>
    <w:rsid w:val="00452963"/>
    <w:rsid w:val="0045615F"/>
    <w:rsid w:val="004576D0"/>
    <w:rsid w:val="004644CE"/>
    <w:rsid w:val="00467114"/>
    <w:rsid w:val="004750D6"/>
    <w:rsid w:val="004857A1"/>
    <w:rsid w:val="004C4FAC"/>
    <w:rsid w:val="004D391D"/>
    <w:rsid w:val="004D4AB8"/>
    <w:rsid w:val="004F00C8"/>
    <w:rsid w:val="0052041C"/>
    <w:rsid w:val="0053387C"/>
    <w:rsid w:val="00534EB9"/>
    <w:rsid w:val="00537DCE"/>
    <w:rsid w:val="005431C6"/>
    <w:rsid w:val="0055162B"/>
    <w:rsid w:val="0057773D"/>
    <w:rsid w:val="00581BFA"/>
    <w:rsid w:val="005864FC"/>
    <w:rsid w:val="005A255F"/>
    <w:rsid w:val="005A2F92"/>
    <w:rsid w:val="005A7061"/>
    <w:rsid w:val="005A78D3"/>
    <w:rsid w:val="005C07D3"/>
    <w:rsid w:val="005C183A"/>
    <w:rsid w:val="005C3456"/>
    <w:rsid w:val="005D00E2"/>
    <w:rsid w:val="005D1E00"/>
    <w:rsid w:val="005E4BB6"/>
    <w:rsid w:val="005F410D"/>
    <w:rsid w:val="00615C5E"/>
    <w:rsid w:val="006260A2"/>
    <w:rsid w:val="0062623B"/>
    <w:rsid w:val="00627C58"/>
    <w:rsid w:val="00660739"/>
    <w:rsid w:val="00665C42"/>
    <w:rsid w:val="00670CD0"/>
    <w:rsid w:val="00672641"/>
    <w:rsid w:val="00672ED9"/>
    <w:rsid w:val="00680D55"/>
    <w:rsid w:val="006830BE"/>
    <w:rsid w:val="00687510"/>
    <w:rsid w:val="006878D2"/>
    <w:rsid w:val="006912F2"/>
    <w:rsid w:val="006A0A30"/>
    <w:rsid w:val="006B27A0"/>
    <w:rsid w:val="006B54CD"/>
    <w:rsid w:val="006C7C49"/>
    <w:rsid w:val="006F0126"/>
    <w:rsid w:val="006F20F4"/>
    <w:rsid w:val="006F37F0"/>
    <w:rsid w:val="006F469A"/>
    <w:rsid w:val="0070427D"/>
    <w:rsid w:val="007176D8"/>
    <w:rsid w:val="00726AEC"/>
    <w:rsid w:val="00726F09"/>
    <w:rsid w:val="00733E0E"/>
    <w:rsid w:val="007345DF"/>
    <w:rsid w:val="00740E5A"/>
    <w:rsid w:val="00750A2C"/>
    <w:rsid w:val="00770053"/>
    <w:rsid w:val="007805AC"/>
    <w:rsid w:val="00794F49"/>
    <w:rsid w:val="007A271C"/>
    <w:rsid w:val="007B2378"/>
    <w:rsid w:val="007B53B8"/>
    <w:rsid w:val="007D74D9"/>
    <w:rsid w:val="007E2347"/>
    <w:rsid w:val="007E7EC5"/>
    <w:rsid w:val="007F27F5"/>
    <w:rsid w:val="007F4189"/>
    <w:rsid w:val="00810708"/>
    <w:rsid w:val="00814E55"/>
    <w:rsid w:val="008171E0"/>
    <w:rsid w:val="00820115"/>
    <w:rsid w:val="00821570"/>
    <w:rsid w:val="00822AD2"/>
    <w:rsid w:val="00822DA1"/>
    <w:rsid w:val="008305FA"/>
    <w:rsid w:val="0083366B"/>
    <w:rsid w:val="00844494"/>
    <w:rsid w:val="008573B1"/>
    <w:rsid w:val="00860D10"/>
    <w:rsid w:val="00860F46"/>
    <w:rsid w:val="00861EB4"/>
    <w:rsid w:val="0086598C"/>
    <w:rsid w:val="00872B54"/>
    <w:rsid w:val="00877EA4"/>
    <w:rsid w:val="00886A2A"/>
    <w:rsid w:val="00894139"/>
    <w:rsid w:val="008A6A8D"/>
    <w:rsid w:val="008B7109"/>
    <w:rsid w:val="008C0738"/>
    <w:rsid w:val="008C1646"/>
    <w:rsid w:val="008C1AB4"/>
    <w:rsid w:val="008C48F2"/>
    <w:rsid w:val="008C4ACC"/>
    <w:rsid w:val="008E1326"/>
    <w:rsid w:val="008E3634"/>
    <w:rsid w:val="008E4CA7"/>
    <w:rsid w:val="00900D96"/>
    <w:rsid w:val="0090628B"/>
    <w:rsid w:val="00907A1A"/>
    <w:rsid w:val="00933AA5"/>
    <w:rsid w:val="00945D69"/>
    <w:rsid w:val="00946903"/>
    <w:rsid w:val="00970BC2"/>
    <w:rsid w:val="0098250B"/>
    <w:rsid w:val="0099566B"/>
    <w:rsid w:val="009967EA"/>
    <w:rsid w:val="009A1DAE"/>
    <w:rsid w:val="009A5A4B"/>
    <w:rsid w:val="009B011C"/>
    <w:rsid w:val="009B2C9D"/>
    <w:rsid w:val="009C5C82"/>
    <w:rsid w:val="009E4FF3"/>
    <w:rsid w:val="009F272D"/>
    <w:rsid w:val="009F36E0"/>
    <w:rsid w:val="00A00B8F"/>
    <w:rsid w:val="00A0472F"/>
    <w:rsid w:val="00A07835"/>
    <w:rsid w:val="00A321C7"/>
    <w:rsid w:val="00A3567E"/>
    <w:rsid w:val="00A516D2"/>
    <w:rsid w:val="00A528BD"/>
    <w:rsid w:val="00A53AFE"/>
    <w:rsid w:val="00A74074"/>
    <w:rsid w:val="00A869BF"/>
    <w:rsid w:val="00A9782E"/>
    <w:rsid w:val="00AA030F"/>
    <w:rsid w:val="00AA343E"/>
    <w:rsid w:val="00AB2BB9"/>
    <w:rsid w:val="00AC391D"/>
    <w:rsid w:val="00AF0E5A"/>
    <w:rsid w:val="00AF122E"/>
    <w:rsid w:val="00B02FE9"/>
    <w:rsid w:val="00B071AB"/>
    <w:rsid w:val="00B15A3A"/>
    <w:rsid w:val="00B246C2"/>
    <w:rsid w:val="00B26A21"/>
    <w:rsid w:val="00B329BD"/>
    <w:rsid w:val="00B42C73"/>
    <w:rsid w:val="00B44AAC"/>
    <w:rsid w:val="00B554B3"/>
    <w:rsid w:val="00B75A18"/>
    <w:rsid w:val="00B84C5B"/>
    <w:rsid w:val="00B92AF7"/>
    <w:rsid w:val="00B93377"/>
    <w:rsid w:val="00BA0EAF"/>
    <w:rsid w:val="00BA1FB2"/>
    <w:rsid w:val="00BA5B6B"/>
    <w:rsid w:val="00BB2EB1"/>
    <w:rsid w:val="00BB5A1E"/>
    <w:rsid w:val="00BC0F11"/>
    <w:rsid w:val="00BC2E0B"/>
    <w:rsid w:val="00BD377F"/>
    <w:rsid w:val="00BE31E6"/>
    <w:rsid w:val="00BF62C5"/>
    <w:rsid w:val="00C121D3"/>
    <w:rsid w:val="00C12FE4"/>
    <w:rsid w:val="00C2394C"/>
    <w:rsid w:val="00C31603"/>
    <w:rsid w:val="00C50983"/>
    <w:rsid w:val="00C53EDB"/>
    <w:rsid w:val="00C813C5"/>
    <w:rsid w:val="00C97B98"/>
    <w:rsid w:val="00CB1BBF"/>
    <w:rsid w:val="00CB2D38"/>
    <w:rsid w:val="00CC0897"/>
    <w:rsid w:val="00CD66C7"/>
    <w:rsid w:val="00CF308E"/>
    <w:rsid w:val="00CF391C"/>
    <w:rsid w:val="00D03334"/>
    <w:rsid w:val="00D23D38"/>
    <w:rsid w:val="00D31667"/>
    <w:rsid w:val="00D34C7E"/>
    <w:rsid w:val="00D42D3E"/>
    <w:rsid w:val="00D44385"/>
    <w:rsid w:val="00D47B1F"/>
    <w:rsid w:val="00D567A7"/>
    <w:rsid w:val="00D65656"/>
    <w:rsid w:val="00D72D1A"/>
    <w:rsid w:val="00D73B31"/>
    <w:rsid w:val="00D774C0"/>
    <w:rsid w:val="00D94BB3"/>
    <w:rsid w:val="00DA6E76"/>
    <w:rsid w:val="00DC0A23"/>
    <w:rsid w:val="00DC4F5C"/>
    <w:rsid w:val="00DD03E1"/>
    <w:rsid w:val="00DD0F48"/>
    <w:rsid w:val="00DF3915"/>
    <w:rsid w:val="00E30725"/>
    <w:rsid w:val="00E37DF8"/>
    <w:rsid w:val="00E623DB"/>
    <w:rsid w:val="00E66ABE"/>
    <w:rsid w:val="00E738FC"/>
    <w:rsid w:val="00E8366A"/>
    <w:rsid w:val="00E9087A"/>
    <w:rsid w:val="00E95812"/>
    <w:rsid w:val="00E96174"/>
    <w:rsid w:val="00EA459A"/>
    <w:rsid w:val="00EA6D8D"/>
    <w:rsid w:val="00EA77C3"/>
    <w:rsid w:val="00EA7B0E"/>
    <w:rsid w:val="00EB6D6C"/>
    <w:rsid w:val="00EC38A4"/>
    <w:rsid w:val="00EC4978"/>
    <w:rsid w:val="00ED7985"/>
    <w:rsid w:val="00EE0AEC"/>
    <w:rsid w:val="00EE6723"/>
    <w:rsid w:val="00F2192C"/>
    <w:rsid w:val="00F331AC"/>
    <w:rsid w:val="00F36B3A"/>
    <w:rsid w:val="00F43695"/>
    <w:rsid w:val="00F558A1"/>
    <w:rsid w:val="00F60AAD"/>
    <w:rsid w:val="00F649E4"/>
    <w:rsid w:val="00F72005"/>
    <w:rsid w:val="00F73B50"/>
    <w:rsid w:val="00F76D36"/>
    <w:rsid w:val="00F9111A"/>
    <w:rsid w:val="00FB54BD"/>
    <w:rsid w:val="00FD1403"/>
    <w:rsid w:val="00FF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2D79D7A3-82A9-4275-B9A5-64F658A8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8B"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C813C5"/>
    <w:pPr>
      <w:spacing w:after="0" w:line="240" w:lineRule="auto"/>
      <w:jc w:val="both"/>
    </w:pPr>
    <w:rPr>
      <w:rFonts w:ascii="Calibri" w:eastAsia="Times New Roman" w:hAnsi="Calibri" w:cs="Times New Roman"/>
      <w:color w:val="000000"/>
      <w:sz w:val="18"/>
      <w:lang w:eastAsia="pl-PL"/>
    </w:rPr>
  </w:style>
  <w:style w:type="character" w:customStyle="1" w:styleId="AkapitzlistZnak">
    <w:name w:val="Akapit z listą Znak"/>
    <w:link w:val="Akapitzlist"/>
    <w:uiPriority w:val="1"/>
    <w:locked/>
    <w:rsid w:val="00C813C5"/>
    <w:rPr>
      <w:rFonts w:ascii="Calibri" w:eastAsia="Times New Roman" w:hAnsi="Calibri" w:cs="Times New Roman"/>
      <w:color w:val="000000"/>
      <w:sz w:val="18"/>
      <w:lang w:eastAsia="pl-PL"/>
    </w:rPr>
  </w:style>
  <w:style w:type="paragraph" w:styleId="Tekstpodstawowy">
    <w:name w:val="Body Text"/>
    <w:aliases w:val="wypunktowanie"/>
    <w:basedOn w:val="Normalny"/>
    <w:link w:val="TekstpodstawowyZnak"/>
    <w:rsid w:val="008336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83366B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5C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5C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5C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C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C4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65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323DDB"/>
    <w:pPr>
      <w:widowControl w:val="0"/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26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0A2"/>
  </w:style>
  <w:style w:type="paragraph" w:styleId="Stopka">
    <w:name w:val="footer"/>
    <w:basedOn w:val="Normalny"/>
    <w:link w:val="StopkaZnak"/>
    <w:uiPriority w:val="99"/>
    <w:unhideWhenUsed/>
    <w:rsid w:val="00626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0A2"/>
  </w:style>
  <w:style w:type="paragraph" w:customStyle="1" w:styleId="Akapit">
    <w:name w:val="Akapit"/>
    <w:basedOn w:val="Nagwek6"/>
    <w:rsid w:val="004C4FAC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AC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PSDBTabelaNormalny">
    <w:name w:val="PSDB Tabela Normalny"/>
    <w:basedOn w:val="Normalny"/>
    <w:link w:val="PSDBTabelaNormalnyZnakZnak"/>
    <w:rsid w:val="00EA77C3"/>
    <w:pPr>
      <w:tabs>
        <w:tab w:val="left" w:pos="567"/>
      </w:tabs>
      <w:spacing w:before="20" w:after="20" w:line="240" w:lineRule="auto"/>
    </w:pPr>
    <w:rPr>
      <w:rFonts w:ascii="Verdana" w:eastAsia="Times New Roman" w:hAnsi="Verdana" w:cs="Times New Roman"/>
      <w:sz w:val="14"/>
      <w:szCs w:val="20"/>
      <w:lang w:eastAsia="pl-PL"/>
    </w:rPr>
  </w:style>
  <w:style w:type="character" w:customStyle="1" w:styleId="PSDBTabelaNormalnyZnakZnak">
    <w:name w:val="PSDB Tabela Normalny Znak Znak"/>
    <w:link w:val="PSDBTabelaNormalny"/>
    <w:rsid w:val="00EA77C3"/>
    <w:rPr>
      <w:rFonts w:ascii="Verdana" w:eastAsia="Times New Roman" w:hAnsi="Verdana" w:cs="Times New Roman"/>
      <w:sz w:val="1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0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07D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5C07D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E36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wfos.szczecin.pl/14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C8420-D2A2-4BC7-BFB5-A044548E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2644</Words>
  <Characters>15869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PP. Piosicki</dc:creator>
  <cp:lastModifiedBy>Piotr PP. Piosicki</cp:lastModifiedBy>
  <cp:revision>4</cp:revision>
  <cp:lastPrinted>2017-01-27T12:10:00Z</cp:lastPrinted>
  <dcterms:created xsi:type="dcterms:W3CDTF">2017-02-08T13:34:00Z</dcterms:created>
  <dcterms:modified xsi:type="dcterms:W3CDTF">2017-02-09T10:05:00Z</dcterms:modified>
</cp:coreProperties>
</file>